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D62B5">
      <w:pPr>
        <w:spacing w:line="540" w:lineRule="exact"/>
        <w:jc w:val="center"/>
        <w:rPr>
          <w:rFonts w:hint="default" w:ascii="Times New Roman" w:hAnsi="Times New Roman" w:eastAsia="华文中宋" w:cs="Times New Roman"/>
          <w:b/>
          <w:kern w:val="0"/>
          <w:sz w:val="52"/>
          <w:szCs w:val="52"/>
        </w:rPr>
      </w:pPr>
    </w:p>
    <w:p w14:paraId="75A50F1B">
      <w:pPr>
        <w:spacing w:line="540" w:lineRule="exact"/>
        <w:rPr>
          <w:rFonts w:hint="default" w:ascii="Times New Roman" w:hAnsi="Times New Roman" w:eastAsia="华文中宋" w:cs="Times New Roman"/>
          <w:b/>
          <w:kern w:val="0"/>
          <w:sz w:val="52"/>
          <w:szCs w:val="52"/>
        </w:rPr>
      </w:pPr>
    </w:p>
    <w:p w14:paraId="5B3365A0">
      <w:pPr>
        <w:spacing w:line="540" w:lineRule="exact"/>
        <w:jc w:val="center"/>
        <w:rPr>
          <w:rFonts w:hint="default" w:ascii="Times New Roman" w:hAnsi="Times New Roman" w:eastAsia="华文中宋" w:cs="Times New Roman"/>
          <w:b/>
          <w:kern w:val="0"/>
          <w:sz w:val="52"/>
          <w:szCs w:val="52"/>
        </w:rPr>
      </w:pPr>
    </w:p>
    <w:p w14:paraId="5534AD1B">
      <w:pPr>
        <w:spacing w:line="540" w:lineRule="exact"/>
        <w:jc w:val="center"/>
        <w:rPr>
          <w:rFonts w:hint="default" w:ascii="Times New Roman" w:hAnsi="Times New Roman" w:eastAsia="华文中宋" w:cs="Times New Roman"/>
          <w:b/>
          <w:kern w:val="0"/>
          <w:sz w:val="52"/>
          <w:szCs w:val="52"/>
        </w:rPr>
      </w:pPr>
    </w:p>
    <w:p w14:paraId="2B37C95D">
      <w:pPr>
        <w:spacing w:line="540" w:lineRule="exact"/>
        <w:jc w:val="center"/>
        <w:rPr>
          <w:rFonts w:hint="default" w:ascii="Times New Roman" w:hAnsi="Times New Roman" w:eastAsia="方正小标宋_GBK" w:cs="Times New Roman"/>
          <w:kern w:val="0"/>
          <w:sz w:val="48"/>
          <w:szCs w:val="48"/>
        </w:rPr>
      </w:pPr>
      <w:r>
        <w:rPr>
          <w:rFonts w:ascii="宋体" w:hAnsi="宋体" w:eastAsia="宋体" w:cs="宋体"/>
          <w:sz w:val="24"/>
          <w:szCs w:val="24"/>
        </w:rPr>
        <w:br w:type="textWrapping"/>
      </w:r>
      <w:r>
        <w:rPr>
          <w:rFonts w:hint="eastAsia" w:ascii="Times New Roman" w:hAnsi="Times New Roman" w:eastAsia="方正小标宋_GBK" w:cs="Times New Roman"/>
          <w:kern w:val="0"/>
          <w:sz w:val="48"/>
          <w:szCs w:val="48"/>
        </w:rPr>
        <w:t>巴财行[2023]47号2023年度自治区药品抽检经费</w:t>
      </w:r>
      <w:r>
        <w:rPr>
          <w:rFonts w:hint="default" w:ascii="Times New Roman" w:hAnsi="Times New Roman" w:eastAsia="方正小标宋_GBK" w:cs="Times New Roman"/>
          <w:kern w:val="0"/>
          <w:sz w:val="48"/>
          <w:szCs w:val="48"/>
        </w:rPr>
        <w:t>项目支出绩效评价</w:t>
      </w:r>
    </w:p>
    <w:p w14:paraId="739CE9E8">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03EE3D7E">
      <w:pPr>
        <w:spacing w:line="540" w:lineRule="exact"/>
        <w:jc w:val="center"/>
        <w:rPr>
          <w:rFonts w:hint="default" w:ascii="Times New Roman" w:hAnsi="Times New Roman" w:eastAsia="华文中宋" w:cs="Times New Roman"/>
          <w:b/>
          <w:kern w:val="0"/>
          <w:sz w:val="52"/>
          <w:szCs w:val="52"/>
        </w:rPr>
      </w:pPr>
    </w:p>
    <w:p w14:paraId="5C0A115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8A7FEC4">
      <w:pPr>
        <w:spacing w:line="540" w:lineRule="exact"/>
        <w:jc w:val="center"/>
        <w:rPr>
          <w:rFonts w:hint="default" w:ascii="Times New Roman" w:hAnsi="Times New Roman" w:eastAsia="仿宋_GB2312" w:cs="Times New Roman"/>
          <w:kern w:val="0"/>
          <w:sz w:val="30"/>
          <w:szCs w:val="30"/>
        </w:rPr>
      </w:pPr>
    </w:p>
    <w:p w14:paraId="7C9738FA">
      <w:pPr>
        <w:spacing w:line="540" w:lineRule="exact"/>
        <w:jc w:val="center"/>
        <w:rPr>
          <w:rFonts w:hint="default" w:ascii="Times New Roman" w:hAnsi="Times New Roman" w:eastAsia="仿宋_GB2312" w:cs="Times New Roman"/>
          <w:kern w:val="0"/>
          <w:sz w:val="30"/>
          <w:szCs w:val="30"/>
        </w:rPr>
      </w:pPr>
    </w:p>
    <w:p w14:paraId="051CA67C">
      <w:pPr>
        <w:spacing w:line="540" w:lineRule="exact"/>
        <w:jc w:val="center"/>
        <w:rPr>
          <w:rFonts w:hint="default" w:ascii="Times New Roman" w:hAnsi="Times New Roman" w:eastAsia="仿宋_GB2312" w:cs="Times New Roman"/>
          <w:kern w:val="0"/>
          <w:sz w:val="30"/>
          <w:szCs w:val="30"/>
        </w:rPr>
      </w:pPr>
    </w:p>
    <w:p w14:paraId="4182BAA4">
      <w:pPr>
        <w:pStyle w:val="11"/>
        <w:rPr>
          <w:rFonts w:hint="default" w:ascii="Times New Roman" w:hAnsi="Times New Roman" w:cs="Times New Roman"/>
        </w:rPr>
      </w:pPr>
    </w:p>
    <w:p w14:paraId="68CF8E91">
      <w:pPr>
        <w:spacing w:line="540" w:lineRule="exact"/>
        <w:jc w:val="center"/>
        <w:rPr>
          <w:rFonts w:hint="default" w:ascii="Times New Roman" w:hAnsi="Times New Roman" w:eastAsia="仿宋_GB2312" w:cs="Times New Roman"/>
          <w:kern w:val="0"/>
          <w:sz w:val="30"/>
          <w:szCs w:val="30"/>
        </w:rPr>
      </w:pPr>
    </w:p>
    <w:p w14:paraId="2088D921">
      <w:pPr>
        <w:spacing w:line="540" w:lineRule="exact"/>
        <w:rPr>
          <w:rFonts w:hint="default" w:ascii="Times New Roman" w:hAnsi="Times New Roman" w:eastAsia="仿宋_GB2312" w:cs="Times New Roman"/>
          <w:kern w:val="0"/>
          <w:sz w:val="30"/>
          <w:szCs w:val="30"/>
          <w:highlight w:val="none"/>
        </w:rPr>
      </w:pPr>
    </w:p>
    <w:p w14:paraId="70873CEE">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r>
        <w:rPr>
          <w:rFonts w:hint="eastAsia" w:eastAsia="仿宋_GB2312" w:cs="Times New Roman"/>
          <w:kern w:val="0"/>
          <w:sz w:val="36"/>
          <w:szCs w:val="36"/>
          <w:highlight w:val="none"/>
          <w:lang w:val="en-US" w:eastAsia="zh-CN"/>
        </w:rPr>
        <w:t>巴财行[2023]47号2023年度自治区药品抽检经费</w:t>
      </w:r>
    </w:p>
    <w:p w14:paraId="5867168E">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库尔勒市市场监督管理局</w:t>
      </w:r>
    </w:p>
    <w:p w14:paraId="22605C18">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库尔勒市财政局</w:t>
      </w:r>
    </w:p>
    <w:p w14:paraId="7A1D224B">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易蜀</w:t>
      </w:r>
    </w:p>
    <w:p w14:paraId="622E616E">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14:paraId="519CFBD3">
      <w:pPr>
        <w:spacing w:line="540" w:lineRule="exact"/>
        <w:jc w:val="center"/>
        <w:rPr>
          <w:rFonts w:hint="default" w:ascii="Times New Roman" w:hAnsi="Times New Roman" w:eastAsia="仿宋_GB2312" w:cs="Times New Roman"/>
          <w:kern w:val="0"/>
          <w:sz w:val="30"/>
          <w:szCs w:val="30"/>
          <w:highlight w:val="none"/>
        </w:rPr>
      </w:pPr>
    </w:p>
    <w:p w14:paraId="1A78F994">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1B9B0858">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468D2396">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（一）项目概况</w:t>
      </w:r>
    </w:p>
    <w:p w14:paraId="7CF8165B">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6595CBA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药品安全隐患突出，药品研发、生产、流通环节存在质量风险，如假药、劣药问题，以及药品不良反应监测不足等，随着生活水平提升，公众对药品安全的关注度和维权意识增强，对安全、优质产品的需求迫切。专项经费可用于开展假劣药品科普宣传，以及完成药品、医疗器械、化妆品抽检工作，提高公众科学认知和自我保护能力。因此成立本项目。</w:t>
      </w:r>
    </w:p>
    <w:p w14:paraId="35DCAC82">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4E3B6ED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通过创建1个假冒伪劣药品鉴别展示室，提高群众对假劣药品的鉴别能力；完成药品、医疗器械、化妆品抽检任务不少于20次，并对抽检不合格药品厂商进行核查处置，严格把控我市药品安全关。</w:t>
      </w:r>
    </w:p>
    <w:p w14:paraId="7742DC3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建</w:t>
      </w:r>
      <w:bookmarkStart w:id="3" w:name="_GoBack"/>
      <w:bookmarkEnd w:id="3"/>
      <w:r>
        <w:rPr>
          <w:rFonts w:hint="eastAsia" w:ascii="Times New Roman" w:hAnsi="Times New Roman" w:eastAsia="仿宋_GB2312" w:cs="Times New Roman"/>
          <w:sz w:val="32"/>
          <w:szCs w:val="32"/>
          <w:highlight w:val="none"/>
          <w:lang w:val="en-US" w:eastAsia="zh-CN"/>
        </w:rPr>
        <w:t>立假劣药品鉴别展示室1个，开展药品、医疗器械、化妆品抽检工作27次，稳步提升药品安全的社会共治能力，提高执法人员、群众对假劣药品识别能力，普及和提高药品安全知识，让广大消费者成为药品安全的参与者、见证者和监督者，形成药品安全社会共治的良好局面。</w:t>
      </w:r>
    </w:p>
    <w:p w14:paraId="57C401C4">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099795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30BEE0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3B70548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4197BE3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建立1个假劣药品鉴别展示室3.50万元，开展药品、医疗器械、化妆品抽检工作27次1.50万元</w:t>
      </w:r>
      <w:r>
        <w:rPr>
          <w:rFonts w:hint="default" w:ascii="Times New Roman" w:hAnsi="Times New Roman" w:eastAsia="仿宋_GB2312" w:cs="Times New Roman"/>
          <w:sz w:val="32"/>
          <w:szCs w:val="32"/>
          <w:highlight w:val="none"/>
          <w:lang w:val="en-US" w:eastAsia="zh-CN"/>
        </w:rPr>
        <w:t>。</w:t>
      </w:r>
    </w:p>
    <w:p w14:paraId="47A82913">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（二）项目绩效目标</w:t>
      </w:r>
    </w:p>
    <w:p w14:paraId="00F5504B">
      <w:pPr>
        <w:spacing w:line="560" w:lineRule="exact"/>
        <w:ind w:left="638" w:leftChars="304" w:firstLine="0" w:firstLineChars="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4D8BDD1E">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目标1：建立1个假劣药品鉴别展示室，开展药品、医疗器械、化妆品抽检工作不少于20次。 </w:t>
      </w:r>
    </w:p>
    <w:p w14:paraId="22ABCB3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目标2：稳步提升药品安全的社会共治能力,提高执法人员、群众对假劣药品识别能力，普及和提高药品安全知识，保障全市人民群众用药安全有效。</w:t>
      </w:r>
    </w:p>
    <w:p w14:paraId="19D868D8">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14:paraId="193665B0">
      <w:pPr>
        <w:spacing w:line="560" w:lineRule="exact"/>
        <w:ind w:firstLine="640" w:firstLineChars="200"/>
        <w:rPr>
          <w:rFonts w:hint="default" w:ascii="Times New Roman" w:hAnsi="Times New Roman" w:eastAsia="黑体" w:cs="Times New Roman"/>
          <w:b w:val="0"/>
          <w:bCs/>
          <w:highlight w:val="none"/>
          <w:lang w:val="en-US" w:eastAsia="zh-CN"/>
        </w:rPr>
      </w:pPr>
      <w:r>
        <w:rPr>
          <w:rFonts w:hint="eastAsia" w:ascii="Times New Roman" w:hAnsi="Times New Roman" w:eastAsia="仿宋_GB2312" w:cs="Times New Roman"/>
          <w:sz w:val="32"/>
          <w:szCs w:val="32"/>
          <w:highlight w:val="none"/>
          <w:lang w:val="en-US" w:eastAsia="zh-CN"/>
        </w:rPr>
        <w:t>每季度抽检工作不少于5批次，全年抽检工作不少于20批次；采购假劣药品展示柜、显示屏及相关展示品，于2024年11月前将假劣药品展示室建立完成并发挥作用。</w:t>
      </w:r>
    </w:p>
    <w:p w14:paraId="0D8FCCC3">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bCs/>
          <w:sz w:val="32"/>
          <w:szCs w:val="32"/>
          <w:highlight w:val="none"/>
        </w:rPr>
        <w:t>二、绩效评价工作开展情况</w:t>
      </w:r>
    </w:p>
    <w:p w14:paraId="7794A1FD">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（一）绩效评价目的、对象和范围</w:t>
      </w:r>
    </w:p>
    <w:p w14:paraId="3EE02823">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38A887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本项目预算绩效评价报告在编制过程中，明确评价目标与范围</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清晰界定评价对象、评价周期及具体评价内容，确保评价工作有的放矢，为报告完整性奠定基础</w:t>
      </w:r>
      <w:r>
        <w:rPr>
          <w:rFonts w:hint="eastAsia" w:ascii="Times New Roman" w:hAnsi="Times New Roman" w:eastAsia="仿宋_GB2312" w:cs="Times New Roman"/>
          <w:sz w:val="32"/>
          <w:szCs w:val="32"/>
          <w:highlight w:val="none"/>
          <w:lang w:val="en-US" w:eastAsia="zh-CN"/>
        </w:rPr>
        <w:t>；规范评价流程，按照既定的流程开展评价工作，包括前期准备、数据收集、分析评价等环节，每个环节都有明确的工作内容和要求，保证评价工作的全面性和系统性；多方参与和沟通，涉及项目实施部门、财政部门以及相关科室负责人多方面的参与和沟通，充分听取各方意见和建议，使报告能全面反映项目的实际情况。</w:t>
      </w:r>
    </w:p>
    <w:p w14:paraId="000516A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在评价指标体系的构建上，全面涵盖</w:t>
      </w:r>
      <w:r>
        <w:rPr>
          <w:rFonts w:hint="eastAsia" w:ascii="Times New Roman" w:hAnsi="Times New Roman"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val="en-US" w:eastAsia="zh-CN"/>
        </w:rPr>
        <w:t>项目的投入、产出和效益等各个方面，如项目预算安排的合理性、资金</w:t>
      </w:r>
      <w:r>
        <w:rPr>
          <w:rFonts w:hint="eastAsia" w:ascii="Times New Roman" w:hAnsi="Times New Roman" w:eastAsia="仿宋_GB2312" w:cs="Times New Roman"/>
          <w:sz w:val="32"/>
          <w:szCs w:val="32"/>
          <w:highlight w:val="none"/>
          <w:lang w:val="en-US" w:eastAsia="zh-CN"/>
        </w:rPr>
        <w:t>支付及时</w:t>
      </w:r>
      <w:r>
        <w:rPr>
          <w:rFonts w:hint="default" w:ascii="Times New Roman" w:hAnsi="Times New Roman" w:eastAsia="仿宋_GB2312" w:cs="Times New Roman"/>
          <w:sz w:val="32"/>
          <w:szCs w:val="32"/>
          <w:highlight w:val="none"/>
          <w:lang w:val="en-US" w:eastAsia="zh-CN"/>
        </w:rPr>
        <w:t>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项目完成</w:t>
      </w:r>
      <w:r>
        <w:rPr>
          <w:rFonts w:hint="eastAsia" w:ascii="Times New Roman" w:hAnsi="Times New Roman"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数量</w:t>
      </w:r>
      <w:r>
        <w:rPr>
          <w:rFonts w:hint="eastAsia" w:ascii="Times New Roman" w:hAnsi="Times New Roman" w:eastAsia="仿宋_GB2312" w:cs="Times New Roman"/>
          <w:sz w:val="32"/>
          <w:szCs w:val="32"/>
          <w:highlight w:val="none"/>
          <w:lang w:val="en-US" w:eastAsia="zh-CN"/>
        </w:rPr>
        <w:t>以及</w:t>
      </w:r>
      <w:r>
        <w:rPr>
          <w:rFonts w:hint="default" w:ascii="Times New Roman" w:hAnsi="Times New Roman" w:eastAsia="仿宋_GB2312" w:cs="Times New Roman"/>
          <w:sz w:val="32"/>
          <w:szCs w:val="32"/>
          <w:highlight w:val="none"/>
          <w:lang w:val="en-US" w:eastAsia="zh-CN"/>
        </w:rPr>
        <w:t>社会效益等</w:t>
      </w:r>
      <w:r>
        <w:rPr>
          <w:rFonts w:hint="eastAsia" w:ascii="Times New Roman" w:hAnsi="Times New Roman" w:eastAsia="仿宋_GB2312" w:cs="Times New Roman"/>
          <w:sz w:val="32"/>
          <w:szCs w:val="32"/>
          <w:highlight w:val="none"/>
          <w:lang w:val="en-US" w:eastAsia="zh-CN"/>
        </w:rPr>
        <w:t>；指标设置符合项目特点和行业规范，具有明确的定义和计算方法，确保指标之间相互独立又相互关联，形成一个有机整体，能准确反映项目的绩效情况。</w:t>
      </w:r>
    </w:p>
    <w:p w14:paraId="16E9D88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在数据收集与分析环节，通过多种渠道收集数据，如项目实施</w:t>
      </w:r>
      <w:r>
        <w:rPr>
          <w:rFonts w:hint="eastAsia" w:ascii="Times New Roman" w:hAnsi="Times New Roman" w:eastAsia="仿宋_GB2312" w:cs="Times New Roman"/>
          <w:sz w:val="32"/>
          <w:szCs w:val="32"/>
          <w:highlight w:val="none"/>
          <w:lang w:val="en-US" w:eastAsia="zh-CN"/>
        </w:rPr>
        <w:t>科室</w:t>
      </w:r>
      <w:r>
        <w:rPr>
          <w:rFonts w:hint="default" w:ascii="Times New Roman" w:hAnsi="Times New Roman" w:eastAsia="仿宋_GB2312" w:cs="Times New Roman"/>
          <w:sz w:val="32"/>
          <w:szCs w:val="32"/>
          <w:highlight w:val="none"/>
          <w:lang w:val="en-US" w:eastAsia="zh-CN"/>
        </w:rPr>
        <w:t>的业务统计数据、问卷调查等，确保数据来源的多样性和可靠性</w:t>
      </w:r>
      <w:r>
        <w:rPr>
          <w:rFonts w:hint="eastAsia" w:ascii="Times New Roman" w:hAnsi="Times New Roman" w:eastAsia="仿宋_GB2312" w:cs="Times New Roman"/>
          <w:sz w:val="32"/>
          <w:szCs w:val="32"/>
          <w:highlight w:val="none"/>
          <w:lang w:val="en-US" w:eastAsia="zh-CN"/>
        </w:rPr>
        <w:t>，并</w:t>
      </w:r>
      <w:r>
        <w:rPr>
          <w:rFonts w:hint="default" w:ascii="Times New Roman" w:hAnsi="Times New Roman" w:eastAsia="仿宋_GB2312" w:cs="Times New Roman"/>
          <w:sz w:val="32"/>
          <w:szCs w:val="32"/>
          <w:highlight w:val="none"/>
          <w:lang w:val="en-US" w:eastAsia="zh-CN"/>
        </w:rPr>
        <w:t>对收集到的数据进行严格的审核和筛选，剔除无效数据和错误数据，保证数据的真实性和准确性</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运用科学的数据分析方法，对数据进行深入挖掘和分析，不仅要分析数据的表面现象，还要揭示数据背后的原因和规律，为评价结论提供有力的数据支持。</w:t>
      </w:r>
    </w:p>
    <w:p w14:paraId="2F7063DF">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70E4F4C">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561D9A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09BBEE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380B41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通过设定可量化的指标（如</w:t>
      </w:r>
      <w:r>
        <w:rPr>
          <w:rFonts w:hint="eastAsia" w:ascii="Times New Roman" w:hAnsi="Times New Roman" w:eastAsia="仿宋_GB2312" w:cs="Times New Roman"/>
          <w:sz w:val="32"/>
          <w:szCs w:val="32"/>
          <w:highlight w:val="none"/>
          <w:lang w:val="en-US" w:eastAsia="zh-CN"/>
        </w:rPr>
        <w:t>新建假劣药品鉴别展示室数量</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药品/医疗器械/化妆品质量监督抽检批次</w:t>
      </w:r>
      <w:r>
        <w:rPr>
          <w:rFonts w:hint="default" w:ascii="Times New Roman" w:hAnsi="Times New Roman" w:eastAsia="仿宋_GB2312" w:cs="Times New Roman"/>
          <w:sz w:val="32"/>
          <w:szCs w:val="32"/>
          <w:highlight w:val="none"/>
          <w:lang w:val="en-US" w:eastAsia="zh-CN"/>
        </w:rPr>
        <w:t>等），对照项目预期目标进行比对，清晰判断项目是否实现既定产出与效益</w:t>
      </w:r>
      <w:r>
        <w:rPr>
          <w:rFonts w:hint="eastAsia" w:ascii="Times New Roman" w:hAnsi="Times New Roman" w:eastAsia="仿宋_GB2312" w:cs="Times New Roman"/>
          <w:sz w:val="32"/>
          <w:szCs w:val="32"/>
          <w:highlight w:val="none"/>
          <w:lang w:val="en-US" w:eastAsia="zh-CN"/>
        </w:rPr>
        <w:t>，深入剖析项目执行细节，发现执行过程中未被察觉的问题或偏差，如流程漏洞等，为及时调整策略提供依据。</w:t>
      </w:r>
    </w:p>
    <w:p w14:paraId="0DCEEA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8E5C2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通过分析人力、资金、物资等资源的投入产出比，识别资源浪费或配置不合理的环节，将有限资源集中到效益更高的领域。通过成本效益分析，帮助管理者判断项目成本的合理性，避免不必要的开支，在保证项目质量的前提下实现成本最小化。</w:t>
      </w:r>
    </w:p>
    <w:p w14:paraId="5C96F6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1630AC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绩效评价通过制定清晰的考核标准和责任划分，将项目目标和任务分解到具体</w:t>
      </w:r>
      <w:r>
        <w:rPr>
          <w:rFonts w:hint="eastAsia" w:ascii="Times New Roman" w:hAnsi="Times New Roman" w:eastAsia="仿宋_GB2312" w:cs="Times New Roman"/>
          <w:sz w:val="32"/>
          <w:szCs w:val="32"/>
          <w:highlight w:val="none"/>
          <w:lang w:val="en-US" w:eastAsia="zh-CN"/>
        </w:rPr>
        <w:t>科室</w:t>
      </w:r>
      <w:r>
        <w:rPr>
          <w:rFonts w:hint="default" w:ascii="Times New Roman" w:hAnsi="Times New Roman" w:eastAsia="仿宋_GB2312" w:cs="Times New Roman"/>
          <w:sz w:val="32"/>
          <w:szCs w:val="32"/>
          <w:highlight w:val="none"/>
          <w:lang w:val="en-US" w:eastAsia="zh-CN"/>
        </w:rPr>
        <w:t>和个人，使每个参与者明确自身职责与工作要求，避免责任推诿。激发项目团队的积极性和责任感，形成良性竞争氛围。</w:t>
      </w:r>
    </w:p>
    <w:p w14:paraId="276756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BDA81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B7941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6DD74D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851C8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4261942">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50AEEA9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本项目预算绩效评价报告的评价对象是巴财行[2023]47号2023年度自治区药品抽检经费</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库尔勒市市场监督管理局</w:t>
      </w:r>
      <w:r>
        <w:rPr>
          <w:rFonts w:hint="default" w:ascii="Times New Roman" w:hAnsi="Times New Roman" w:eastAsia="仿宋_GB2312" w:cs="Times New Roman"/>
          <w:b w:val="0"/>
          <w:bCs w:val="0"/>
          <w:kern w:val="2"/>
          <w:sz w:val="32"/>
          <w:szCs w:val="32"/>
          <w:highlight w:val="none"/>
          <w:lang w:val="en-US" w:eastAsia="zh-CN" w:bidi="ar-SA"/>
        </w:rPr>
        <w:t>负责实施，旨在</w:t>
      </w:r>
      <w:r>
        <w:rPr>
          <w:rFonts w:hint="eastAsia" w:ascii="Times New Roman" w:hAnsi="Times New Roman" w:eastAsia="仿宋_GB2312" w:cs="Times New Roman"/>
          <w:b w:val="0"/>
          <w:bCs w:val="0"/>
          <w:kern w:val="2"/>
          <w:sz w:val="32"/>
          <w:szCs w:val="32"/>
          <w:highlight w:val="none"/>
          <w:lang w:val="en-US" w:eastAsia="zh-CN" w:bidi="ar-SA"/>
        </w:rPr>
        <w:t>建立1个假劣药品鉴别展示室，开展药品、医疗器械、化妆品抽检不少于20批次</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稳步提升药品安全的社会共治能力，提高执法人员、群众对假劣药品识别能力，普及和提高药品安全知识，让广大消费者成为药品安全的参与者、见证者和监督者，形成药品安全社会共治的良好局面</w:t>
      </w:r>
      <w:r>
        <w:rPr>
          <w:rFonts w:hint="default" w:ascii="Times New Roman" w:hAnsi="Times New Roman" w:eastAsia="仿宋_GB2312" w:cs="Times New Roman"/>
          <w:b w:val="0"/>
          <w:bCs w:val="0"/>
          <w:kern w:val="2"/>
          <w:sz w:val="32"/>
          <w:szCs w:val="32"/>
          <w:highlight w:val="none"/>
          <w:lang w:val="en-US" w:eastAsia="zh-CN" w:bidi="ar-SA"/>
        </w:rPr>
        <w:t>。项目预算涵盖从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w:t>
      </w:r>
      <w:r>
        <w:rPr>
          <w:rFonts w:hint="default" w:ascii="Times New Roman" w:hAnsi="Times New Roman" w:eastAsia="仿宋_GB2312" w:cs="Times New Roman"/>
          <w:b w:val="0"/>
          <w:bCs w:val="0"/>
          <w:kern w:val="2"/>
          <w:sz w:val="32"/>
          <w:szCs w:val="32"/>
          <w:highlight w:val="none"/>
          <w:lang w:val="en-US" w:eastAsia="zh-CN" w:bidi="ar-SA"/>
        </w:rPr>
        <w:t>至</w:t>
      </w:r>
      <w:r>
        <w:rPr>
          <w:rFonts w:hint="eastAsia" w:ascii="Times New Roman" w:hAnsi="Times New Roman" w:eastAsia="仿宋_GB2312" w:cs="Times New Roman"/>
          <w:b w:val="0"/>
          <w:bCs w:val="0"/>
          <w:kern w:val="2"/>
          <w:sz w:val="32"/>
          <w:szCs w:val="32"/>
          <w:highlight w:val="none"/>
          <w:lang w:val="en-US" w:eastAsia="zh-CN" w:bidi="ar-SA"/>
        </w:rPr>
        <w:t>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5</w:t>
      </w:r>
      <w:r>
        <w:rPr>
          <w:rFonts w:hint="default" w:ascii="Times New Roman" w:hAnsi="Times New Roman" w:eastAsia="仿宋_GB2312" w:cs="Times New Roman"/>
          <w:b w:val="0"/>
          <w:bCs w:val="0"/>
          <w:kern w:val="2"/>
          <w:sz w:val="32"/>
          <w:szCs w:val="32"/>
          <w:highlight w:val="none"/>
          <w:lang w:val="en-US" w:eastAsia="zh-CN" w:bidi="ar-SA"/>
        </w:rPr>
        <w:t>万元。</w:t>
      </w:r>
    </w:p>
    <w:p w14:paraId="265A3D13">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4FD4912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本项目预算绩效评价报告的评价范围广泛而全面，涵盖了从项目立项至评价时点期间的所有关键预算活动和财务流程。具体而言，评价范围包括但不限于以下几个方面：</w:t>
      </w:r>
    </w:p>
    <w:p w14:paraId="2E304DC9">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EC11E8E">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982CEC0">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65CEA2F">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14:paraId="3EEA0BAD">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（二）绩效评价原则、评价指标体系（详情见表1）、评价方法、评价标准。</w:t>
      </w:r>
    </w:p>
    <w:p w14:paraId="4B9173F3">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5F89B195">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6E0A21ED">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w:t>
      </w:r>
      <w:r>
        <w:rPr>
          <w:rFonts w:hint="default" w:ascii="Times New Roman" w:hAnsi="Times New Roman" w:eastAsia="仿宋_GB2312" w:cs="Times New Roman"/>
          <w:b w:val="0"/>
          <w:bCs w:val="0"/>
          <w:kern w:val="28"/>
          <w:sz w:val="32"/>
          <w:szCs w:val="32"/>
          <w:highlight w:val="none"/>
          <w:lang w:val="en-US" w:eastAsia="zh-CN" w:bidi="ar-SA"/>
        </w:rPr>
        <w:t>绩效评价应当运用科学合理的方法，按照规范的程序，对项目绩效进行客观、公正的反映。</w:t>
      </w:r>
    </w:p>
    <w:p w14:paraId="402544B8">
      <w:pPr>
        <w:pStyle w:val="11"/>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highlight w:val="none"/>
        </w:rPr>
        <w:t>（2）统筹兼顾。</w:t>
      </w:r>
      <w:r>
        <w:rPr>
          <w:rFonts w:hint="default" w:ascii="Times New Roman" w:hAnsi="Times New Roman" w:eastAsia="仿宋_GB2312" w:cs="Times New Roman"/>
          <w:b w:val="0"/>
          <w:bCs w:val="0"/>
          <w:kern w:val="28"/>
          <w:sz w:val="32"/>
          <w:szCs w:val="32"/>
          <w:highlight w:val="none"/>
          <w:lang w:val="en-US" w:eastAsia="zh-CN" w:bidi="ar-SA"/>
        </w:rPr>
        <w:t>单位自评、部门评价和财政评价应职责明确，各有侧重，相互衔接。单位自评应由项目单位自主实施，即“谁支出、谁自评”。部门评价和财政评价应在单位自评的基础上开展。</w:t>
      </w:r>
    </w:p>
    <w:p w14:paraId="485CFBB6">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0742FE24">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0DF20A4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1D55DE86">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绩效评价框架是开展绩效评价的核心。绩效评价框架包括评价准则、关键评价问题、评价指标、数据来源、数据收集方法等。指标体系建立过程如下：</w:t>
      </w:r>
    </w:p>
    <w:p w14:paraId="21056B6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w:t>
      </w:r>
      <w:r>
        <w:rPr>
          <w:rFonts w:hint="default" w:ascii="Times New Roman" w:hAnsi="Times New Roman" w:eastAsia="仿宋_GB2312" w:cs="Times New Roman"/>
          <w:b w:val="0"/>
          <w:bCs w:val="0"/>
          <w:kern w:val="28"/>
          <w:sz w:val="32"/>
          <w:szCs w:val="32"/>
          <w:highlight w:val="none"/>
          <w:lang w:val="en-US" w:eastAsia="zh-CN" w:bidi="ar-SA"/>
        </w:rPr>
        <w:t>确定评价指标</w:t>
      </w:r>
    </w:p>
    <w:p w14:paraId="1824175D">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13F0BCC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w:t>
      </w:r>
      <w:r>
        <w:rPr>
          <w:rFonts w:hint="default" w:ascii="Times New Roman" w:hAnsi="Times New Roman" w:eastAsia="仿宋_GB2312" w:cs="Times New Roman"/>
          <w:b w:val="0"/>
          <w:bCs w:val="0"/>
          <w:kern w:val="28"/>
          <w:sz w:val="32"/>
          <w:szCs w:val="32"/>
          <w:highlight w:val="none"/>
          <w:lang w:val="en-US" w:eastAsia="zh-CN" w:bidi="ar-SA"/>
        </w:rPr>
        <w:t>确定权重</w:t>
      </w:r>
    </w:p>
    <w:p w14:paraId="66ED6616">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14:paraId="33E7E09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w:t>
      </w:r>
      <w:r>
        <w:rPr>
          <w:rFonts w:hint="default" w:ascii="Times New Roman" w:hAnsi="Times New Roman" w:eastAsia="仿宋_GB2312" w:cs="Times New Roman"/>
          <w:b w:val="0"/>
          <w:bCs w:val="0"/>
          <w:kern w:val="28"/>
          <w:sz w:val="32"/>
          <w:szCs w:val="32"/>
          <w:highlight w:val="none"/>
          <w:lang w:val="en-US" w:eastAsia="zh-CN" w:bidi="ar-SA"/>
        </w:rPr>
        <w:t>确定指标标准值</w:t>
      </w:r>
    </w:p>
    <w:p w14:paraId="15CC5760">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704A199B">
      <w:pPr>
        <w:spacing w:line="560" w:lineRule="exact"/>
        <w:ind w:firstLine="640" w:firstLineChars="200"/>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kern w:val="28"/>
          <w:sz w:val="32"/>
          <w:szCs w:val="32"/>
          <w:highlight w:val="none"/>
          <w:lang w:val="en-US" w:eastAsia="zh-CN" w:bidi="ar-SA"/>
        </w:rPr>
        <w:t>绩效评价总分值100分，根据综合评分结果，90（含）-100分为优、80（含）-90分为良、60（含）-80分为中、60分以下为差。</w:t>
      </w:r>
    </w:p>
    <w:p w14:paraId="51DA0B95">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5227E046">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1EA8DDB7">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14:paraId="65A1558B">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14:paraId="0F3CD550">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b w:val="0"/>
          <w:bCs w:val="0"/>
          <w:kern w:val="28"/>
          <w:sz w:val="32"/>
          <w:szCs w:val="32"/>
          <w:highlight w:val="none"/>
          <w:lang w:val="en-US" w:eastAsia="zh-CN" w:bidi="ar-SA"/>
        </w:rPr>
        <w:t>本项目</w:t>
      </w:r>
      <w:r>
        <w:rPr>
          <w:rFonts w:hint="default" w:ascii="Times New Roman" w:hAnsi="Times New Roman" w:eastAsia="仿宋_GB2312" w:cs="Times New Roman"/>
          <w:b w:val="0"/>
          <w:bCs w:val="0"/>
          <w:kern w:val="28"/>
          <w:sz w:val="32"/>
          <w:szCs w:val="32"/>
          <w:highlight w:val="none"/>
          <w:lang w:val="en-US" w:eastAsia="zh-CN" w:bidi="ar-SA"/>
        </w:rPr>
        <w:t>绩效评价</w:t>
      </w:r>
      <w:r>
        <w:rPr>
          <w:rFonts w:hint="eastAsia" w:ascii="Times New Roman" w:hAnsi="Times New Roman" w:eastAsia="仿宋_GB2312" w:cs="Times New Roman"/>
          <w:b w:val="0"/>
          <w:bCs w:val="0"/>
          <w:kern w:val="28"/>
          <w:sz w:val="32"/>
          <w:szCs w:val="32"/>
          <w:highlight w:val="none"/>
          <w:lang w:val="en-US" w:eastAsia="zh-CN" w:bidi="ar-SA"/>
        </w:rPr>
        <w:t>采用</w:t>
      </w:r>
      <w:r>
        <w:rPr>
          <w:rFonts w:hint="default" w:ascii="Times New Roman" w:hAnsi="Times New Roman" w:eastAsia="仿宋_GB2312" w:cs="Times New Roman"/>
          <w:b w:val="0"/>
          <w:bCs w:val="0"/>
          <w:kern w:val="28"/>
          <w:sz w:val="32"/>
          <w:szCs w:val="32"/>
          <w:highlight w:val="none"/>
          <w:lang w:val="en-US" w:eastAsia="zh-CN" w:bidi="ar-SA"/>
        </w:rPr>
        <w:t>因素分析法。</w:t>
      </w:r>
      <w:r>
        <w:rPr>
          <w:rFonts w:hint="eastAsia" w:ascii="Times New Roman" w:hAnsi="Times New Roman" w:eastAsia="仿宋_GB2312" w:cs="Times New Roman"/>
          <w:b w:val="0"/>
          <w:bCs w:val="0"/>
          <w:kern w:val="28"/>
          <w:sz w:val="32"/>
          <w:szCs w:val="32"/>
          <w:highlight w:val="none"/>
          <w:lang w:val="en-US" w:eastAsia="zh-CN" w:bidi="ar-SA"/>
        </w:rPr>
        <w:t>原因是因素分析法能深入探究影响项目绩效的各种因素及其相互关系，准确找出绩效好坏的原因，同时它可以将不同因素对项目绩效的影响进行量化，使评价结果更具科学性和准确性。</w:t>
      </w:r>
    </w:p>
    <w:p w14:paraId="563A25C4">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1C86575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kern w:val="2"/>
          <w:sz w:val="32"/>
          <w:szCs w:val="32"/>
          <w:highlight w:val="none"/>
          <w:lang w:val="en-US" w:eastAsia="zh-CN" w:bidi="ar-SA"/>
        </w:rPr>
        <w:t>计划</w:t>
      </w:r>
      <w:r>
        <w:rPr>
          <w:rFonts w:hint="default" w:ascii="Times New Roman" w:hAnsi="Times New Roman" w:eastAsia="仿宋_GB2312" w:cs="Times New Roman"/>
          <w:b w:val="0"/>
          <w:bCs w:val="0"/>
          <w:kern w:val="2"/>
          <w:sz w:val="32"/>
          <w:szCs w:val="32"/>
          <w:highlight w:val="none"/>
          <w:lang w:val="en-US" w:eastAsia="zh-CN" w:bidi="ar-SA"/>
        </w:rPr>
        <w:t>标准。原因是计划标准是</w:t>
      </w:r>
      <w:r>
        <w:rPr>
          <w:rFonts w:hint="eastAsia" w:ascii="Times New Roman" w:hAnsi="Times New Roman" w:eastAsia="仿宋_GB2312" w:cs="Times New Roman"/>
          <w:b w:val="0"/>
          <w:bCs w:val="0"/>
          <w:kern w:val="2"/>
          <w:sz w:val="32"/>
          <w:szCs w:val="32"/>
          <w:highlight w:val="none"/>
          <w:lang w:val="en-US" w:eastAsia="zh-CN" w:bidi="ar-SA"/>
        </w:rPr>
        <w:t>项目开始前</w:t>
      </w:r>
      <w:r>
        <w:rPr>
          <w:rFonts w:hint="default" w:ascii="Times New Roman" w:hAnsi="Times New Roman" w:eastAsia="仿宋_GB2312" w:cs="Times New Roman"/>
          <w:b w:val="0"/>
          <w:bCs w:val="0"/>
          <w:kern w:val="2"/>
          <w:sz w:val="32"/>
          <w:szCs w:val="32"/>
          <w:highlight w:val="none"/>
          <w:lang w:val="en-US" w:eastAsia="zh-CN" w:bidi="ar-SA"/>
        </w:rPr>
        <w:t>预先制定目标、计划、预算、定额等作为评价标准</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它清晰地界定了项目的预期目标和成果</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使项目团队和相关利益者明确知道项目的努力方向，有助于确保项目的各项工作都围绕实现既定目标展开。</w:t>
      </w:r>
    </w:p>
    <w:p w14:paraId="14C0B5D5">
      <w:pPr>
        <w:spacing w:line="560" w:lineRule="exact"/>
        <w:ind w:firstLine="627" w:firstLineChars="200"/>
        <w:rPr>
          <w:rFonts w:hint="default" w:eastAsia="楷体" w:cs="Times New Roman"/>
          <w:b/>
          <w:spacing w:val="-4"/>
          <w:sz w:val="32"/>
          <w:szCs w:val="32"/>
          <w:highlight w:val="none"/>
          <w:lang w:val="en-US" w:eastAsia="zh-CN"/>
        </w:rPr>
      </w:pPr>
      <w:r>
        <w:rPr>
          <w:rFonts w:hint="eastAsia" w:eastAsia="楷体" w:cs="Times New Roman"/>
          <w:b/>
          <w:spacing w:val="-4"/>
          <w:sz w:val="32"/>
          <w:szCs w:val="32"/>
          <w:highlight w:val="none"/>
          <w:lang w:val="en-US" w:eastAsia="zh-CN"/>
        </w:rPr>
        <w:t>（三）</w:t>
      </w:r>
      <w:r>
        <w:rPr>
          <w:rFonts w:hint="default" w:eastAsia="楷体" w:cs="Times New Roman"/>
          <w:b/>
          <w:spacing w:val="-4"/>
          <w:sz w:val="32"/>
          <w:szCs w:val="32"/>
          <w:highlight w:val="none"/>
          <w:lang w:val="en-US" w:eastAsia="zh-CN"/>
        </w:rPr>
        <w:t>绩效评价工作过程</w:t>
      </w:r>
    </w:p>
    <w:p w14:paraId="347F5F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b w:val="0"/>
          <w:bCs w:val="0"/>
          <w:kern w:val="2"/>
          <w:sz w:val="32"/>
          <w:szCs w:val="32"/>
          <w:highlight w:val="none"/>
          <w:lang w:val="en-US" w:eastAsia="zh-CN" w:bidi="ar-SA"/>
        </w:rPr>
        <w:t>前期准备与规划</w:t>
      </w:r>
    </w:p>
    <w:p w14:paraId="2BF6B4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在项目绩效评价工作启动之初，成立了专门的评价工作小组，小组成员由财务</w:t>
      </w:r>
      <w:r>
        <w:rPr>
          <w:rFonts w:hint="eastAsia" w:ascii="Times New Roman" w:hAnsi="Times New Roman" w:eastAsia="仿宋_GB2312" w:cs="Times New Roman"/>
          <w:b w:val="0"/>
          <w:bCs w:val="0"/>
          <w:kern w:val="2"/>
          <w:sz w:val="32"/>
          <w:szCs w:val="32"/>
          <w:highlight w:val="none"/>
          <w:lang w:val="en-US" w:eastAsia="zh-CN" w:bidi="ar-SA"/>
        </w:rPr>
        <w:t>负责人王晓琴、魏莹莹；</w:t>
      </w:r>
      <w:r>
        <w:rPr>
          <w:rFonts w:hint="default" w:ascii="Times New Roman" w:hAnsi="Times New Roman" w:eastAsia="仿宋_GB2312" w:cs="Times New Roman"/>
          <w:b w:val="0"/>
          <w:bCs w:val="0"/>
          <w:kern w:val="2"/>
          <w:sz w:val="32"/>
          <w:szCs w:val="32"/>
          <w:highlight w:val="none"/>
          <w:lang w:val="en-US" w:eastAsia="zh-CN" w:bidi="ar-SA"/>
        </w:rPr>
        <w:t>项目</w:t>
      </w:r>
      <w:r>
        <w:rPr>
          <w:rFonts w:hint="eastAsia" w:ascii="Times New Roman" w:hAnsi="Times New Roman" w:eastAsia="仿宋_GB2312" w:cs="Times New Roman"/>
          <w:b w:val="0"/>
          <w:bCs w:val="0"/>
          <w:kern w:val="2"/>
          <w:sz w:val="32"/>
          <w:szCs w:val="32"/>
          <w:highlight w:val="none"/>
          <w:lang w:val="en-US" w:eastAsia="zh-CN" w:bidi="ar-SA"/>
        </w:rPr>
        <w:t>主要负责人易蜀；项目实施人员秦江</w:t>
      </w:r>
      <w:r>
        <w:rPr>
          <w:rFonts w:hint="default" w:ascii="Times New Roman" w:hAnsi="Times New Roman" w:eastAsia="仿宋_GB2312" w:cs="Times New Roman"/>
          <w:b w:val="0"/>
          <w:bCs w:val="0"/>
          <w:kern w:val="2"/>
          <w:sz w:val="32"/>
          <w:szCs w:val="32"/>
          <w:highlight w:val="none"/>
          <w:lang w:val="en-US" w:eastAsia="zh-CN" w:bidi="ar-SA"/>
        </w:rPr>
        <w:t>组成，确保从多角度、全方位对项目绩效进行评价。同时，明确了评价工作的目标、范围、重点及时间安排，制定了详细的工作计划，为评价工作的顺利开展奠定了坚实基础。</w:t>
      </w:r>
    </w:p>
    <w:p w14:paraId="208E31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239312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0DA328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A4C9A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广泛收集与项目相关的数据，</w:t>
      </w:r>
      <w:r>
        <w:rPr>
          <w:rFonts w:hint="eastAsia" w:ascii="Times New Roman" w:hAnsi="Times New Roman" w:eastAsia="仿宋_GB2312" w:cs="Times New Roman"/>
          <w:b w:val="0"/>
          <w:bCs w:val="0"/>
          <w:kern w:val="2"/>
          <w:sz w:val="32"/>
          <w:szCs w:val="32"/>
          <w:highlight w:val="none"/>
          <w:lang w:val="en-US" w:eastAsia="zh-CN" w:bidi="ar-SA"/>
        </w:rPr>
        <w:t>例如</w:t>
      </w:r>
      <w:r>
        <w:rPr>
          <w:rFonts w:hint="default" w:ascii="Times New Roman" w:hAnsi="Times New Roman" w:eastAsia="仿宋_GB2312" w:cs="Times New Roman"/>
          <w:b w:val="0"/>
          <w:bCs w:val="0"/>
          <w:kern w:val="2"/>
          <w:sz w:val="32"/>
          <w:szCs w:val="32"/>
          <w:highlight w:val="none"/>
          <w:lang w:val="en-US" w:eastAsia="zh-CN" w:bidi="ar-SA"/>
        </w:rPr>
        <w:t>财务报表、</w:t>
      </w:r>
      <w:r>
        <w:rPr>
          <w:rFonts w:hint="eastAsia" w:ascii="Times New Roman" w:hAnsi="Times New Roman" w:eastAsia="仿宋_GB2312" w:cs="Times New Roman"/>
          <w:b w:val="0"/>
          <w:bCs w:val="0"/>
          <w:kern w:val="2"/>
          <w:sz w:val="32"/>
          <w:szCs w:val="32"/>
          <w:highlight w:val="none"/>
          <w:lang w:val="en-US" w:eastAsia="zh-CN" w:bidi="ar-SA"/>
        </w:rPr>
        <w:t>科室相关</w:t>
      </w:r>
      <w:r>
        <w:rPr>
          <w:rFonts w:hint="default" w:ascii="Times New Roman" w:hAnsi="Times New Roman" w:eastAsia="仿宋_GB2312" w:cs="Times New Roman"/>
          <w:b w:val="0"/>
          <w:bCs w:val="0"/>
          <w:kern w:val="2"/>
          <w:sz w:val="32"/>
          <w:szCs w:val="32"/>
          <w:highlight w:val="none"/>
          <w:lang w:val="en-US" w:eastAsia="zh-CN" w:bidi="ar-SA"/>
        </w:rPr>
        <w:t>业务数据</w:t>
      </w:r>
      <w:r>
        <w:rPr>
          <w:rFonts w:hint="eastAsia" w:ascii="Times New Roman" w:hAnsi="Times New Roman" w:eastAsia="仿宋_GB2312" w:cs="Times New Roman"/>
          <w:b w:val="0"/>
          <w:bCs w:val="0"/>
          <w:kern w:val="2"/>
          <w:sz w:val="32"/>
          <w:szCs w:val="32"/>
          <w:highlight w:val="none"/>
          <w:lang w:val="en-US" w:eastAsia="zh-CN" w:bidi="ar-SA"/>
        </w:rPr>
        <w:t>、调查问卷</w:t>
      </w:r>
      <w:r>
        <w:rPr>
          <w:rFonts w:hint="default" w:ascii="Times New Roman" w:hAnsi="Times New Roman" w:eastAsia="仿宋_GB2312" w:cs="Times New Roman"/>
          <w:b w:val="0"/>
          <w:bCs w:val="0"/>
          <w:kern w:val="2"/>
          <w:sz w:val="32"/>
          <w:szCs w:val="32"/>
          <w:highlight w:val="none"/>
          <w:lang w:val="en-US" w:eastAsia="zh-CN" w:bidi="ar-SA"/>
        </w:rPr>
        <w:t>等。在数据收集过程中，注重数据的质量与完整性，对缺失或异常的数据进行了合理的处理和补充。随后，对收集到的数据进行了系统的整理与分类，为后续的数据分析提供了有力支持。</w:t>
      </w:r>
    </w:p>
    <w:p w14:paraId="01DC83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2D2FFE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通过对</w:t>
      </w:r>
      <w:r>
        <w:rPr>
          <w:rFonts w:hint="eastAsia" w:ascii="Times New Roman" w:hAnsi="Times New Roman" w:eastAsia="仿宋_GB2312" w:cs="Times New Roman"/>
          <w:b w:val="0"/>
          <w:bCs w:val="0"/>
          <w:kern w:val="2"/>
          <w:sz w:val="32"/>
          <w:szCs w:val="32"/>
          <w:highlight w:val="none"/>
          <w:lang w:val="en-US" w:eastAsia="zh-CN" w:bidi="ar-SA"/>
        </w:rPr>
        <w:t>设定的产出</w:t>
      </w: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、成本指标、效益指标</w:t>
      </w:r>
      <w:r>
        <w:rPr>
          <w:rFonts w:hint="default" w:ascii="Times New Roman" w:hAnsi="Times New Roman" w:eastAsia="仿宋_GB2312" w:cs="Times New Roman"/>
          <w:b w:val="0"/>
          <w:bCs w:val="0"/>
          <w:kern w:val="2"/>
          <w:sz w:val="32"/>
          <w:szCs w:val="32"/>
          <w:highlight w:val="none"/>
          <w:lang w:val="en-US" w:eastAsia="zh-CN" w:bidi="ar-SA"/>
        </w:rPr>
        <w:t>的实际完成情况与预期目标进行对比，计算出指标的</w:t>
      </w:r>
      <w:r>
        <w:rPr>
          <w:rFonts w:hint="eastAsia" w:ascii="Times New Roman" w:hAnsi="Times New Roman" w:eastAsia="仿宋_GB2312" w:cs="Times New Roman"/>
          <w:b w:val="0"/>
          <w:bCs w:val="0"/>
          <w:kern w:val="2"/>
          <w:sz w:val="32"/>
          <w:szCs w:val="32"/>
          <w:highlight w:val="none"/>
          <w:lang w:val="en-US" w:eastAsia="zh-CN" w:bidi="ar-SA"/>
        </w:rPr>
        <w:t>完成</w:t>
      </w:r>
      <w:r>
        <w:rPr>
          <w:rFonts w:hint="default" w:ascii="Times New Roman" w:hAnsi="Times New Roman" w:eastAsia="仿宋_GB2312" w:cs="Times New Roman"/>
          <w:b w:val="0"/>
          <w:bCs w:val="0"/>
          <w:kern w:val="2"/>
          <w:sz w:val="32"/>
          <w:szCs w:val="32"/>
          <w:highlight w:val="none"/>
          <w:lang w:val="en-US" w:eastAsia="zh-CN" w:bidi="ar-SA"/>
        </w:rPr>
        <w:t>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259BF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71189E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9D8C4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80EFD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FF66C62">
      <w:pPr>
        <w:numPr>
          <w:ilvl w:val="0"/>
          <w:numId w:val="2"/>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5274A71F">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（一）评价情况</w:t>
      </w:r>
    </w:p>
    <w:p w14:paraId="70C29D5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val="0"/>
          <w:bCs w:val="0"/>
          <w:kern w:val="2"/>
          <w:sz w:val="32"/>
          <w:szCs w:val="32"/>
          <w:highlight w:val="none"/>
          <w:lang w:val="en-US" w:eastAsia="zh-CN" w:bidi="ar-SA"/>
        </w:rPr>
        <w:t>本项目的综合评价基于对项目各方面绩效的深入分析与评估。从项目目标的达成情况来看，巴财行[2023]47号2023年度自治区药品抽检经费</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在新建假劣药品鉴别展示室数量、资金支付及时率等方面表现出色，达到了预期的标准与要求。同时，项目也</w:t>
      </w:r>
      <w:r>
        <w:rPr>
          <w:rFonts w:hint="eastAsia" w:ascii="Times New Roman" w:hAnsi="Times New Roman" w:eastAsia="仿宋_GB2312" w:cs="Times New Roman"/>
          <w:b w:val="0"/>
          <w:bCs w:val="0"/>
          <w:kern w:val="2"/>
          <w:sz w:val="32"/>
          <w:szCs w:val="32"/>
          <w:highlight w:val="none"/>
          <w:lang w:val="en-US" w:eastAsia="zh-CN" w:bidi="ar-SA"/>
        </w:rPr>
        <w:t>在社会效益方面</w:t>
      </w:r>
      <w:r>
        <w:rPr>
          <w:rFonts w:hint="default" w:ascii="Times New Roman" w:hAnsi="Times New Roman" w:eastAsia="仿宋_GB2312" w:cs="Times New Roman"/>
          <w:b w:val="0"/>
          <w:bCs w:val="0"/>
          <w:kern w:val="2"/>
          <w:sz w:val="32"/>
          <w:szCs w:val="32"/>
          <w:highlight w:val="none"/>
          <w:lang w:val="en-US" w:eastAsia="zh-CN" w:bidi="ar-SA"/>
        </w:rPr>
        <w:t>取得了显著的成效，如</w:t>
      </w:r>
      <w:r>
        <w:rPr>
          <w:rFonts w:hint="eastAsia" w:ascii="Times New Roman" w:hAnsi="Times New Roman" w:eastAsia="仿宋_GB2312" w:cs="Times New Roman"/>
          <w:b w:val="0"/>
          <w:bCs w:val="0"/>
          <w:kern w:val="2"/>
          <w:sz w:val="32"/>
          <w:szCs w:val="32"/>
          <w:highlight w:val="none"/>
          <w:lang w:val="en-US" w:eastAsia="zh-CN" w:bidi="ar-SA"/>
        </w:rPr>
        <w:t>药品安全社会共治能力提高率</w:t>
      </w:r>
      <w:r>
        <w:rPr>
          <w:rFonts w:hint="default" w:ascii="Times New Roman" w:hAnsi="Times New Roman" w:eastAsia="仿宋_GB2312" w:cs="Times New Roman"/>
          <w:b w:val="0"/>
          <w:bCs w:val="0"/>
          <w:kern w:val="2"/>
          <w:sz w:val="32"/>
          <w:szCs w:val="32"/>
          <w:highlight w:val="none"/>
          <w:lang w:val="en-US" w:eastAsia="zh-CN" w:bidi="ar-SA"/>
        </w:rPr>
        <w:t>。</w:t>
      </w:r>
    </w:p>
    <w:p w14:paraId="105E446C">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在项目管理方面，</w:t>
      </w:r>
      <w:r>
        <w:rPr>
          <w:rFonts w:hint="eastAsia" w:ascii="Times New Roman" w:hAnsi="Times New Roman" w:eastAsia="仿宋_GB2312" w:cs="Times New Roman"/>
          <w:b w:val="0"/>
          <w:bCs w:val="0"/>
          <w:kern w:val="2"/>
          <w:sz w:val="32"/>
          <w:szCs w:val="32"/>
          <w:highlight w:val="none"/>
          <w:lang w:val="en-US" w:eastAsia="zh-CN" w:bidi="ar-SA"/>
        </w:rPr>
        <w:t>库尔勒市市场监督管理局</w:t>
      </w:r>
      <w:r>
        <w:rPr>
          <w:rFonts w:hint="default" w:ascii="Times New Roman" w:hAnsi="Times New Roman" w:eastAsia="仿宋_GB2312" w:cs="Times New Roman"/>
          <w:b w:val="0"/>
          <w:bCs w:val="0"/>
          <w:kern w:val="2"/>
          <w:sz w:val="32"/>
          <w:szCs w:val="32"/>
          <w:highlight w:val="none"/>
          <w:lang w:val="en-US" w:eastAsia="zh-CN" w:bidi="ar-SA"/>
        </w:rPr>
        <w:t>通过有效的规划、组织与协调，项目得以顺利实施，并在预算与时间上保持了良好的控制。</w:t>
      </w:r>
    </w:p>
    <w:p w14:paraId="127EBB2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从项目效益的角度来看，本项目实现了预期的社会效益方面产生了积极的影响。具体而言，</w:t>
      </w:r>
      <w:r>
        <w:rPr>
          <w:rFonts w:hint="eastAsia" w:ascii="Times New Roman" w:hAnsi="Times New Roman" w:eastAsia="仿宋_GB2312" w:cs="Times New Roman"/>
          <w:b w:val="0"/>
          <w:bCs w:val="0"/>
          <w:kern w:val="2"/>
          <w:sz w:val="32"/>
          <w:szCs w:val="32"/>
          <w:highlight w:val="none"/>
          <w:lang w:val="en-US" w:eastAsia="zh-CN" w:bidi="ar-SA"/>
        </w:rPr>
        <w:t>药品安全社会共治能力提高率</w:t>
      </w:r>
      <w:r>
        <w:rPr>
          <w:rFonts w:hint="default" w:ascii="Times New Roman" w:hAnsi="Times New Roman" w:eastAsia="仿宋_GB2312" w:cs="Times New Roman"/>
          <w:b w:val="0"/>
          <w:bCs w:val="0"/>
          <w:kern w:val="2"/>
          <w:sz w:val="32"/>
          <w:szCs w:val="32"/>
          <w:highlight w:val="none"/>
          <w:lang w:val="en-US" w:eastAsia="zh-CN" w:bidi="ar-SA"/>
        </w:rPr>
        <w:t>等方面的提升，为项目的利益相关者带来了实实在在的利益。</w:t>
      </w:r>
    </w:p>
    <w:p w14:paraId="6F2CE7AB">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b w:val="0"/>
          <w:bCs w:val="0"/>
          <w:kern w:val="2"/>
          <w:sz w:val="32"/>
          <w:szCs w:val="32"/>
          <w:highlight w:val="none"/>
          <w:lang w:val="en-US" w:eastAsia="zh-CN" w:bidi="ar-SA"/>
        </w:rPr>
        <w:t>综上所述，巴财行[2023]47号2023年度自治区药品抽检经费</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在绩效评价中表现出色，达到了项目的预期目标，并在多个方面取得了显著的成效。</w:t>
      </w:r>
    </w:p>
    <w:p w14:paraId="406EAFBF">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（二）评价结论</w:t>
      </w:r>
    </w:p>
    <w:p w14:paraId="4F6743F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0B82D5D3">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31EEE8E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F2D9981">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27173E7">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10FCBC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379072D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1F52D58">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7D45CBA1">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AC03622">
            <w:pPr>
              <w:jc w:val="center"/>
              <w:rPr>
                <w:rFonts w:hint="eastAsia"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683C879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38C155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257188A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FD8E4B8">
            <w:pPr>
              <w:jc w:val="center"/>
              <w:rPr>
                <w:rFonts w:hint="eastAsia"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79C40B6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F40517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2EE55D6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59AE74D">
            <w:pPr>
              <w:jc w:val="center"/>
              <w:rPr>
                <w:rFonts w:hint="eastAsia"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14:paraId="5E694EC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1CB917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5A896CA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8CDD426">
            <w:pPr>
              <w:jc w:val="center"/>
              <w:rPr>
                <w:rFonts w:hint="eastAsia"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14:paraId="5C71DE9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9147B40">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2CFB3712">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B976E14">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0170BBB7">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7243128F">
      <w:pPr>
        <w:spacing w:line="560" w:lineRule="exact"/>
        <w:ind w:firstLine="627" w:firstLineChars="200"/>
        <w:rPr>
          <w:rFonts w:hint="default" w:eastAsia="楷体" w:cs="Times New Roman"/>
          <w:b/>
          <w:spacing w:val="-4"/>
          <w:sz w:val="32"/>
          <w:szCs w:val="32"/>
          <w:highlight w:val="none"/>
          <w:lang w:val="en-US" w:eastAsia="zh-CN"/>
        </w:rPr>
      </w:pPr>
      <w:r>
        <w:rPr>
          <w:rFonts w:hint="default" w:eastAsia="楷体" w:cs="Times New Roman"/>
          <w:b/>
          <w:spacing w:val="-4"/>
          <w:sz w:val="32"/>
          <w:szCs w:val="32"/>
          <w:highlight w:val="none"/>
          <w:lang w:val="en-US" w:eastAsia="zh-CN"/>
        </w:rPr>
        <w:t>（一）项目决策情况</w:t>
      </w:r>
    </w:p>
    <w:p w14:paraId="2A2DD49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08176F0">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CEBF3B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52F5FC40">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近年来，药品安全隐患突出，药品研发、生产、流通环节存在质量风险，如假药、劣药问题，以及药品不良反应监测不足等，随着生活水平提升，公众对药品安全的关注度和维权意识增强，对安全、优质产品的需求迫切。建立假劣药品鉴别展示室，开展药品、医疗器械、化妆品抽检工作，能够稳步提升药品安全的社会共治能力，提高执法人员、群众对假劣药品识别能力，普及和提高药品安全知识，让广大消费者成为药品安全的参与者、见证者和监督者，形成药品安全社会共治的良好局面。</w:t>
      </w:r>
    </w:p>
    <w:p w14:paraId="5D8AE99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7475494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44A4308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2"/>
          <w:sz w:val="32"/>
          <w:szCs w:val="32"/>
          <w:highlight w:val="none"/>
          <w:lang w:val="en-US" w:eastAsia="zh-CN" w:bidi="ar-SA"/>
        </w:rPr>
        <w:t>项目严格按照规定的审批流程进行立项申报。首先，我单位向直属上级部门（巴州市场监督管理局）提交立项申请材料，包括资金预算方案、绩效目标表等。直属上级部门收到申请后，对项目的合规性、必要性、可行性进行审核，根据审核结果，对符合要求的项目予以批复立项，整个审批流程公开透明、严谨规范。立项获批后，我单位进一步细化项目规划，明确了假劣药品展示室的功能定位、建设规模、设备配置等内容，同时，对展示室设备采购费用、“两品一械”抽检费用进行详细测算。项目规划和预算编制过程严格遵循《食品药品监管补助资金管理暂行办法》，为项目的顺利实施提供了有力保障。</w:t>
      </w:r>
    </w:p>
    <w:p w14:paraId="19C3098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400E12C1">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221192D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68A613AB">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Hans" w:bidi="ar-SA"/>
        </w:rPr>
        <w:t>年初结合实际工作内容</w:t>
      </w:r>
      <w:r>
        <w:rPr>
          <w:rFonts w:hint="default" w:ascii="Times New Roman" w:hAnsi="Times New Roman" w:eastAsia="仿宋_GB2312" w:cs="Times New Roman"/>
          <w:b w:val="0"/>
          <w:bCs w:val="0"/>
          <w:kern w:val="2"/>
          <w:sz w:val="32"/>
          <w:szCs w:val="32"/>
          <w:highlight w:val="none"/>
          <w:lang w:val="en-US" w:eastAsia="zh-CN" w:bidi="ar-SA"/>
        </w:rPr>
        <w:t>设定绩效目标</w:t>
      </w:r>
      <w:r>
        <w:rPr>
          <w:rFonts w:hint="default" w:ascii="Times New Roman" w:hAnsi="Times New Roman" w:eastAsia="仿宋_GB2312" w:cs="Times New Roman"/>
          <w:b w:val="0"/>
          <w:bCs w:val="0"/>
          <w:kern w:val="2"/>
          <w:sz w:val="32"/>
          <w:szCs w:val="32"/>
          <w:highlight w:val="none"/>
          <w:lang w:val="en-US" w:eastAsia="zh-Hans" w:bidi="ar-SA"/>
        </w:rPr>
        <w:t>，绩效目标</w:t>
      </w:r>
      <w:r>
        <w:rPr>
          <w:rFonts w:hint="default" w:ascii="Times New Roman" w:hAnsi="Times New Roman" w:eastAsia="仿宋_GB2312" w:cs="Times New Roman"/>
          <w:b w:val="0"/>
          <w:bCs w:val="0"/>
          <w:kern w:val="2"/>
          <w:sz w:val="32"/>
          <w:szCs w:val="32"/>
          <w:highlight w:val="none"/>
          <w:lang w:val="en-US" w:eastAsia="zh-CN" w:bidi="ar-SA"/>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F63C76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79206AA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714AE39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kern w:val="2"/>
          <w:sz w:val="32"/>
          <w:szCs w:val="32"/>
          <w:highlight w:val="none"/>
          <w:lang w:val="en-US" w:eastAsia="zh-CN" w:bidi="ar-SA"/>
        </w:rPr>
        <w:t>项目设置了明确的预期产出效益和效果，将绩效目标细化分解为具体的绩效指标，绩效目标与项目目标任务数相对应，绩效目标设定的绩效指标清晰、细化、可衡量。</w:t>
      </w:r>
    </w:p>
    <w:p w14:paraId="25F3D74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14:paraId="06573688">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5ED34FD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483BD404">
      <w:pPr>
        <w:shd w:val="clear"/>
        <w:spacing w:line="600" w:lineRule="exact"/>
        <w:ind w:firstLine="640" w:firstLineChars="200"/>
        <w:outlineLvl w:val="0"/>
        <w:rPr>
          <w:rFonts w:hint="eastAsia"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项目预算严格遵循国家及地方财政法规，结合</w:t>
      </w:r>
      <w:r>
        <w:rPr>
          <w:rFonts w:hint="eastAsia" w:ascii="Times New Roman" w:hAnsi="Times New Roman" w:eastAsia="仿宋_GB2312" w:cs="Times New Roman"/>
          <w:b w:val="0"/>
          <w:bCs w:val="0"/>
          <w:kern w:val="2"/>
          <w:sz w:val="32"/>
          <w:szCs w:val="32"/>
          <w:highlight w:val="none"/>
          <w:lang w:val="en-US" w:eastAsia="zh-CN" w:bidi="ar-SA"/>
        </w:rPr>
        <w:t>假劣药品展示</w:t>
      </w:r>
      <w:r>
        <w:rPr>
          <w:rFonts w:hint="default" w:ascii="Times New Roman" w:hAnsi="Times New Roman" w:eastAsia="仿宋_GB2312" w:cs="Times New Roman"/>
          <w:b w:val="0"/>
          <w:bCs w:val="0"/>
          <w:kern w:val="2"/>
          <w:sz w:val="32"/>
          <w:szCs w:val="32"/>
          <w:highlight w:val="none"/>
          <w:lang w:val="en-US" w:eastAsia="zh-CN" w:bidi="ar-SA"/>
        </w:rPr>
        <w:t>室建设标准、设备市场调研数据、</w:t>
      </w:r>
      <w:r>
        <w:rPr>
          <w:rFonts w:hint="eastAsia" w:ascii="Times New Roman" w:hAnsi="Times New Roman" w:eastAsia="仿宋_GB2312" w:cs="Times New Roman"/>
          <w:b w:val="0"/>
          <w:bCs w:val="0"/>
          <w:kern w:val="2"/>
          <w:sz w:val="32"/>
          <w:szCs w:val="32"/>
          <w:highlight w:val="none"/>
          <w:lang w:val="en-US" w:eastAsia="zh-CN" w:bidi="ar-SA"/>
        </w:rPr>
        <w:t>抽样检测费用</w:t>
      </w:r>
      <w:r>
        <w:rPr>
          <w:rFonts w:hint="default" w:ascii="Times New Roman" w:hAnsi="Times New Roman" w:eastAsia="仿宋_GB2312" w:cs="Times New Roman"/>
          <w:b w:val="0"/>
          <w:bCs w:val="0"/>
          <w:kern w:val="2"/>
          <w:sz w:val="32"/>
          <w:szCs w:val="32"/>
          <w:highlight w:val="none"/>
          <w:lang w:val="en-US" w:eastAsia="zh-CN" w:bidi="ar-SA"/>
        </w:rPr>
        <w:t>及地区物价水平进行编制</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确保预算数据真实反映项目实际需求</w:t>
      </w:r>
      <w:r>
        <w:rPr>
          <w:rFonts w:hint="eastAsia" w:ascii="Times New Roman" w:hAnsi="Times New Roman" w:eastAsia="仿宋_GB2312" w:cs="Times New Roman"/>
          <w:b w:val="0"/>
          <w:bCs w:val="0"/>
          <w:kern w:val="2"/>
          <w:sz w:val="32"/>
          <w:szCs w:val="32"/>
          <w:highlight w:val="none"/>
          <w:lang w:val="en-US" w:eastAsia="zh-CN" w:bidi="ar-SA"/>
        </w:rPr>
        <w:t>。</w:t>
      </w:r>
    </w:p>
    <w:p w14:paraId="3DEAE7D1">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同时</w:t>
      </w:r>
      <w:r>
        <w:rPr>
          <w:rFonts w:hint="default" w:ascii="Times New Roman" w:hAnsi="Times New Roman" w:eastAsia="仿宋_GB2312" w:cs="Times New Roman"/>
          <w:b w:val="0"/>
          <w:bCs w:val="0"/>
          <w:kern w:val="2"/>
          <w:sz w:val="32"/>
          <w:szCs w:val="32"/>
          <w:highlight w:val="none"/>
          <w:lang w:val="en-US" w:eastAsia="zh-CN" w:bidi="ar-SA"/>
        </w:rPr>
        <w:t>预算数据与市场同类项目可比，关键设备价格经过至少3家供应商报价比对，充分考虑了项目实施过程中的不确定性因素，预留了合理比例的不可预见费，保障预算具有一定弹性。</w:t>
      </w:r>
    </w:p>
    <w:p w14:paraId="7372626A">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预算编制与项目绩效目标紧密挂钩，每项支出均明确对应具体建设任务和预期成果，确保资金投入与产出效益相匹配，为项目顺利推进提供资金保障。</w:t>
      </w:r>
    </w:p>
    <w:p w14:paraId="3FECB13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4DEC5E8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b w:val="0"/>
          <w:bCs w:val="0"/>
          <w:kern w:val="2"/>
          <w:sz w:val="32"/>
          <w:szCs w:val="32"/>
          <w:highlight w:val="none"/>
          <w:lang w:val="en-US" w:eastAsia="zh-CN" w:bidi="ar-SA"/>
        </w:rPr>
        <w:t>资金分配合理性</w:t>
      </w:r>
    </w:p>
    <w:p w14:paraId="5EC170F2">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资金分配遵循“突出重点、兼顾全面”原则，优先保障核心设备采购（占总预算</w:t>
      </w:r>
      <w:r>
        <w:rPr>
          <w:rFonts w:hint="eastAsia" w:ascii="Times New Roman" w:hAnsi="Times New Roman" w:eastAsia="仿宋_GB2312" w:cs="Times New Roman"/>
          <w:b w:val="0"/>
          <w:bCs w:val="0"/>
          <w:kern w:val="2"/>
          <w:sz w:val="32"/>
          <w:szCs w:val="32"/>
          <w:highlight w:val="none"/>
          <w:lang w:val="en-US" w:eastAsia="zh-CN" w:bidi="ar-SA"/>
        </w:rPr>
        <w:t>55</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陈列展示品</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15</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抽样检测费（30%），</w:t>
      </w:r>
      <w:r>
        <w:rPr>
          <w:rFonts w:hint="default" w:ascii="Times New Roman" w:hAnsi="Times New Roman" w:eastAsia="仿宋_GB2312" w:cs="Times New Roman"/>
          <w:b w:val="0"/>
          <w:bCs w:val="0"/>
          <w:kern w:val="2"/>
          <w:sz w:val="32"/>
          <w:szCs w:val="32"/>
          <w:highlight w:val="none"/>
          <w:lang w:val="en-US" w:eastAsia="zh-CN" w:bidi="ar-SA"/>
        </w:rPr>
        <w:t>保证项目可持续运行。</w:t>
      </w:r>
    </w:p>
    <w:p w14:paraId="36DCC4B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资金分配结构充分考虑项目各环节的关联性和重要性，避免出现资金过度集中或短缺现象。建立资金分配动态调整机制，根据项目实施进度和实际需求变化，在预算总额范围内对资金分配进行适度调整，确保资金分配始终契合项目建设实际情况。</w:t>
      </w:r>
    </w:p>
    <w:p w14:paraId="32B652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4C101B24">
      <w:pPr>
        <w:spacing w:line="560" w:lineRule="exact"/>
        <w:ind w:firstLine="627" w:firstLineChars="200"/>
        <w:rPr>
          <w:rFonts w:hint="default" w:eastAsia="楷体" w:cs="Times New Roman"/>
          <w:b/>
          <w:spacing w:val="-4"/>
          <w:sz w:val="32"/>
          <w:szCs w:val="32"/>
          <w:highlight w:val="none"/>
          <w:lang w:val="en-US" w:eastAsia="zh-CN"/>
        </w:rPr>
      </w:pPr>
      <w:r>
        <w:rPr>
          <w:rFonts w:hint="eastAsia" w:eastAsia="楷体" w:cs="Times New Roman"/>
          <w:b/>
          <w:spacing w:val="-4"/>
          <w:sz w:val="32"/>
          <w:szCs w:val="32"/>
          <w:highlight w:val="none"/>
          <w:lang w:val="en-US" w:eastAsia="zh-CN"/>
        </w:rPr>
        <w:t>（二）</w:t>
      </w:r>
      <w:r>
        <w:rPr>
          <w:rFonts w:hint="default" w:eastAsia="楷体" w:cs="Times New Roman"/>
          <w:b/>
          <w:spacing w:val="-4"/>
          <w:sz w:val="32"/>
          <w:szCs w:val="32"/>
          <w:highlight w:val="none"/>
          <w:lang w:val="en-US" w:eastAsia="zh-CN"/>
        </w:rPr>
        <w:t>项目过程情况</w:t>
      </w:r>
    </w:p>
    <w:p w14:paraId="09612E3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9D2D4E9">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7399B23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5D058B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5BA030A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6320D6F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FECB35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B30E0B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14:paraId="6FDAAD5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2BC91DE7">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资金使用</w:t>
      </w:r>
      <w:r>
        <w:rPr>
          <w:rFonts w:hint="eastAsia" w:ascii="Times New Roman" w:hAnsi="Times New Roman" w:eastAsia="仿宋_GB2312" w:cs="Times New Roman"/>
          <w:b w:val="0"/>
          <w:bCs w:val="0"/>
          <w:kern w:val="2"/>
          <w:sz w:val="32"/>
          <w:szCs w:val="32"/>
          <w:highlight w:val="none"/>
          <w:lang w:val="en-US" w:eastAsia="zh-CN" w:bidi="ar-SA"/>
        </w:rPr>
        <w:t>严格遵循《食品药品监管补助资金管理暂行办法》、《</w:t>
      </w:r>
      <w:r>
        <w:rPr>
          <w:rFonts w:hint="default" w:ascii="Times New Roman" w:hAnsi="Times New Roman" w:eastAsia="仿宋_GB2312" w:cs="Times New Roman"/>
          <w:b w:val="0"/>
          <w:bCs w:val="0"/>
          <w:kern w:val="2"/>
          <w:sz w:val="32"/>
          <w:szCs w:val="32"/>
          <w:highlight w:val="none"/>
          <w:lang w:val="en-US" w:eastAsia="zh-CN" w:bidi="ar-SA"/>
        </w:rPr>
        <w:t>政府采购制度</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及</w:t>
      </w:r>
      <w:r>
        <w:rPr>
          <w:rFonts w:hint="eastAsia" w:ascii="Times New Roman" w:hAnsi="Times New Roman" w:eastAsia="仿宋_GB2312" w:cs="Times New Roman"/>
          <w:b w:val="0"/>
          <w:bCs w:val="0"/>
          <w:kern w:val="2"/>
          <w:sz w:val="32"/>
          <w:szCs w:val="32"/>
          <w:highlight w:val="none"/>
          <w:lang w:val="en-US" w:eastAsia="zh-CN" w:bidi="ar-SA"/>
        </w:rPr>
        <w:t>我</w:t>
      </w:r>
      <w:r>
        <w:rPr>
          <w:rFonts w:hint="default" w:ascii="Times New Roman" w:hAnsi="Times New Roman" w:eastAsia="仿宋_GB2312" w:cs="Times New Roman"/>
          <w:b w:val="0"/>
          <w:bCs w:val="0"/>
          <w:kern w:val="2"/>
          <w:sz w:val="32"/>
          <w:szCs w:val="32"/>
          <w:highlight w:val="none"/>
          <w:lang w:val="en-US" w:eastAsia="zh-CN" w:bidi="ar-SA"/>
        </w:rPr>
        <w:t>单位内部财务管理制度。所有支出均履行审批手续，做到手续完备、票据齐全、账目清晰。</w:t>
      </w:r>
    </w:p>
    <w:p w14:paraId="646D329F">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设立独立的项目资金</w:t>
      </w:r>
      <w:r>
        <w:rPr>
          <w:rFonts w:hint="eastAsia" w:ascii="Times New Roman" w:hAnsi="Times New Roman" w:eastAsia="仿宋_GB2312" w:cs="Times New Roman"/>
          <w:b w:val="0"/>
          <w:bCs w:val="0"/>
          <w:kern w:val="2"/>
          <w:sz w:val="32"/>
          <w:szCs w:val="32"/>
          <w:highlight w:val="none"/>
          <w:lang w:val="en-US" w:eastAsia="zh-CN" w:bidi="ar-SA"/>
        </w:rPr>
        <w:t>指标</w:t>
      </w:r>
      <w:r>
        <w:rPr>
          <w:rFonts w:hint="default" w:ascii="Times New Roman" w:hAnsi="Times New Roman" w:eastAsia="仿宋_GB2312" w:cs="Times New Roman"/>
          <w:b w:val="0"/>
          <w:bCs w:val="0"/>
          <w:kern w:val="2"/>
          <w:sz w:val="32"/>
          <w:szCs w:val="32"/>
          <w:highlight w:val="none"/>
          <w:lang w:val="en-US" w:eastAsia="zh-CN" w:bidi="ar-SA"/>
        </w:rPr>
        <w:t>，实行专款专用，严禁挪用、挤占项目资金。资金支付严格按照合同约定和项目进度进行，确保资金流向与项目建设内容一致。</w:t>
      </w:r>
    </w:p>
    <w:p w14:paraId="18B07A3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b w:val="0"/>
          <w:bCs w:val="0"/>
          <w:kern w:val="2"/>
          <w:sz w:val="32"/>
          <w:szCs w:val="32"/>
          <w:highlight w:val="none"/>
          <w:lang w:val="en-US" w:eastAsia="zh-CN" w:bidi="ar-SA"/>
        </w:rPr>
        <w:t>建立健全资金使用监督机制，定期对资金使用情况进行内部审计和外部检查，及时发现和纠正资金使用过程中存在的问题，防范财务风险。</w:t>
      </w:r>
    </w:p>
    <w:p w14:paraId="2A96B7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14:paraId="58F76D4E">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89A231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1873CFCC">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制定涵盖项目管理、财务管理、</w:t>
      </w:r>
      <w:r>
        <w:rPr>
          <w:rFonts w:hint="eastAsia" w:ascii="Times New Roman" w:hAnsi="Times New Roman" w:eastAsia="仿宋_GB2312" w:cs="Times New Roman"/>
          <w:b w:val="0"/>
          <w:bCs w:val="0"/>
          <w:kern w:val="2"/>
          <w:sz w:val="32"/>
          <w:szCs w:val="32"/>
          <w:highlight w:val="none"/>
          <w:lang w:val="en-US" w:eastAsia="zh-CN" w:bidi="ar-SA"/>
        </w:rPr>
        <w:t>采购</w:t>
      </w:r>
      <w:r>
        <w:rPr>
          <w:rFonts w:hint="default" w:ascii="Times New Roman" w:hAnsi="Times New Roman" w:eastAsia="仿宋_GB2312" w:cs="Times New Roman"/>
          <w:b w:val="0"/>
          <w:bCs w:val="0"/>
          <w:kern w:val="2"/>
          <w:sz w:val="32"/>
          <w:szCs w:val="32"/>
          <w:highlight w:val="none"/>
          <w:lang w:val="en-US" w:eastAsia="zh-CN" w:bidi="ar-SA"/>
        </w:rPr>
        <w:t>管理等方面的完整制度体系。包括《项目资金管理细则》</w:t>
      </w:r>
      <w:r>
        <w:rPr>
          <w:rFonts w:hint="eastAsia" w:ascii="Times New Roman" w:hAnsi="Times New Roman" w:eastAsia="仿宋_GB2312" w:cs="Times New Roman"/>
          <w:b w:val="0"/>
          <w:bCs w:val="0"/>
          <w:kern w:val="2"/>
          <w:sz w:val="32"/>
          <w:szCs w:val="32"/>
          <w:highlight w:val="none"/>
          <w:lang w:val="en-US" w:eastAsia="zh-CN" w:bidi="ar-SA"/>
        </w:rPr>
        <w:t>《政府采购制度》《绩效管理方案》</w:t>
      </w:r>
      <w:r>
        <w:rPr>
          <w:rFonts w:hint="default" w:ascii="Times New Roman" w:hAnsi="Times New Roman" w:eastAsia="仿宋_GB2312" w:cs="Times New Roman"/>
          <w:b w:val="0"/>
          <w:bCs w:val="0"/>
          <w:kern w:val="2"/>
          <w:sz w:val="32"/>
          <w:szCs w:val="32"/>
          <w:highlight w:val="none"/>
          <w:lang w:val="en-US" w:eastAsia="zh-CN" w:bidi="ar-SA"/>
        </w:rPr>
        <w:t>等，为项目实施提供全面制度保障。</w:t>
      </w:r>
    </w:p>
    <w:p w14:paraId="37957E88">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建立完善的内部控制制度，明确各部门和岗位的职责权限，形成相互制约、相互监督的工作机制。例如，在资金审批环节，实行分级授权、交叉审核，防止权力滥用。</w:t>
      </w:r>
    </w:p>
    <w:p w14:paraId="3DBFF28C">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根据国家政策法规变化和项目实际需求，及时对管理制度进行修订和完善，确保制度的适应性和有效性。</w:t>
      </w:r>
    </w:p>
    <w:p w14:paraId="4341D627">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099B18C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7BCFA358">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项目实施过程中，各项管理制度得到有效执行，制度执行率达95%以上。通过定期检查和考核，确保各部门和人员严格按照制度要求开展工作。</w:t>
      </w:r>
    </w:p>
    <w:p w14:paraId="6DF99F65">
      <w:pPr>
        <w:shd w:val="clear"/>
        <w:spacing w:line="600" w:lineRule="exact"/>
        <w:ind w:firstLine="640" w:firstLineChars="200"/>
        <w:outlineLvl w:val="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在具体执行过程中，项目团队成员严格按照制度要求进行操作。针对制度执行过程中发现的问题，及时制定整改措施并跟踪落实，形成问题整改闭环管理，不断提高制度执行效果。</w:t>
      </w:r>
    </w:p>
    <w:p w14:paraId="57BFC26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val="0"/>
          <w:bCs w:val="0"/>
          <w:kern w:val="2"/>
          <w:sz w:val="32"/>
          <w:szCs w:val="32"/>
          <w:highlight w:val="none"/>
          <w:lang w:val="en-US" w:eastAsia="zh-CN" w:bidi="ar-SA"/>
        </w:rPr>
        <w:t>此项权重分值为4分，得分为4分。</w:t>
      </w:r>
    </w:p>
    <w:p w14:paraId="2ED05704">
      <w:pPr>
        <w:spacing w:line="560" w:lineRule="exact"/>
        <w:ind w:firstLine="627" w:firstLineChars="200"/>
        <w:rPr>
          <w:rFonts w:hint="default" w:eastAsia="楷体" w:cs="Times New Roman"/>
          <w:b/>
          <w:spacing w:val="-4"/>
          <w:sz w:val="32"/>
          <w:szCs w:val="32"/>
          <w:highlight w:val="none"/>
          <w:lang w:val="en-US" w:eastAsia="zh-CN"/>
        </w:rPr>
      </w:pPr>
      <w:r>
        <w:rPr>
          <w:rFonts w:hint="eastAsia" w:eastAsia="楷体" w:cs="Times New Roman"/>
          <w:b/>
          <w:spacing w:val="-4"/>
          <w:sz w:val="32"/>
          <w:szCs w:val="32"/>
          <w:highlight w:val="none"/>
          <w:lang w:val="en-US" w:eastAsia="zh-CN"/>
        </w:rPr>
        <w:t>（三）</w:t>
      </w:r>
      <w:r>
        <w:rPr>
          <w:rFonts w:hint="default" w:eastAsia="楷体" w:cs="Times New Roman"/>
          <w:b/>
          <w:spacing w:val="-4"/>
          <w:sz w:val="32"/>
          <w:szCs w:val="32"/>
          <w:highlight w:val="none"/>
          <w:lang w:val="en-US" w:eastAsia="zh-CN"/>
        </w:rPr>
        <w:t>项目产出情况</w:t>
      </w:r>
    </w:p>
    <w:p w14:paraId="031338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2408CA5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87810FB">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新建假劣药品鉴别展示室数量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大于等于</w:t>
      </w:r>
      <w:r>
        <w:rPr>
          <w:rFonts w:hint="default" w:ascii="Times New Roman" w:hAnsi="Times New Roman"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1DB15DE7">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药品/医疗器械/化妆品质量监督抽检批次</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大于等于20批次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27批次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135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偏差原因：目标指标设置过低；改进措施：今后合理设置目标指标。</w:t>
      </w:r>
    </w:p>
    <w:p w14:paraId="20A1010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5A2B5F8E">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快检实验室验收合格率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等于100%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49A85007">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121E30E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等于100%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ABA68D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75317A58">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新建假劣药品鉴别展示室成本</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小于</w:t>
      </w:r>
      <w:r>
        <w:rPr>
          <w:rFonts w:hint="eastAsia" w:eastAsia="仿宋_GB2312" w:cs="Times New Roman"/>
          <w:sz w:val="32"/>
          <w:szCs w:val="32"/>
          <w:highlight w:val="none"/>
          <w:lang w:val="en-US" w:eastAsia="zh-CN"/>
        </w:rPr>
        <w:t>等于3.50万元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3.50万元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69C0F78">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抽检工作相关支出成本</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小于</w:t>
      </w:r>
      <w:r>
        <w:rPr>
          <w:rFonts w:hint="eastAsia" w:eastAsia="仿宋_GB2312" w:cs="Times New Roman"/>
          <w:sz w:val="32"/>
          <w:szCs w:val="32"/>
          <w:highlight w:val="none"/>
          <w:lang w:val="en-US" w:eastAsia="zh-CN"/>
        </w:rPr>
        <w:t>等于1.50万元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1.50万元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3B9930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此项权重分值为40分，得分为40分。</w:t>
      </w:r>
    </w:p>
    <w:p w14:paraId="33C37787">
      <w:pPr>
        <w:spacing w:line="560" w:lineRule="exact"/>
        <w:ind w:firstLine="627" w:firstLineChars="200"/>
        <w:rPr>
          <w:rFonts w:hint="default" w:ascii="Times New Roman" w:hAnsi="Times New Roman" w:eastAsia="楷体" w:cs="Times New Roman"/>
          <w:b/>
          <w:spacing w:val="-4"/>
          <w:sz w:val="32"/>
          <w:szCs w:val="32"/>
          <w:highlight w:val="none"/>
          <w:lang w:val="en-US" w:eastAsia="zh-CN"/>
        </w:rPr>
      </w:pPr>
      <w:r>
        <w:rPr>
          <w:rFonts w:hint="eastAsia" w:eastAsia="楷体" w:cs="Times New Roman"/>
          <w:b/>
          <w:spacing w:val="-4"/>
          <w:sz w:val="32"/>
          <w:szCs w:val="32"/>
          <w:highlight w:val="none"/>
          <w:lang w:val="en-US" w:eastAsia="zh-CN"/>
        </w:rPr>
        <w:t>（四）</w:t>
      </w:r>
      <w:r>
        <w:rPr>
          <w:rFonts w:hint="default" w:ascii="Times New Roman" w:hAnsi="Times New Roman" w:eastAsia="楷体" w:cs="Times New Roman"/>
          <w:b/>
          <w:spacing w:val="-4"/>
          <w:sz w:val="32"/>
          <w:szCs w:val="32"/>
          <w:highlight w:val="none"/>
          <w:lang w:val="en-US" w:eastAsia="zh-CN"/>
        </w:rPr>
        <w:t>项目效益情况</w:t>
      </w:r>
    </w:p>
    <w:p w14:paraId="517468E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0856A644">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58C0942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164EB33">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药品安全社会共治能力提高率，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大于</w:t>
      </w:r>
      <w:r>
        <w:rPr>
          <w:rFonts w:hint="eastAsia" w:eastAsia="仿宋_GB2312" w:cs="Times New Roman"/>
          <w:sz w:val="32"/>
          <w:szCs w:val="32"/>
          <w:highlight w:val="none"/>
          <w:lang w:val="en-US" w:eastAsia="zh-CN"/>
        </w:rPr>
        <w:t>等于85%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427471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38E0846B">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群众对食品安全满意度，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大于</w:t>
      </w:r>
      <w:r>
        <w:rPr>
          <w:rFonts w:hint="eastAsia" w:eastAsia="仿宋_GB2312" w:cs="Times New Roman"/>
          <w:sz w:val="32"/>
          <w:szCs w:val="32"/>
          <w:highlight w:val="none"/>
          <w:lang w:val="en-US" w:eastAsia="zh-CN"/>
        </w:rPr>
        <w:t>等于85%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6383475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此项权重分值为20分，得分为20分。</w:t>
      </w:r>
    </w:p>
    <w:p w14:paraId="01CAB371">
      <w:pPr>
        <w:spacing w:line="560" w:lineRule="exact"/>
        <w:ind w:firstLine="627" w:firstLineChars="200"/>
        <w:rPr>
          <w:rFonts w:hint="default" w:ascii="Times New Roman" w:hAnsi="Times New Roman" w:eastAsia="楷体" w:cs="Times New Roman"/>
          <w:b/>
          <w:spacing w:val="-4"/>
          <w:sz w:val="32"/>
          <w:szCs w:val="32"/>
          <w:highlight w:val="none"/>
          <w:lang w:val="en-US" w:eastAsia="zh-Hans"/>
        </w:rPr>
      </w:pPr>
      <w:r>
        <w:rPr>
          <w:rFonts w:hint="default" w:ascii="Times New Roman" w:hAnsi="Times New Roman" w:eastAsia="楷体" w:cs="Times New Roman"/>
          <w:b/>
          <w:spacing w:val="-4"/>
          <w:sz w:val="32"/>
          <w:szCs w:val="32"/>
          <w:highlight w:val="none"/>
          <w:lang w:val="en-US" w:eastAsia="zh-CN"/>
        </w:rPr>
        <w:t>（五）</w:t>
      </w:r>
      <w:r>
        <w:rPr>
          <w:rFonts w:hint="default" w:ascii="Times New Roman" w:hAnsi="Times New Roman" w:eastAsia="楷体" w:cs="Times New Roman"/>
          <w:b/>
          <w:spacing w:val="-4"/>
          <w:sz w:val="32"/>
          <w:szCs w:val="32"/>
          <w:highlight w:val="none"/>
          <w:lang w:val="en-US" w:eastAsia="zh-Hans"/>
        </w:rPr>
        <w:t>预算执行进度与绩效指标总体完成率偏差</w:t>
      </w:r>
    </w:p>
    <w:p w14:paraId="644F6E3A">
      <w:pPr>
        <w:pStyle w:val="20"/>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巴财行[2023]47号2023年度自治区药品抽检经费</w:t>
      </w:r>
      <w:r>
        <w:rPr>
          <w:rFonts w:hint="eastAsia" w:ascii="Times New Roman" w:hAnsi="Times New Roman" w:eastAsia="方正仿宋_GBK" w:cs="Times New Roman"/>
          <w:sz w:val="32"/>
          <w:szCs w:val="32"/>
          <w:highlight w:val="none"/>
          <w:lang w:eastAsia="zh-CN"/>
        </w:rPr>
        <w:t>项目</w:t>
      </w:r>
      <w:r>
        <w:rPr>
          <w:rFonts w:hint="default" w:ascii="Times New Roman" w:hAnsi="Times New Roman" w:eastAsia="方正仿宋_GBK" w:cs="Times New Roman"/>
          <w:sz w:val="32"/>
          <w:szCs w:val="32"/>
          <w:highlight w:val="none"/>
        </w:rPr>
        <w:t>年初预算</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0.00</w:t>
      </w:r>
      <w:r>
        <w:rPr>
          <w:rFonts w:hint="default" w:ascii="Times New Roman" w:hAnsi="Times New Roman" w:eastAsia="方正仿宋_GBK" w:cs="Times New Roman"/>
          <w:sz w:val="32"/>
          <w:szCs w:val="32"/>
          <w:highlight w:val="none"/>
        </w:rPr>
        <w:t>%。</w:t>
      </w:r>
    </w:p>
    <w:p w14:paraId="0B0F6A9B">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79253373">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7A2C3E6D">
      <w:pPr>
        <w:shd w:val="clear"/>
        <w:spacing w:line="600" w:lineRule="exact"/>
        <w:ind w:firstLine="640" w:firstLineChars="200"/>
        <w:outlineLvl w:val="0"/>
        <w:rPr>
          <w:rFonts w:hint="default" w:ascii="Times New Roman" w:hAnsi="Times New Roman" w:eastAsia="方正仿宋_GBK" w:cs="Times New Roman"/>
          <w:kern w:val="0"/>
          <w:sz w:val="32"/>
          <w:szCs w:val="32"/>
          <w:highlight w:val="none"/>
          <w:lang w:val="en-US" w:eastAsia="zh-CN" w:bidi="ar-SA"/>
        </w:rPr>
      </w:pPr>
      <w:r>
        <w:rPr>
          <w:rFonts w:hint="default" w:ascii="Times New Roman" w:hAnsi="Times New Roman" w:eastAsia="方正仿宋_GBK" w:cs="Times New Roman"/>
          <w:kern w:val="0"/>
          <w:sz w:val="32"/>
          <w:szCs w:val="32"/>
          <w:highlight w:val="none"/>
          <w:lang w:val="en-US" w:eastAsia="zh-CN" w:bidi="ar-SA"/>
        </w:rPr>
        <w:t>1.建立科学的绩效指标体系</w:t>
      </w:r>
      <w:r>
        <w:rPr>
          <w:rFonts w:hint="eastAsia" w:ascii="Times New Roman" w:hAnsi="Times New Roman" w:eastAsia="方正仿宋_GBK" w:cs="Times New Roman"/>
          <w:kern w:val="0"/>
          <w:sz w:val="32"/>
          <w:szCs w:val="32"/>
          <w:highlight w:val="none"/>
          <w:lang w:val="en-US" w:eastAsia="zh-CN" w:bidi="ar-SA"/>
        </w:rPr>
        <w:t>，</w:t>
      </w:r>
      <w:r>
        <w:rPr>
          <w:rFonts w:hint="default" w:ascii="Times New Roman" w:hAnsi="Times New Roman" w:eastAsia="方正仿宋_GBK" w:cs="Times New Roman"/>
          <w:kern w:val="0"/>
          <w:sz w:val="32"/>
          <w:szCs w:val="32"/>
          <w:highlight w:val="none"/>
          <w:lang w:val="en-US" w:eastAsia="zh-CN" w:bidi="ar-SA"/>
        </w:rPr>
        <w:t>结合项目目标和特点，制定量化、可衡量的绩效指标</w:t>
      </w:r>
      <w:r>
        <w:rPr>
          <w:rFonts w:hint="eastAsia" w:ascii="Times New Roman" w:hAnsi="Times New Roman" w:eastAsia="方正仿宋_GBK" w:cs="Times New Roman"/>
          <w:kern w:val="0"/>
          <w:sz w:val="32"/>
          <w:szCs w:val="32"/>
          <w:highlight w:val="none"/>
          <w:lang w:val="en-US" w:eastAsia="zh-CN" w:bidi="ar-SA"/>
        </w:rPr>
        <w:t>，</w:t>
      </w:r>
      <w:r>
        <w:rPr>
          <w:rFonts w:hint="default" w:ascii="Times New Roman" w:hAnsi="Times New Roman" w:eastAsia="方正仿宋_GBK" w:cs="Times New Roman"/>
          <w:kern w:val="0"/>
          <w:sz w:val="32"/>
          <w:szCs w:val="32"/>
          <w:highlight w:val="none"/>
          <w:lang w:val="en-US" w:eastAsia="zh-CN" w:bidi="ar-SA"/>
        </w:rPr>
        <w:t>采用分层分类的指标设计，涵盖项目投入、过程管理、产出成果和效益影响等维度，全面反映项目绩效。</w:t>
      </w:r>
    </w:p>
    <w:p w14:paraId="130A6BF3">
      <w:pPr>
        <w:shd w:val="clear"/>
        <w:spacing w:line="600" w:lineRule="exact"/>
        <w:ind w:firstLine="640" w:firstLineChars="200"/>
        <w:outlineLvl w:val="0"/>
        <w:rPr>
          <w:rFonts w:hint="default" w:ascii="Times New Roman" w:hAnsi="Times New Roman" w:eastAsia="方正仿宋_GBK" w:cs="Times New Roman"/>
          <w:kern w:val="0"/>
          <w:sz w:val="32"/>
          <w:szCs w:val="32"/>
          <w:highlight w:val="none"/>
          <w:lang w:val="en-US" w:eastAsia="zh-CN" w:bidi="ar-SA"/>
        </w:rPr>
      </w:pPr>
      <w:r>
        <w:rPr>
          <w:rFonts w:hint="default" w:ascii="Times New Roman" w:hAnsi="Times New Roman" w:eastAsia="方正仿宋_GBK" w:cs="Times New Roman"/>
          <w:kern w:val="0"/>
          <w:sz w:val="32"/>
          <w:szCs w:val="32"/>
          <w:highlight w:val="none"/>
          <w:lang w:val="en-US" w:eastAsia="zh-CN" w:bidi="ar-SA"/>
        </w:rPr>
        <w:t>2.实施动态监控与反馈</w:t>
      </w:r>
      <w:r>
        <w:rPr>
          <w:rFonts w:hint="eastAsia" w:ascii="Times New Roman" w:hAnsi="Times New Roman" w:eastAsia="方正仿宋_GBK" w:cs="Times New Roman"/>
          <w:kern w:val="0"/>
          <w:sz w:val="32"/>
          <w:szCs w:val="32"/>
          <w:highlight w:val="none"/>
          <w:lang w:val="en-US" w:eastAsia="zh-CN" w:bidi="ar-SA"/>
        </w:rPr>
        <w:t>，</w:t>
      </w:r>
      <w:r>
        <w:rPr>
          <w:rFonts w:hint="default" w:ascii="Times New Roman" w:hAnsi="Times New Roman" w:eastAsia="方正仿宋_GBK" w:cs="Times New Roman"/>
          <w:kern w:val="0"/>
          <w:sz w:val="32"/>
          <w:szCs w:val="32"/>
          <w:highlight w:val="none"/>
          <w:lang w:val="en-US" w:eastAsia="zh-CN" w:bidi="ar-SA"/>
        </w:rPr>
        <w:t>利用信息化平台对项目进度、资金使用、资源配置等进行实时监控</w:t>
      </w:r>
      <w:r>
        <w:rPr>
          <w:rFonts w:hint="eastAsia" w:ascii="Times New Roman" w:hAnsi="Times New Roman" w:eastAsia="方正仿宋_GBK" w:cs="Times New Roman"/>
          <w:kern w:val="0"/>
          <w:sz w:val="32"/>
          <w:szCs w:val="32"/>
          <w:highlight w:val="none"/>
          <w:lang w:val="en-US" w:eastAsia="zh-CN" w:bidi="ar-SA"/>
        </w:rPr>
        <w:t>，</w:t>
      </w:r>
      <w:r>
        <w:rPr>
          <w:rFonts w:hint="default" w:ascii="Times New Roman" w:hAnsi="Times New Roman" w:eastAsia="方正仿宋_GBK" w:cs="Times New Roman"/>
          <w:kern w:val="0"/>
          <w:sz w:val="32"/>
          <w:szCs w:val="32"/>
          <w:highlight w:val="none"/>
          <w:lang w:val="en-US" w:eastAsia="zh-CN" w:bidi="ar-SA"/>
        </w:rPr>
        <w:t>定期将监控结果反馈给项目</w:t>
      </w:r>
      <w:r>
        <w:rPr>
          <w:rFonts w:hint="eastAsia" w:ascii="Times New Roman" w:hAnsi="Times New Roman" w:eastAsia="方正仿宋_GBK" w:cs="Times New Roman"/>
          <w:kern w:val="0"/>
          <w:sz w:val="32"/>
          <w:szCs w:val="32"/>
          <w:highlight w:val="none"/>
          <w:lang w:val="en-US" w:eastAsia="zh-CN" w:bidi="ar-SA"/>
        </w:rPr>
        <w:t>实施科室</w:t>
      </w:r>
      <w:r>
        <w:rPr>
          <w:rFonts w:hint="default" w:ascii="Times New Roman" w:hAnsi="Times New Roman" w:eastAsia="方正仿宋_GBK" w:cs="Times New Roman"/>
          <w:kern w:val="0"/>
          <w:sz w:val="32"/>
          <w:szCs w:val="32"/>
          <w:highlight w:val="none"/>
          <w:lang w:val="en-US" w:eastAsia="zh-CN" w:bidi="ar-SA"/>
        </w:rPr>
        <w:t>，针对偏差及时调整策略。</w:t>
      </w:r>
    </w:p>
    <w:p w14:paraId="01A6EB79">
      <w:pPr>
        <w:spacing w:line="560" w:lineRule="exact"/>
        <w:ind w:firstLine="640" w:firstLineChars="200"/>
        <w:rPr>
          <w:rFonts w:hint="default" w:ascii="Times New Roman" w:hAnsi="Times New Roman" w:eastAsia="仿宋_GB2312" w:cs="Times New Roman"/>
          <w:sz w:val="32"/>
          <w:szCs w:val="32"/>
          <w:highlight w:val="none"/>
        </w:rPr>
      </w:pPr>
      <w:r>
        <w:rPr>
          <w:rFonts w:hint="eastAsia" w:ascii="Times New Roman" w:hAnsi="Times New Roman" w:eastAsia="方正仿宋_GBK" w:cs="Times New Roman"/>
          <w:kern w:val="0"/>
          <w:sz w:val="32"/>
          <w:szCs w:val="32"/>
          <w:highlight w:val="none"/>
          <w:lang w:val="en-US" w:eastAsia="zh-CN" w:bidi="ar-SA"/>
        </w:rPr>
        <w:t>3</w:t>
      </w:r>
      <w:r>
        <w:rPr>
          <w:rFonts w:hint="default" w:ascii="Times New Roman" w:hAnsi="Times New Roman" w:eastAsia="方正仿宋_GBK" w:cs="Times New Roman"/>
          <w:kern w:val="0"/>
          <w:sz w:val="32"/>
          <w:szCs w:val="32"/>
          <w:highlight w:val="none"/>
          <w:lang w:val="en-US" w:eastAsia="zh-CN" w:bidi="ar-SA"/>
        </w:rPr>
        <w:t>.提前做好项目规划，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837A3C7">
      <w:pPr>
        <w:spacing w:line="560" w:lineRule="exact"/>
        <w:ind w:firstLine="627" w:firstLineChars="200"/>
        <w:rPr>
          <w:rFonts w:hint="default" w:ascii="Times New Roman" w:hAnsi="Times New Roman" w:eastAsia="楷体" w:cs="Times New Roman"/>
          <w:b/>
          <w:spacing w:val="-4"/>
          <w:sz w:val="32"/>
          <w:szCs w:val="32"/>
          <w:highlight w:val="none"/>
        </w:rPr>
      </w:pPr>
      <w:r>
        <w:rPr>
          <w:rFonts w:hint="eastAsia" w:eastAsia="楷体" w:cs="Times New Roman"/>
          <w:b/>
          <w:spacing w:val="-4"/>
          <w:sz w:val="32"/>
          <w:szCs w:val="32"/>
          <w:highlight w:val="none"/>
          <w:lang w:eastAsia="zh-CN"/>
        </w:rPr>
        <w:t>（二）</w:t>
      </w:r>
      <w:r>
        <w:rPr>
          <w:rFonts w:hint="default" w:ascii="Times New Roman" w:hAnsi="Times New Roman" w:eastAsia="楷体" w:cs="Times New Roman"/>
          <w:b/>
          <w:spacing w:val="-4"/>
          <w:sz w:val="32"/>
          <w:szCs w:val="32"/>
          <w:highlight w:val="none"/>
        </w:rPr>
        <w:t>存在的问题及原因分析</w:t>
      </w:r>
    </w:p>
    <w:p w14:paraId="05F8D66E">
      <w:pPr>
        <w:shd w:val="clear"/>
        <w:spacing w:line="600" w:lineRule="exact"/>
        <w:ind w:firstLine="640" w:firstLineChars="200"/>
        <w:outlineLvl w:val="0"/>
        <w:rPr>
          <w:rFonts w:hint="default" w:ascii="Times New Roman" w:hAnsi="Times New Roman" w:eastAsia="方正仿宋_GBK" w:cs="Times New Roman"/>
          <w:kern w:val="0"/>
          <w:sz w:val="32"/>
          <w:szCs w:val="32"/>
          <w:highlight w:val="none"/>
          <w:lang w:val="en-US" w:eastAsia="zh-CN" w:bidi="ar-SA"/>
        </w:rPr>
      </w:pPr>
      <w:r>
        <w:rPr>
          <w:rFonts w:hint="default" w:ascii="Times New Roman" w:hAnsi="Times New Roman" w:eastAsia="方正仿宋_GBK" w:cs="Times New Roman"/>
          <w:kern w:val="0"/>
          <w:sz w:val="32"/>
          <w:szCs w:val="32"/>
          <w:highlight w:val="none"/>
          <w:lang w:val="en-US" w:eastAsia="zh-CN" w:bidi="ar-SA"/>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127154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方正仿宋_GBK" w:cs="Times New Roman"/>
          <w:kern w:val="0"/>
          <w:sz w:val="32"/>
          <w:szCs w:val="32"/>
          <w:highlight w:val="none"/>
          <w:lang w:val="en-US" w:eastAsia="zh-CN" w:bidi="ar-SA"/>
        </w:rPr>
        <w:t>2.因轮岗、调动</w:t>
      </w:r>
      <w:r>
        <w:rPr>
          <w:rFonts w:hint="eastAsia" w:ascii="Times New Roman" w:hAnsi="Times New Roman" w:eastAsia="方正仿宋_GBK" w:cs="Times New Roman"/>
          <w:kern w:val="0"/>
          <w:sz w:val="32"/>
          <w:szCs w:val="32"/>
          <w:highlight w:val="none"/>
          <w:lang w:val="en-US" w:eastAsia="zh-CN" w:bidi="ar-SA"/>
        </w:rPr>
        <w:t>等</w:t>
      </w:r>
      <w:r>
        <w:rPr>
          <w:rFonts w:hint="default" w:ascii="Times New Roman" w:hAnsi="Times New Roman" w:eastAsia="方正仿宋_GBK" w:cs="Times New Roman"/>
          <w:kern w:val="0"/>
          <w:sz w:val="32"/>
          <w:szCs w:val="32"/>
          <w:highlight w:val="none"/>
          <w:lang w:val="en-US" w:eastAsia="zh-CN" w:bidi="ar-SA"/>
        </w:rPr>
        <w:t>因素使我单位绩效工作人员流动频繁，</w:t>
      </w:r>
      <w:r>
        <w:rPr>
          <w:rFonts w:hint="eastAsia" w:ascii="Times New Roman" w:hAnsi="Times New Roman" w:eastAsia="方正仿宋_GBK" w:cs="Times New Roman"/>
          <w:kern w:val="0"/>
          <w:sz w:val="32"/>
          <w:szCs w:val="32"/>
          <w:highlight w:val="none"/>
          <w:lang w:val="en-US" w:eastAsia="zh-CN" w:bidi="ar-SA"/>
        </w:rPr>
        <w:t>造成</w:t>
      </w:r>
      <w:r>
        <w:rPr>
          <w:rFonts w:hint="default" w:ascii="Times New Roman" w:hAnsi="Times New Roman" w:eastAsia="方正仿宋_GBK" w:cs="Times New Roman"/>
          <w:kern w:val="0"/>
          <w:sz w:val="32"/>
          <w:szCs w:val="32"/>
          <w:highlight w:val="none"/>
          <w:lang w:val="en-US" w:eastAsia="zh-CN" w:bidi="ar-SA"/>
        </w:rPr>
        <w:t>工作衔接不到位的情况。</w:t>
      </w:r>
    </w:p>
    <w:p w14:paraId="2273DEBA">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eastAsia"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3653E79D">
      <w:pPr>
        <w:shd w:val="clear"/>
        <w:spacing w:line="600" w:lineRule="exact"/>
        <w:ind w:firstLine="640" w:firstLineChars="200"/>
        <w:outlineLvl w:val="0"/>
        <w:rPr>
          <w:rFonts w:hint="default" w:ascii="Times New Roman" w:hAnsi="Times New Roman" w:eastAsia="方正仿宋_GBK" w:cs="Times New Roman"/>
          <w:kern w:val="0"/>
          <w:sz w:val="32"/>
          <w:szCs w:val="32"/>
          <w:highlight w:val="none"/>
          <w:lang w:val="en-US" w:eastAsia="zh-CN" w:bidi="ar-SA"/>
        </w:rPr>
      </w:pPr>
      <w:r>
        <w:rPr>
          <w:rFonts w:hint="default" w:ascii="Times New Roman" w:hAnsi="Times New Roman" w:eastAsia="方正仿宋_GBK" w:cs="Times New Roman"/>
          <w:kern w:val="0"/>
          <w:sz w:val="32"/>
          <w:szCs w:val="32"/>
          <w:highlight w:val="none"/>
          <w:lang w:val="en-US" w:eastAsia="zh-CN" w:bidi="ar-SA"/>
        </w:rPr>
        <w:t>1.多进行有关绩效管理工作方面的培训。积极组织第三方开展绩效管理工作培训，进一步夯实业务基础，提高我单位绩效人员水平。</w:t>
      </w:r>
    </w:p>
    <w:p w14:paraId="15A776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方正仿宋_GBK" w:cs="Times New Roman"/>
          <w:kern w:val="0"/>
          <w:sz w:val="32"/>
          <w:szCs w:val="32"/>
          <w:highlight w:val="none"/>
          <w:lang w:val="en-US" w:eastAsia="zh-CN" w:bidi="ar-SA"/>
        </w:rPr>
        <w:t>2.专门设定对绩效工作人员定职、定岗、定责等相关制度措施，进一步提升我单位绩效管理工作业务水平，扎实做好绩效管理工作。</w:t>
      </w:r>
    </w:p>
    <w:p w14:paraId="24E80252">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288B761A">
      <w:pPr>
        <w:pStyle w:val="14"/>
        <w:spacing w:after="0" w:line="560" w:lineRule="exact"/>
        <w:ind w:left="0" w:leftChars="0" w:firstLine="64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Hans"/>
        </w:rPr>
        <w:t>本项目无其他需说明的问题。</w:t>
      </w:r>
    </w:p>
    <w:p w14:paraId="73871359">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83B3355">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0C1CC343">
      <w:pPr>
        <w:pStyle w:val="3"/>
        <w:keepNext w:val="0"/>
        <w:keepLines w:val="0"/>
        <w:widowControl/>
        <w:suppressLineNumbers w:val="0"/>
        <w:shd w:val="clear" w:fill="FFFFFF"/>
        <w:spacing w:before="0" w:beforeAutospacing="0" w:after="0" w:afterAutospacing="0" w:line="21" w:lineRule="atLeast"/>
        <w:ind w:left="0" w:right="0" w:firstLine="0"/>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default" w:ascii="仿宋_GB2312" w:hAnsi="仿宋_GB2312" w:eastAsia="仿宋_GB2312" w:cs="仿宋_GB2312"/>
          <w:b/>
          <w:bCs/>
          <w:kern w:val="0"/>
          <w:sz w:val="28"/>
          <w:szCs w:val="40"/>
          <w:highlight w:val="none"/>
          <w:lang w:val="en-US" w:eastAsia="zh-CN" w:bidi="ar-SA"/>
        </w:rPr>
        <w:t>巴财行[2023]47号2023年度自治区药品抽检经费</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14:paraId="13364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19F3D37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12F748E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4AA09FB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6" w:type="dxa"/>
            <w:shd w:val="clear" w:color="auto" w:fill="FFFFFF"/>
            <w:vAlign w:val="center"/>
          </w:tcPr>
          <w:p w14:paraId="2B4A396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735C6B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0" w:type="dxa"/>
            <w:shd w:val="clear" w:color="auto" w:fill="FFFFFF"/>
            <w:vAlign w:val="center"/>
          </w:tcPr>
          <w:p w14:paraId="52D2BC3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6" w:type="dxa"/>
            <w:shd w:val="clear" w:color="auto" w:fill="FFFFFF"/>
            <w:vAlign w:val="center"/>
          </w:tcPr>
          <w:p w14:paraId="553EBE9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260DD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6BC1F89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477FA9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DCD6D2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CA773D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A535B60">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0F0395C">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042B3C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4F9196E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5C05A0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2416E54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6" w:type="dxa"/>
            <w:shd w:val="clear" w:color="auto" w:fill="FFFFFF"/>
            <w:vAlign w:val="center"/>
          </w:tcPr>
          <w:p w14:paraId="2BBA009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64677188">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0" w:type="dxa"/>
            <w:shd w:val="clear" w:color="auto" w:fill="FFFFFF"/>
            <w:vAlign w:val="center"/>
          </w:tcPr>
          <w:p w14:paraId="61EB2FC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36D663D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D8FA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748A208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CFC62A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A4A707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176FE83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6" w:type="dxa"/>
            <w:shd w:val="clear" w:color="auto" w:fill="FFFFFF"/>
            <w:vAlign w:val="center"/>
          </w:tcPr>
          <w:p w14:paraId="6CAA8FD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449EBD46">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0" w:type="dxa"/>
            <w:shd w:val="clear" w:color="auto" w:fill="FFFFFF"/>
            <w:vAlign w:val="center"/>
          </w:tcPr>
          <w:p w14:paraId="566C3A7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auto" w:fill="FFFFFF"/>
            <w:vAlign w:val="center"/>
          </w:tcPr>
          <w:p w14:paraId="32C9566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519E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3933FF24">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B0415C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561ABF1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2D8E65B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000000" w:fill="FFFFFF"/>
            <w:vAlign w:val="center"/>
          </w:tcPr>
          <w:p w14:paraId="0C37738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46814A4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04E2BE6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0" w:type="dxa"/>
            <w:shd w:val="clear" w:color="000000" w:fill="FFFFFF"/>
            <w:vAlign w:val="center"/>
          </w:tcPr>
          <w:p w14:paraId="310962F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7AD4A65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909C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49AE62D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16128E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EFE375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6FE0BE4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6" w:type="dxa"/>
            <w:shd w:val="clear" w:color="000000" w:fill="FFFFFF"/>
            <w:vAlign w:val="center"/>
          </w:tcPr>
          <w:p w14:paraId="0024AAC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22F10B8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0" w:type="dxa"/>
            <w:shd w:val="clear" w:color="000000" w:fill="FFFFFF"/>
            <w:vAlign w:val="center"/>
          </w:tcPr>
          <w:p w14:paraId="3AC6116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6" w:type="dxa"/>
            <w:shd w:val="clear" w:color="000000" w:fill="FFFFFF"/>
            <w:vAlign w:val="center"/>
          </w:tcPr>
          <w:p w14:paraId="2A309C1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E318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52339EF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0DF52E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72E6A892">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313529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17E3EEF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6" w:type="dxa"/>
            <w:shd w:val="clear" w:color="auto" w:fill="FFFFFF"/>
            <w:vAlign w:val="center"/>
          </w:tcPr>
          <w:p w14:paraId="523BFD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414E7C6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0" w:type="dxa"/>
            <w:shd w:val="clear" w:color="auto" w:fill="FFFFFF"/>
            <w:vAlign w:val="center"/>
          </w:tcPr>
          <w:p w14:paraId="2091236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7550AE6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FD63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072E220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82D3FC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F1DDDA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32060B8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6" w:type="dxa"/>
            <w:shd w:val="clear" w:color="auto" w:fill="FFFFFF"/>
            <w:vAlign w:val="center"/>
          </w:tcPr>
          <w:p w14:paraId="0DDA6C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830EFF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0" w:type="dxa"/>
            <w:shd w:val="clear" w:color="auto" w:fill="FFFFFF"/>
            <w:vAlign w:val="center"/>
          </w:tcPr>
          <w:p w14:paraId="21065A4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244E0AD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247F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51844414">
            <w:pPr>
              <w:spacing w:line="0" w:lineRule="atLeast"/>
              <w:jc w:val="center"/>
              <w:rPr>
                <w:rFonts w:hint="default" w:ascii="Times New Roman" w:hAnsi="Times New Roman" w:eastAsia="仿宋_GB2312" w:cs="Times New Roman"/>
                <w:color w:val="000000"/>
                <w:kern w:val="0"/>
                <w:sz w:val="18"/>
                <w:szCs w:val="18"/>
                <w:highlight w:val="none"/>
              </w:rPr>
            </w:pPr>
          </w:p>
          <w:p w14:paraId="4334B53B">
            <w:pPr>
              <w:spacing w:line="0" w:lineRule="atLeast"/>
              <w:jc w:val="center"/>
              <w:rPr>
                <w:rFonts w:hint="default" w:ascii="Times New Roman" w:hAnsi="Times New Roman" w:eastAsia="仿宋_GB2312" w:cs="Times New Roman"/>
                <w:color w:val="000000"/>
                <w:kern w:val="0"/>
                <w:sz w:val="18"/>
                <w:szCs w:val="18"/>
                <w:highlight w:val="none"/>
              </w:rPr>
            </w:pPr>
          </w:p>
          <w:p w14:paraId="33D66017">
            <w:pPr>
              <w:spacing w:line="0" w:lineRule="atLeast"/>
              <w:jc w:val="center"/>
              <w:rPr>
                <w:rFonts w:hint="default" w:ascii="Times New Roman" w:hAnsi="Times New Roman" w:eastAsia="仿宋_GB2312" w:cs="Times New Roman"/>
                <w:color w:val="000000"/>
                <w:kern w:val="0"/>
                <w:sz w:val="18"/>
                <w:szCs w:val="18"/>
                <w:highlight w:val="none"/>
              </w:rPr>
            </w:pPr>
          </w:p>
          <w:p w14:paraId="6D724F1E">
            <w:pPr>
              <w:spacing w:line="0" w:lineRule="atLeast"/>
              <w:jc w:val="center"/>
              <w:rPr>
                <w:rFonts w:hint="default" w:ascii="Times New Roman" w:hAnsi="Times New Roman" w:eastAsia="仿宋_GB2312" w:cs="Times New Roman"/>
                <w:color w:val="000000"/>
                <w:kern w:val="0"/>
                <w:sz w:val="18"/>
                <w:szCs w:val="18"/>
                <w:highlight w:val="none"/>
              </w:rPr>
            </w:pPr>
          </w:p>
          <w:p w14:paraId="0F208252">
            <w:pPr>
              <w:spacing w:line="0" w:lineRule="atLeast"/>
              <w:jc w:val="center"/>
              <w:rPr>
                <w:rFonts w:hint="default" w:ascii="Times New Roman" w:hAnsi="Times New Roman" w:eastAsia="仿宋_GB2312" w:cs="Times New Roman"/>
                <w:color w:val="000000"/>
                <w:kern w:val="0"/>
                <w:sz w:val="18"/>
                <w:szCs w:val="18"/>
                <w:highlight w:val="none"/>
              </w:rPr>
            </w:pPr>
          </w:p>
          <w:p w14:paraId="0CE7E994">
            <w:pPr>
              <w:spacing w:line="0" w:lineRule="atLeast"/>
              <w:jc w:val="center"/>
              <w:rPr>
                <w:rFonts w:hint="default" w:ascii="Times New Roman" w:hAnsi="Times New Roman" w:eastAsia="仿宋_GB2312" w:cs="Times New Roman"/>
                <w:color w:val="000000"/>
                <w:kern w:val="0"/>
                <w:sz w:val="18"/>
                <w:szCs w:val="18"/>
                <w:highlight w:val="none"/>
              </w:rPr>
            </w:pPr>
          </w:p>
          <w:p w14:paraId="3911F093">
            <w:pPr>
              <w:spacing w:line="0" w:lineRule="atLeast"/>
              <w:jc w:val="center"/>
              <w:rPr>
                <w:rFonts w:hint="default" w:ascii="Times New Roman" w:hAnsi="Times New Roman" w:eastAsia="仿宋_GB2312" w:cs="Times New Roman"/>
                <w:color w:val="000000"/>
                <w:kern w:val="0"/>
                <w:sz w:val="18"/>
                <w:szCs w:val="18"/>
                <w:highlight w:val="none"/>
              </w:rPr>
            </w:pPr>
          </w:p>
          <w:p w14:paraId="26AEA8A7">
            <w:pPr>
              <w:spacing w:line="0" w:lineRule="atLeast"/>
              <w:jc w:val="center"/>
              <w:rPr>
                <w:rFonts w:hint="default" w:ascii="Times New Roman" w:hAnsi="Times New Roman" w:eastAsia="仿宋_GB2312" w:cs="Times New Roman"/>
                <w:color w:val="000000"/>
                <w:kern w:val="0"/>
                <w:sz w:val="18"/>
                <w:szCs w:val="18"/>
                <w:highlight w:val="none"/>
              </w:rPr>
            </w:pPr>
          </w:p>
          <w:p w14:paraId="60055713">
            <w:pPr>
              <w:spacing w:line="0" w:lineRule="atLeast"/>
              <w:jc w:val="center"/>
              <w:rPr>
                <w:rFonts w:hint="default" w:ascii="Times New Roman" w:hAnsi="Times New Roman" w:eastAsia="仿宋_GB2312" w:cs="Times New Roman"/>
                <w:color w:val="000000"/>
                <w:kern w:val="0"/>
                <w:sz w:val="18"/>
                <w:szCs w:val="18"/>
                <w:highlight w:val="none"/>
              </w:rPr>
            </w:pPr>
          </w:p>
          <w:p w14:paraId="33B165CF">
            <w:pPr>
              <w:spacing w:line="0" w:lineRule="atLeast"/>
              <w:jc w:val="center"/>
              <w:rPr>
                <w:rFonts w:hint="default" w:ascii="Times New Roman" w:hAnsi="Times New Roman" w:eastAsia="仿宋_GB2312" w:cs="Times New Roman"/>
                <w:color w:val="000000"/>
                <w:kern w:val="0"/>
                <w:sz w:val="18"/>
                <w:szCs w:val="18"/>
                <w:highlight w:val="none"/>
              </w:rPr>
            </w:pPr>
          </w:p>
          <w:p w14:paraId="229075CE">
            <w:pPr>
              <w:spacing w:line="0" w:lineRule="atLeast"/>
              <w:jc w:val="center"/>
              <w:rPr>
                <w:rFonts w:hint="default" w:ascii="Times New Roman" w:hAnsi="Times New Roman" w:eastAsia="仿宋_GB2312" w:cs="Times New Roman"/>
                <w:color w:val="000000"/>
                <w:kern w:val="0"/>
                <w:sz w:val="18"/>
                <w:szCs w:val="18"/>
                <w:highlight w:val="none"/>
              </w:rPr>
            </w:pPr>
          </w:p>
          <w:p w14:paraId="2359D787">
            <w:pPr>
              <w:spacing w:line="0" w:lineRule="atLeast"/>
              <w:jc w:val="center"/>
              <w:rPr>
                <w:rFonts w:hint="default" w:ascii="Times New Roman" w:hAnsi="Times New Roman" w:eastAsia="仿宋_GB2312" w:cs="Times New Roman"/>
                <w:color w:val="000000"/>
                <w:kern w:val="0"/>
                <w:sz w:val="18"/>
                <w:szCs w:val="18"/>
                <w:highlight w:val="none"/>
              </w:rPr>
            </w:pPr>
          </w:p>
          <w:p w14:paraId="0A96C633">
            <w:pPr>
              <w:spacing w:line="0" w:lineRule="atLeast"/>
              <w:jc w:val="center"/>
              <w:rPr>
                <w:rFonts w:hint="default" w:ascii="Times New Roman" w:hAnsi="Times New Roman" w:eastAsia="仿宋_GB2312" w:cs="Times New Roman"/>
                <w:color w:val="000000"/>
                <w:kern w:val="0"/>
                <w:sz w:val="18"/>
                <w:szCs w:val="18"/>
                <w:highlight w:val="none"/>
              </w:rPr>
            </w:pPr>
          </w:p>
          <w:p w14:paraId="0F22855D">
            <w:pPr>
              <w:spacing w:line="0" w:lineRule="atLeast"/>
              <w:jc w:val="center"/>
              <w:rPr>
                <w:rFonts w:hint="default" w:ascii="Times New Roman" w:hAnsi="Times New Roman" w:eastAsia="仿宋_GB2312" w:cs="Times New Roman"/>
                <w:color w:val="000000"/>
                <w:kern w:val="0"/>
                <w:sz w:val="18"/>
                <w:szCs w:val="18"/>
                <w:highlight w:val="none"/>
              </w:rPr>
            </w:pPr>
          </w:p>
          <w:p w14:paraId="309C88D0">
            <w:pPr>
              <w:spacing w:line="0" w:lineRule="atLeast"/>
              <w:jc w:val="center"/>
              <w:rPr>
                <w:rFonts w:hint="default" w:ascii="Times New Roman" w:hAnsi="Times New Roman" w:eastAsia="仿宋_GB2312" w:cs="Times New Roman"/>
                <w:color w:val="000000"/>
                <w:kern w:val="0"/>
                <w:sz w:val="18"/>
                <w:szCs w:val="18"/>
                <w:highlight w:val="none"/>
              </w:rPr>
            </w:pPr>
          </w:p>
          <w:p w14:paraId="335158A8">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41BCABA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6A34757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262B9D2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6" w:type="dxa"/>
            <w:shd w:val="clear" w:color="000000" w:fill="FFFFFF"/>
            <w:vAlign w:val="center"/>
          </w:tcPr>
          <w:p w14:paraId="625E7A1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21D24B4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E4CB92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523B1F3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0" w:type="dxa"/>
            <w:shd w:val="clear" w:color="000000" w:fill="FFFFFF"/>
            <w:vAlign w:val="center"/>
          </w:tcPr>
          <w:p w14:paraId="47CC79D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7C02B71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F1181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3855BEA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E12B275">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189AB1A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6" w:type="dxa"/>
            <w:shd w:val="clear" w:color="auto" w:fill="FFFFFF"/>
            <w:vAlign w:val="center"/>
          </w:tcPr>
          <w:p w14:paraId="538B5BA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31D6177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0" w:type="dxa"/>
            <w:shd w:val="clear" w:color="auto" w:fill="FFFFFF"/>
            <w:vAlign w:val="center"/>
          </w:tcPr>
          <w:p w14:paraId="3E26C5D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auto" w:fill="FFFFFF"/>
            <w:vAlign w:val="center"/>
          </w:tcPr>
          <w:p w14:paraId="7B30B8F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C141D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0CB300D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3A8178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503E5F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29130D1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6" w:type="dxa"/>
            <w:shd w:val="clear" w:color="000000" w:fill="FFFFFF"/>
            <w:vAlign w:val="center"/>
          </w:tcPr>
          <w:p w14:paraId="27218F0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6EA5E92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0" w:type="dxa"/>
            <w:shd w:val="clear" w:color="000000" w:fill="FFFFFF"/>
            <w:vAlign w:val="center"/>
          </w:tcPr>
          <w:p w14:paraId="48F92C6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0D1BBB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D6991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48B0F11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F35745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2DEFD2D2">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690DBCC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71E1663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6" w:type="dxa"/>
            <w:shd w:val="clear" w:color="000000" w:fill="FFFFFF"/>
            <w:vAlign w:val="center"/>
          </w:tcPr>
          <w:p w14:paraId="0CD5B31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05C2742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0" w:type="dxa"/>
            <w:shd w:val="clear" w:color="000000" w:fill="FFFFFF"/>
            <w:vAlign w:val="center"/>
          </w:tcPr>
          <w:p w14:paraId="40D1EF9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03238F7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0035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2B1DE06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533EDC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04073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68D3F1C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6" w:type="dxa"/>
            <w:shd w:val="clear" w:color="000000" w:fill="FFFFFF"/>
            <w:vAlign w:val="center"/>
          </w:tcPr>
          <w:p w14:paraId="6553640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2E8BA84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0" w:type="dxa"/>
            <w:shd w:val="clear" w:color="000000" w:fill="FFFFFF"/>
            <w:vAlign w:val="center"/>
          </w:tcPr>
          <w:p w14:paraId="6A9F891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6" w:type="dxa"/>
            <w:shd w:val="clear" w:color="000000" w:fill="FFFFFF"/>
            <w:vAlign w:val="center"/>
          </w:tcPr>
          <w:p w14:paraId="3145BD0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FA49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1805B45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2A6465F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16B4433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6" w:type="dxa"/>
            <w:shd w:val="clear" w:color="000000" w:fill="FFFFFF"/>
            <w:vAlign w:val="center"/>
          </w:tcPr>
          <w:p w14:paraId="1EABDBC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3DCFB81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14:paraId="0BA0CE5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6F66E80">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19A4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165A800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8BB169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4FEA9E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6" w:type="dxa"/>
            <w:shd w:val="clear" w:color="000000" w:fill="FFFFFF"/>
            <w:vAlign w:val="center"/>
          </w:tcPr>
          <w:p w14:paraId="2222BC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004598B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351F56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1C26017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18CC30CA">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4CFC2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14:paraId="11FC3FA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54E6009">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1968C4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6" w:type="dxa"/>
            <w:shd w:val="clear" w:color="000000" w:fill="FFFFFF"/>
            <w:vAlign w:val="center"/>
          </w:tcPr>
          <w:p w14:paraId="63808C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53EDF67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0" w:type="dxa"/>
            <w:shd w:val="clear" w:color="000000" w:fill="FFFFFF"/>
            <w:vAlign w:val="center"/>
          </w:tcPr>
          <w:p w14:paraId="3991603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D65CB3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10</w:t>
            </w:r>
          </w:p>
        </w:tc>
      </w:tr>
      <w:tr w14:paraId="1B517A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3FD4CBB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F51FCE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168415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6" w:type="dxa"/>
            <w:shd w:val="clear" w:color="000000" w:fill="FFFFFF"/>
            <w:vAlign w:val="center"/>
          </w:tcPr>
          <w:p w14:paraId="7D6110F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44918E4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0" w:type="dxa"/>
            <w:shd w:val="clear" w:color="000000" w:fill="FFFFFF"/>
            <w:vAlign w:val="center"/>
          </w:tcPr>
          <w:p w14:paraId="5718FDB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1669DB5">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2A77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7C3A47C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53845A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4FF4550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6" w:type="dxa"/>
            <w:shd w:val="clear" w:color="auto" w:fill="FFFFFF"/>
            <w:vAlign w:val="center"/>
          </w:tcPr>
          <w:p w14:paraId="1CA4BE6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0DDDA20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14:paraId="20CE6C1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auto" w:fill="FFFFFF"/>
            <w:vAlign w:val="center"/>
          </w:tcPr>
          <w:p w14:paraId="120F2B26">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D30E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77B1BBB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81974C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D6CBF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6" w:type="dxa"/>
            <w:shd w:val="clear" w:color="000000" w:fill="FFFFFF"/>
            <w:vAlign w:val="center"/>
          </w:tcPr>
          <w:p w14:paraId="59DEA46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7FE6B51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14:paraId="710CF1D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6" w:type="dxa"/>
            <w:shd w:val="clear" w:color="000000" w:fill="FFFFFF"/>
            <w:vAlign w:val="center"/>
          </w:tcPr>
          <w:p w14:paraId="73F1FE27">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60CA9F96">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94ACE6B">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296D7F5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6B545D8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0"/>
        <w:gridCol w:w="765"/>
        <w:gridCol w:w="990"/>
        <w:gridCol w:w="1920"/>
        <w:gridCol w:w="1125"/>
        <w:gridCol w:w="945"/>
        <w:gridCol w:w="825"/>
        <w:gridCol w:w="855"/>
        <w:gridCol w:w="1110"/>
        <w:gridCol w:w="945"/>
        <w:gridCol w:w="990"/>
        <w:gridCol w:w="765"/>
        <w:gridCol w:w="780"/>
        <w:gridCol w:w="1469"/>
      </w:tblGrid>
      <w:tr w14:paraId="7CAFF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CAA0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71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74473A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巴财行[2023]47号2023年度自治区药品抽检经费</w:t>
            </w:r>
          </w:p>
        </w:tc>
      </w:tr>
      <w:tr w14:paraId="54274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03A5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61851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库尔勒市市场监督管理局</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3E48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9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BCBB3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库尔勒市市场监督管理局</w:t>
            </w:r>
          </w:p>
        </w:tc>
      </w:tr>
      <w:tr w14:paraId="6A46C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23C3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9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A21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2AA4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ED4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72AAE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F588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0B65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F3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6207A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25E79">
            <w:pPr>
              <w:jc w:val="center"/>
              <w:rPr>
                <w:rFonts w:hint="eastAsia" w:ascii="仿宋_GB2312" w:hAnsi="仿宋_GB2312" w:eastAsia="仿宋_GB2312" w:cs="仿宋_GB2312"/>
                <w:i w:val="0"/>
                <w:iCs w:val="0"/>
                <w:color w:val="000000"/>
                <w:sz w:val="18"/>
                <w:szCs w:val="18"/>
                <w:u w:val="none"/>
              </w:rPr>
            </w:pPr>
          </w:p>
        </w:tc>
        <w:tc>
          <w:tcPr>
            <w:tcW w:w="29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0D91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DDF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9D66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5.00</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03A1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5.00</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3A93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8F16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1AE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r>
      <w:tr w14:paraId="22D49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51F88">
            <w:pPr>
              <w:jc w:val="center"/>
              <w:rPr>
                <w:rFonts w:hint="eastAsia" w:ascii="仿宋_GB2312" w:hAnsi="仿宋_GB2312" w:eastAsia="仿宋_GB2312" w:cs="仿宋_GB2312"/>
                <w:i w:val="0"/>
                <w:iCs w:val="0"/>
                <w:color w:val="000000"/>
                <w:sz w:val="18"/>
                <w:szCs w:val="18"/>
                <w:u w:val="none"/>
              </w:rPr>
            </w:pPr>
          </w:p>
        </w:tc>
        <w:tc>
          <w:tcPr>
            <w:tcW w:w="29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AF2D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2BDD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5.00</w:t>
            </w:r>
          </w:p>
        </w:tc>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BAB4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5.00</w:t>
            </w:r>
          </w:p>
        </w:tc>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8564C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5.00</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8B393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E8C8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4B6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71881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4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811D8">
            <w:pPr>
              <w:jc w:val="center"/>
              <w:rPr>
                <w:rFonts w:hint="eastAsia" w:ascii="仿宋_GB2312" w:hAnsi="仿宋_GB2312" w:eastAsia="仿宋_GB2312" w:cs="仿宋_GB2312"/>
                <w:i w:val="0"/>
                <w:iCs w:val="0"/>
                <w:color w:val="000000"/>
                <w:sz w:val="18"/>
                <w:szCs w:val="18"/>
                <w:u w:val="none"/>
              </w:rPr>
            </w:pPr>
          </w:p>
        </w:tc>
        <w:tc>
          <w:tcPr>
            <w:tcW w:w="2910" w:type="dxa"/>
            <w:gridSpan w:val="2"/>
            <w:tcBorders>
              <w:top w:val="single" w:color="000000" w:sz="4" w:space="0"/>
              <w:left w:val="single" w:color="000000" w:sz="4" w:space="0"/>
              <w:bottom w:val="nil"/>
              <w:right w:val="single" w:color="000000" w:sz="4" w:space="0"/>
            </w:tcBorders>
            <w:shd w:val="clear" w:color="auto" w:fill="auto"/>
            <w:vAlign w:val="center"/>
          </w:tcPr>
          <w:p w14:paraId="1F0B438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25" w:type="dxa"/>
            <w:tcBorders>
              <w:top w:val="single" w:color="000000" w:sz="4" w:space="0"/>
              <w:left w:val="single" w:color="000000" w:sz="4" w:space="0"/>
              <w:bottom w:val="nil"/>
              <w:right w:val="single" w:color="000000" w:sz="4" w:space="0"/>
            </w:tcBorders>
            <w:shd w:val="clear" w:color="auto" w:fill="auto"/>
            <w:vAlign w:val="center"/>
          </w:tcPr>
          <w:p w14:paraId="4E09019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70" w:type="dxa"/>
            <w:gridSpan w:val="2"/>
            <w:tcBorders>
              <w:top w:val="single" w:color="000000" w:sz="4" w:space="0"/>
              <w:left w:val="single" w:color="000000" w:sz="4" w:space="0"/>
              <w:bottom w:val="nil"/>
              <w:right w:val="single" w:color="000000" w:sz="4" w:space="0"/>
            </w:tcBorders>
            <w:shd w:val="clear" w:color="auto" w:fill="auto"/>
            <w:vAlign w:val="center"/>
          </w:tcPr>
          <w:p w14:paraId="231CAB4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965" w:type="dxa"/>
            <w:gridSpan w:val="2"/>
            <w:tcBorders>
              <w:top w:val="single" w:color="000000" w:sz="4" w:space="0"/>
              <w:left w:val="single" w:color="000000" w:sz="4" w:space="0"/>
              <w:bottom w:val="nil"/>
              <w:right w:val="single" w:color="000000" w:sz="4" w:space="0"/>
            </w:tcBorders>
            <w:shd w:val="clear" w:color="auto" w:fill="auto"/>
            <w:vAlign w:val="center"/>
          </w:tcPr>
          <w:p w14:paraId="7DA1CDC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E9B3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1C0FB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BF1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45AAC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76CA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E9BBD7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9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BAEAE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40B48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9CC96B">
            <w:pPr>
              <w:jc w:val="center"/>
              <w:rPr>
                <w:rFonts w:hint="eastAsia" w:ascii="仿宋_GB2312" w:hAnsi="仿宋_GB2312" w:eastAsia="仿宋_GB2312" w:cs="仿宋_GB2312"/>
                <w:i w:val="0"/>
                <w:iCs w:val="0"/>
                <w:color w:val="000000"/>
                <w:sz w:val="18"/>
                <w:szCs w:val="18"/>
                <w:u w:val="none"/>
              </w:rPr>
            </w:pPr>
          </w:p>
        </w:tc>
        <w:tc>
          <w:tcPr>
            <w:tcW w:w="8535"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41374F58">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目标1：建立1个假劣药品鉴别展示室，开展药品、医疗器械、化妆品抽检共工作不少于20次。</w:t>
            </w:r>
          </w:p>
          <w:p w14:paraId="2F4BA1B3">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目标2：稳步提升药品安全的社会共治能力,提高执法人员、群众对假劣药品识别能力，普及和提高药品安全知识，保障全市人民群众用药安全有效。</w:t>
            </w:r>
          </w:p>
        </w:tc>
        <w:tc>
          <w:tcPr>
            <w:tcW w:w="49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EBF4831">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建立假劣药品鉴别展示室1个，开展药品、医疗器械、化妆品抽检共工作27次，稳步提升药品安全的社会共治能力,提高执法人员、群众对假劣药品识别能力，普及和提高药品安全知识，保障全市人民群众用药安全有效。</w:t>
            </w:r>
          </w:p>
        </w:tc>
      </w:tr>
      <w:tr w14:paraId="2AFDD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0AB3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7B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D8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25E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70EA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0493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F4C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1041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029A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4AE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B6C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8D0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D229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73CF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58BF6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AF4EB">
            <w:pPr>
              <w:jc w:val="center"/>
              <w:rPr>
                <w:rFonts w:hint="eastAsia" w:ascii="仿宋_GB2312" w:hAnsi="仿宋_GB2312" w:eastAsia="仿宋_GB2312" w:cs="仿宋_GB2312"/>
                <w:i w:val="0"/>
                <w:iCs w:val="0"/>
                <w:color w:val="000000"/>
                <w:sz w:val="18"/>
                <w:szCs w:val="18"/>
                <w:u w:val="none"/>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B8F73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35D8EE0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920" w:type="dxa"/>
            <w:tcBorders>
              <w:top w:val="single" w:color="000000" w:sz="4" w:space="0"/>
              <w:left w:val="nil"/>
              <w:bottom w:val="single" w:color="000000" w:sz="4" w:space="0"/>
              <w:right w:val="single" w:color="000000" w:sz="4" w:space="0"/>
            </w:tcBorders>
            <w:shd w:val="clear" w:color="auto" w:fill="auto"/>
            <w:vAlign w:val="center"/>
          </w:tcPr>
          <w:p w14:paraId="0B4CB4B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新建假劣药品鉴别展示室数量</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4723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&gt;=1个</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E7BE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8E53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6C1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9B2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74FA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AED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=1个</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9F8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A81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E2455">
            <w:pPr>
              <w:jc w:val="center"/>
              <w:rPr>
                <w:rFonts w:hint="eastAsia" w:ascii="仿宋_GB2312" w:hAnsi="仿宋_GB2312" w:eastAsia="仿宋_GB2312" w:cs="仿宋_GB2312"/>
                <w:i w:val="0"/>
                <w:iCs w:val="0"/>
                <w:color w:val="000000"/>
                <w:sz w:val="18"/>
                <w:szCs w:val="18"/>
                <w:u w:val="none"/>
              </w:rPr>
            </w:pPr>
          </w:p>
        </w:tc>
      </w:tr>
      <w:tr w14:paraId="75A6C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D18A4">
            <w:pPr>
              <w:jc w:val="center"/>
              <w:rPr>
                <w:rFonts w:hint="eastAsia" w:ascii="仿宋_GB2312" w:hAnsi="仿宋_GB2312" w:eastAsia="仿宋_GB2312" w:cs="仿宋_GB2312"/>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21223">
            <w:pPr>
              <w:jc w:val="center"/>
              <w:rPr>
                <w:rFonts w:hint="eastAsia" w:ascii="仿宋_GB2312" w:hAnsi="仿宋_GB2312" w:eastAsia="仿宋_GB2312" w:cs="仿宋_GB2312"/>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311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3B56">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药品/医疗器械/化妆品质量监督抽检批次</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CAD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&gt;=20批次</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A54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C387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6E0F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9D70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A1E8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856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=27批次</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18D1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14C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033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偏差原因：目标指标设置过低；改进措施：今后合理设置目标指标。</w:t>
            </w:r>
          </w:p>
        </w:tc>
      </w:tr>
      <w:tr w14:paraId="0B593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86473">
            <w:pPr>
              <w:jc w:val="center"/>
              <w:rPr>
                <w:rFonts w:hint="eastAsia" w:ascii="仿宋_GB2312" w:hAnsi="仿宋_GB2312" w:eastAsia="仿宋_GB2312" w:cs="仿宋_GB2312"/>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D495E">
            <w:pPr>
              <w:jc w:val="center"/>
              <w:rPr>
                <w:rFonts w:hint="eastAsia" w:ascii="仿宋_GB2312" w:hAnsi="仿宋_GB2312" w:eastAsia="仿宋_GB2312" w:cs="仿宋_GB2312"/>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B20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A3DAA">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快检实验室验收合格率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47E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0BDA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0BC2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3A4E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9EB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42A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B88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FAC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96EF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5F28">
            <w:pPr>
              <w:jc w:val="center"/>
              <w:rPr>
                <w:rFonts w:hint="eastAsia" w:ascii="仿宋_GB2312" w:hAnsi="仿宋_GB2312" w:eastAsia="仿宋_GB2312" w:cs="仿宋_GB2312"/>
                <w:i w:val="0"/>
                <w:iCs w:val="0"/>
                <w:color w:val="000000"/>
                <w:sz w:val="18"/>
                <w:szCs w:val="18"/>
                <w:u w:val="none"/>
              </w:rPr>
            </w:pPr>
          </w:p>
        </w:tc>
      </w:tr>
      <w:tr w14:paraId="2CC09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CA8FC">
            <w:pPr>
              <w:jc w:val="center"/>
              <w:rPr>
                <w:rFonts w:hint="eastAsia" w:ascii="仿宋_GB2312" w:hAnsi="仿宋_GB2312" w:eastAsia="仿宋_GB2312" w:cs="仿宋_GB2312"/>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70BFA">
            <w:pPr>
              <w:jc w:val="center"/>
              <w:rPr>
                <w:rFonts w:hint="eastAsia" w:ascii="仿宋_GB2312" w:hAnsi="仿宋_GB2312" w:eastAsia="仿宋_GB2312" w:cs="仿宋_GB2312"/>
                <w:i w:val="0"/>
                <w:iCs w:val="0"/>
                <w:color w:val="000000"/>
                <w:sz w:val="18"/>
                <w:szCs w:val="18"/>
                <w:u w:val="none"/>
              </w:rPr>
            </w:pPr>
          </w:p>
        </w:tc>
        <w:tc>
          <w:tcPr>
            <w:tcW w:w="990" w:type="dxa"/>
            <w:tcBorders>
              <w:top w:val="single" w:color="000000" w:sz="4" w:space="0"/>
              <w:left w:val="single" w:color="000000" w:sz="4" w:space="0"/>
              <w:bottom w:val="nil"/>
              <w:right w:val="single" w:color="000000" w:sz="4" w:space="0"/>
            </w:tcBorders>
            <w:shd w:val="clear" w:color="auto" w:fill="auto"/>
            <w:vAlign w:val="center"/>
          </w:tcPr>
          <w:p w14:paraId="7439A6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55F9">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资金支付及时率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FE1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3D4E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9D63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56A2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34F3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E5E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654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E04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EC1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66B6">
            <w:pPr>
              <w:jc w:val="center"/>
              <w:rPr>
                <w:rFonts w:hint="eastAsia" w:ascii="仿宋_GB2312" w:hAnsi="仿宋_GB2312" w:eastAsia="仿宋_GB2312" w:cs="仿宋_GB2312"/>
                <w:b/>
                <w:bCs/>
                <w:i w:val="0"/>
                <w:iCs w:val="0"/>
                <w:color w:val="000000"/>
                <w:sz w:val="18"/>
                <w:szCs w:val="18"/>
                <w:u w:val="none"/>
              </w:rPr>
            </w:pPr>
          </w:p>
        </w:tc>
      </w:tr>
      <w:tr w14:paraId="4B39D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AC889">
            <w:pPr>
              <w:jc w:val="center"/>
              <w:rPr>
                <w:rFonts w:hint="eastAsia" w:ascii="仿宋_GB2312" w:hAnsi="仿宋_GB2312" w:eastAsia="仿宋_GB2312" w:cs="仿宋_GB2312"/>
                <w:i w:val="0"/>
                <w:iCs w:val="0"/>
                <w:color w:val="000000"/>
                <w:sz w:val="18"/>
                <w:szCs w:val="18"/>
                <w:u w:val="none"/>
              </w:rPr>
            </w:pPr>
          </w:p>
        </w:tc>
        <w:tc>
          <w:tcPr>
            <w:tcW w:w="765" w:type="dxa"/>
            <w:vMerge w:val="restart"/>
            <w:tcBorders>
              <w:top w:val="single" w:color="000000" w:sz="4" w:space="0"/>
              <w:left w:val="single" w:color="000000" w:sz="4" w:space="0"/>
              <w:right w:val="single" w:color="000000" w:sz="4" w:space="0"/>
            </w:tcBorders>
            <w:shd w:val="clear" w:color="auto" w:fill="auto"/>
            <w:vAlign w:val="center"/>
          </w:tcPr>
          <w:p w14:paraId="3FB0252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4ABBC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06914">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新建假劣药品鉴别展示室成本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EC0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&lt;=3.50万元</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49E2F21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BF8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D7E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nil"/>
              <w:right w:val="single" w:color="000000" w:sz="4" w:space="0"/>
            </w:tcBorders>
            <w:shd w:val="clear" w:color="auto" w:fill="auto"/>
            <w:vAlign w:val="center"/>
          </w:tcPr>
          <w:p w14:paraId="0F783F1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BE4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9ED9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=3.5万元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A63B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A050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1E54">
            <w:pPr>
              <w:jc w:val="center"/>
              <w:rPr>
                <w:rFonts w:hint="eastAsia" w:ascii="仿宋_GB2312" w:hAnsi="仿宋_GB2312" w:eastAsia="仿宋_GB2312" w:cs="仿宋_GB2312"/>
                <w:i w:val="0"/>
                <w:iCs w:val="0"/>
                <w:color w:val="000000"/>
                <w:sz w:val="18"/>
                <w:szCs w:val="18"/>
                <w:u w:val="none"/>
              </w:rPr>
            </w:pPr>
          </w:p>
        </w:tc>
      </w:tr>
      <w:tr w14:paraId="79268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035EC">
            <w:pPr>
              <w:jc w:val="center"/>
              <w:rPr>
                <w:rFonts w:hint="eastAsia" w:ascii="仿宋_GB2312" w:hAnsi="仿宋_GB2312" w:eastAsia="仿宋_GB2312" w:cs="仿宋_GB2312"/>
                <w:i w:val="0"/>
                <w:iCs w:val="0"/>
                <w:color w:val="000000"/>
                <w:sz w:val="18"/>
                <w:szCs w:val="18"/>
                <w:u w:val="none"/>
              </w:rPr>
            </w:pPr>
          </w:p>
        </w:tc>
        <w:tc>
          <w:tcPr>
            <w:tcW w:w="765" w:type="dxa"/>
            <w:vMerge w:val="continue"/>
            <w:tcBorders>
              <w:left w:val="single" w:color="000000" w:sz="4" w:space="0"/>
              <w:bottom w:val="single" w:color="000000" w:sz="4" w:space="0"/>
              <w:right w:val="single" w:color="000000" w:sz="4" w:space="0"/>
            </w:tcBorders>
            <w:shd w:val="clear" w:color="auto" w:fill="auto"/>
            <w:vAlign w:val="center"/>
          </w:tcPr>
          <w:p w14:paraId="255567C4">
            <w:pPr>
              <w:jc w:val="center"/>
              <w:rPr>
                <w:rFonts w:hint="eastAsia" w:ascii="仿宋_GB2312" w:hAnsi="仿宋_GB2312" w:eastAsia="仿宋_GB2312" w:cs="仿宋_GB2312"/>
                <w:i w:val="0"/>
                <w:iCs w:val="0"/>
                <w:color w:val="000000"/>
                <w:sz w:val="18"/>
                <w:szCs w:val="18"/>
                <w:u w:val="none"/>
                <w:lang w:val="en-US" w:eastAsia="zh-CN"/>
              </w:rPr>
            </w:pPr>
          </w:p>
        </w:tc>
        <w:tc>
          <w:tcPr>
            <w:tcW w:w="990" w:type="dxa"/>
            <w:tcBorders>
              <w:top w:val="single" w:color="000000" w:sz="4" w:space="0"/>
              <w:left w:val="single" w:color="000000" w:sz="4" w:space="0"/>
              <w:bottom w:val="nil"/>
              <w:right w:val="single" w:color="000000" w:sz="4" w:space="0"/>
            </w:tcBorders>
            <w:shd w:val="clear" w:color="auto" w:fill="auto"/>
            <w:vAlign w:val="center"/>
          </w:tcPr>
          <w:p w14:paraId="6C58E4F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2FBF3">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抽检工作相关支出成本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4E96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&lt;=1.50万元</w:t>
            </w:r>
          </w:p>
        </w:tc>
        <w:tc>
          <w:tcPr>
            <w:tcW w:w="945" w:type="dxa"/>
            <w:tcBorders>
              <w:top w:val="single" w:color="000000" w:sz="4" w:space="0"/>
              <w:left w:val="single" w:color="000000" w:sz="4" w:space="0"/>
              <w:bottom w:val="nil"/>
              <w:right w:val="single" w:color="000000" w:sz="4" w:space="0"/>
            </w:tcBorders>
            <w:shd w:val="clear" w:color="auto" w:fill="auto"/>
            <w:vAlign w:val="center"/>
          </w:tcPr>
          <w:p w14:paraId="1E4CD64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EA6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FE4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nil"/>
              <w:right w:val="single" w:color="000000" w:sz="4" w:space="0"/>
            </w:tcBorders>
            <w:shd w:val="clear" w:color="auto" w:fill="auto"/>
            <w:vAlign w:val="center"/>
          </w:tcPr>
          <w:p w14:paraId="507E25F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9C9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153BD">
            <w:pPr>
              <w:jc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i w:val="0"/>
                <w:iCs w:val="0"/>
                <w:color w:val="000000"/>
                <w:sz w:val="18"/>
                <w:szCs w:val="18"/>
                <w:u w:val="none"/>
              </w:rPr>
              <w:t>=1.5万元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6B4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918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7036">
            <w:pPr>
              <w:jc w:val="center"/>
              <w:rPr>
                <w:rFonts w:hint="eastAsia" w:ascii="仿宋_GB2312" w:hAnsi="仿宋_GB2312" w:eastAsia="仿宋_GB2312" w:cs="仿宋_GB2312"/>
                <w:i w:val="0"/>
                <w:iCs w:val="0"/>
                <w:color w:val="000000"/>
                <w:sz w:val="18"/>
                <w:szCs w:val="18"/>
                <w:u w:val="none"/>
              </w:rPr>
            </w:pPr>
          </w:p>
        </w:tc>
      </w:tr>
      <w:tr w14:paraId="60FC5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6C8AD">
            <w:pPr>
              <w:jc w:val="center"/>
              <w:rPr>
                <w:rFonts w:hint="eastAsia" w:ascii="仿宋_GB2312" w:hAnsi="仿宋_GB2312"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F8D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562A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35DE9">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药品安全社会共治能力提高率</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617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&gt;=85%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21C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BC3E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0734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6E2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按照正常比例赋分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FE42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F15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015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4FFA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41E5">
            <w:pPr>
              <w:jc w:val="center"/>
              <w:rPr>
                <w:rFonts w:hint="eastAsia" w:ascii="仿宋_GB2312" w:hAnsi="仿宋_GB2312" w:eastAsia="仿宋_GB2312" w:cs="仿宋_GB2312"/>
                <w:i w:val="0"/>
                <w:iCs w:val="0"/>
                <w:color w:val="000000"/>
                <w:sz w:val="18"/>
                <w:szCs w:val="18"/>
                <w:u w:val="none"/>
              </w:rPr>
            </w:pPr>
          </w:p>
        </w:tc>
      </w:tr>
      <w:tr w14:paraId="67295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15658">
            <w:pPr>
              <w:jc w:val="center"/>
              <w:rPr>
                <w:rFonts w:hint="eastAsia" w:ascii="仿宋_GB2312" w:hAnsi="仿宋_GB2312"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72C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D4F9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CF3C2">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群众对药品监管满意度</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359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&gt;=85%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10C0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计划标准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032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C1D7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1D5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323F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08E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=88%</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5637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521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92F9">
            <w:pPr>
              <w:jc w:val="center"/>
              <w:rPr>
                <w:rFonts w:hint="eastAsia" w:ascii="仿宋_GB2312" w:hAnsi="仿宋_GB2312" w:eastAsia="仿宋_GB2312" w:cs="仿宋_GB2312"/>
                <w:i w:val="0"/>
                <w:iCs w:val="0"/>
                <w:color w:val="000000"/>
                <w:sz w:val="18"/>
                <w:szCs w:val="18"/>
                <w:u w:val="none"/>
              </w:rPr>
            </w:pPr>
          </w:p>
        </w:tc>
      </w:tr>
      <w:tr w14:paraId="214C4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365" w:type="dxa"/>
            <w:gridSpan w:val="4"/>
            <w:tcBorders>
              <w:top w:val="single" w:color="000000" w:sz="4" w:space="0"/>
              <w:left w:val="single" w:color="000000" w:sz="4" w:space="0"/>
              <w:bottom w:val="single" w:color="000000" w:sz="4" w:space="0"/>
              <w:right w:val="nil"/>
            </w:tcBorders>
            <w:shd w:val="clear" w:color="auto" w:fill="auto"/>
            <w:vAlign w:val="center"/>
          </w:tcPr>
          <w:p w14:paraId="4D95855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3BBBE">
            <w:pPr>
              <w:jc w:val="center"/>
              <w:rPr>
                <w:rFonts w:hint="eastAsia" w:ascii="仿宋_GB2312" w:hAnsi="仿宋_GB2312" w:eastAsia="仿宋_GB2312" w:cs="仿宋_GB2312"/>
                <w:i w:val="0"/>
                <w:iCs w:val="0"/>
                <w:color w:val="000000"/>
                <w:sz w:val="18"/>
                <w:szCs w:val="18"/>
                <w:u w:val="none"/>
              </w:rPr>
            </w:pPr>
          </w:p>
        </w:tc>
        <w:tc>
          <w:tcPr>
            <w:tcW w:w="945" w:type="dxa"/>
            <w:tcBorders>
              <w:top w:val="single" w:color="000000" w:sz="4" w:space="0"/>
              <w:left w:val="nil"/>
              <w:bottom w:val="single" w:color="000000" w:sz="4" w:space="0"/>
              <w:right w:val="single" w:color="000000" w:sz="4" w:space="0"/>
            </w:tcBorders>
            <w:shd w:val="clear" w:color="auto" w:fill="auto"/>
            <w:vAlign w:val="center"/>
          </w:tcPr>
          <w:p w14:paraId="6DE9948D">
            <w:pPr>
              <w:rPr>
                <w:rFonts w:hint="eastAsia" w:ascii="仿宋_GB2312" w:hAnsi="仿宋_GB2312" w:eastAsia="仿宋_GB2312" w:cs="仿宋_GB2312"/>
                <w:b/>
                <w:bCs/>
                <w:i w:val="0"/>
                <w:iCs w:val="0"/>
                <w:color w:val="000000"/>
                <w:sz w:val="18"/>
                <w:szCs w:val="18"/>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83A0B">
            <w:pPr>
              <w:jc w:val="center"/>
              <w:rPr>
                <w:rFonts w:hint="eastAsia" w:ascii="仿宋_GB2312" w:hAnsi="仿宋_GB2312" w:eastAsia="仿宋_GB2312" w:cs="仿宋_GB2312"/>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9E45">
            <w:pPr>
              <w:jc w:val="center"/>
              <w:rPr>
                <w:rFonts w:hint="eastAsia" w:ascii="仿宋_GB2312" w:hAnsi="仿宋_GB2312" w:eastAsia="仿宋_GB2312" w:cs="仿宋_GB2312"/>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1732">
            <w:pPr>
              <w:jc w:val="center"/>
              <w:rPr>
                <w:rFonts w:hint="eastAsia" w:ascii="仿宋_GB2312" w:hAnsi="仿宋_GB2312" w:eastAsia="仿宋_GB2312" w:cs="仿宋_GB2312"/>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17DB4">
            <w:pPr>
              <w:rPr>
                <w:rFonts w:hint="eastAsia" w:ascii="仿宋_GB2312" w:hAnsi="仿宋_GB2312" w:eastAsia="仿宋_GB2312" w:cs="仿宋_GB2312"/>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0060">
            <w:pPr>
              <w:rPr>
                <w:rFonts w:hint="eastAsia" w:ascii="仿宋_GB2312" w:hAnsi="仿宋_GB2312" w:eastAsia="仿宋_GB2312" w:cs="仿宋_GB2312"/>
                <w:i w:val="0"/>
                <w:iCs w:val="0"/>
                <w:color w:val="000000"/>
                <w:sz w:val="18"/>
                <w:szCs w:val="18"/>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56E6C">
            <w:pPr>
              <w:rPr>
                <w:rFonts w:hint="eastAsia" w:ascii="仿宋_GB2312" w:hAnsi="仿宋_GB2312" w:eastAsia="仿宋_GB2312" w:cs="仿宋_GB2312"/>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841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100.00分</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3E0D5">
            <w:pPr>
              <w:rPr>
                <w:rFonts w:hint="eastAsia" w:ascii="仿宋_GB2312" w:hAnsi="仿宋_GB2312" w:eastAsia="仿宋_GB2312" w:cs="仿宋_GB2312"/>
                <w:i w:val="0"/>
                <w:iCs w:val="0"/>
                <w:color w:val="000000"/>
                <w:sz w:val="18"/>
                <w:szCs w:val="18"/>
                <w:u w:val="none"/>
              </w:rPr>
            </w:pPr>
          </w:p>
        </w:tc>
      </w:tr>
    </w:tbl>
    <w:p w14:paraId="7EB79D28">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D207015">
        <w:pPr>
          <w:pStyle w:val="8"/>
          <w:jc w:val="center"/>
        </w:pPr>
        <w:r>
          <w:fldChar w:fldCharType="begin"/>
        </w:r>
        <w:r>
          <w:instrText xml:space="preserve">PAGE   \* MERGEFORMAT</w:instrText>
        </w:r>
        <w:r>
          <w:fldChar w:fldCharType="separate"/>
        </w:r>
        <w:r>
          <w:rPr>
            <w:lang w:val="zh-CN"/>
          </w:rPr>
          <w:t>13</w:t>
        </w:r>
        <w:r>
          <w:fldChar w:fldCharType="end"/>
        </w:r>
      </w:p>
    </w:sdtContent>
  </w:sdt>
  <w:p w14:paraId="434890D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7242D"/>
    <w:rsid w:val="006F7242"/>
    <w:rsid w:val="007B168A"/>
    <w:rsid w:val="008B2CFE"/>
    <w:rsid w:val="00F26FF6"/>
    <w:rsid w:val="014D5F2F"/>
    <w:rsid w:val="01610122"/>
    <w:rsid w:val="02510197"/>
    <w:rsid w:val="03EC461B"/>
    <w:rsid w:val="042E10D0"/>
    <w:rsid w:val="0461077D"/>
    <w:rsid w:val="07397B77"/>
    <w:rsid w:val="08F505BF"/>
    <w:rsid w:val="09DA00DD"/>
    <w:rsid w:val="0AD007F3"/>
    <w:rsid w:val="0E3C619F"/>
    <w:rsid w:val="100F38EC"/>
    <w:rsid w:val="11170296"/>
    <w:rsid w:val="125A09C7"/>
    <w:rsid w:val="12C66037"/>
    <w:rsid w:val="12CD1ABC"/>
    <w:rsid w:val="13471461"/>
    <w:rsid w:val="13B90F01"/>
    <w:rsid w:val="155E4C4D"/>
    <w:rsid w:val="181066D2"/>
    <w:rsid w:val="1B403D8C"/>
    <w:rsid w:val="1C671E73"/>
    <w:rsid w:val="1D322C47"/>
    <w:rsid w:val="23616034"/>
    <w:rsid w:val="23696C97"/>
    <w:rsid w:val="24071B6F"/>
    <w:rsid w:val="24480FA2"/>
    <w:rsid w:val="25227A45"/>
    <w:rsid w:val="26AC3A6A"/>
    <w:rsid w:val="27DE36EE"/>
    <w:rsid w:val="2B362B10"/>
    <w:rsid w:val="2B9D7E25"/>
    <w:rsid w:val="2C7C7A3B"/>
    <w:rsid w:val="2F364819"/>
    <w:rsid w:val="2FD63906"/>
    <w:rsid w:val="327466FE"/>
    <w:rsid w:val="32834F28"/>
    <w:rsid w:val="37215DAE"/>
    <w:rsid w:val="38CA40DD"/>
    <w:rsid w:val="395F2B56"/>
    <w:rsid w:val="3A09557D"/>
    <w:rsid w:val="3BBA0580"/>
    <w:rsid w:val="3BECE841"/>
    <w:rsid w:val="3C125277"/>
    <w:rsid w:val="3CDE204C"/>
    <w:rsid w:val="3D363C36"/>
    <w:rsid w:val="3E9C3F6D"/>
    <w:rsid w:val="3F1712FF"/>
    <w:rsid w:val="3FF7797D"/>
    <w:rsid w:val="456F531B"/>
    <w:rsid w:val="45A65AF8"/>
    <w:rsid w:val="46690BD8"/>
    <w:rsid w:val="48E97E28"/>
    <w:rsid w:val="49F70BF1"/>
    <w:rsid w:val="4B4340EE"/>
    <w:rsid w:val="500A2EDA"/>
    <w:rsid w:val="503D507A"/>
    <w:rsid w:val="51FA74D0"/>
    <w:rsid w:val="521457A6"/>
    <w:rsid w:val="52AA4A52"/>
    <w:rsid w:val="584370AB"/>
    <w:rsid w:val="58AA1028"/>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7A85431"/>
    <w:rsid w:val="68376930"/>
    <w:rsid w:val="68F91E38"/>
    <w:rsid w:val="6A302604"/>
    <w:rsid w:val="6B304C8A"/>
    <w:rsid w:val="6B3158B9"/>
    <w:rsid w:val="6BA02A3F"/>
    <w:rsid w:val="6C1E5A53"/>
    <w:rsid w:val="6C542E0E"/>
    <w:rsid w:val="6F5C41AC"/>
    <w:rsid w:val="6FAF6C78"/>
    <w:rsid w:val="716167CC"/>
    <w:rsid w:val="717D2723"/>
    <w:rsid w:val="718A7AD1"/>
    <w:rsid w:val="72A44BC2"/>
    <w:rsid w:val="7317C656"/>
    <w:rsid w:val="734ED73F"/>
    <w:rsid w:val="73C82B32"/>
    <w:rsid w:val="73F94DAE"/>
    <w:rsid w:val="74220495"/>
    <w:rsid w:val="747D1B6F"/>
    <w:rsid w:val="749E5641"/>
    <w:rsid w:val="75507C16"/>
    <w:rsid w:val="760A0BB9"/>
    <w:rsid w:val="76271066"/>
    <w:rsid w:val="7676706D"/>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9735</Words>
  <Characters>10027</Characters>
  <Lines>58</Lines>
  <Paragraphs>16</Paragraphs>
  <TotalTime>94</TotalTime>
  <ScaleCrop>false</ScaleCrop>
  <LinksUpToDate>false</LinksUpToDate>
  <CharactersWithSpaces>10031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2025-05-08T08:10:46Z</cp:lastPrinted>
  <dcterms:modified xsi:type="dcterms:W3CDTF">2025-05-08T08:10:50Z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D6FC929500CD46A6BC4D773FD92204BA_13</vt:lpwstr>
  </property>
  <property fmtid="{D5CDD505-2E9C-101B-9397-08002B2CF9AE}" pid="4" name="KSOTemplateDocerSaveRecord">
    <vt:lpwstr>eyJoZGlkIjoiY2ViZTZmMjdmNjZhNTUxMzVkYjMwMGNhNjVlMDE4YTEifQ==</vt:lpwstr>
  </property>
</Properties>
</file>