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pacing w:before="0" w:beforeLines="0" w:beforeAutospacing="0" w:after="0" w:afterLines="0" w:afterAutospacing="0" w:line="240" w:lineRule="auto"/>
        <w:jc w:val="left"/>
        <w:rPr>
          <w:rFonts w:ascii="宋体" w:eastAsia="宋体"/>
          <w:sz w:val="32"/>
          <w:szCs w:val="32"/>
        </w:rPr>
      </w:pPr>
    </w:p>
    <w:p>
      <w:pPr>
        <w:widowControl/>
        <w:spacing w:before="0" w:beforeLines="0" w:beforeAutospacing="0" w:after="0" w:afterLines="0" w:afterAutospacing="0" w:line="240" w:lineRule="auto"/>
        <w:jc w:val="left"/>
        <w:rPr>
          <w:rFonts w:ascii="宋体" w:eastAsia="宋体"/>
          <w:sz w:val="44"/>
          <w:szCs w:val="44"/>
        </w:rPr>
      </w:pPr>
    </w:p>
    <w:p>
      <w:pPr>
        <w:widowControl/>
        <w:spacing w:before="0" w:beforeLines="0" w:beforeAutospacing="0" w:after="0" w:afterLines="0" w:afterAutospacing="0" w:line="240" w:lineRule="auto"/>
        <w:jc w:val="left"/>
        <w:rPr>
          <w:rFonts w:ascii="宋体" w:eastAsia="宋体"/>
          <w:sz w:val="44"/>
          <w:szCs w:val="44"/>
        </w:rPr>
      </w:pPr>
    </w:p>
    <w:p>
      <w:pPr>
        <w:widowControl/>
        <w:spacing w:before="0" w:beforeLines="0" w:beforeAutospacing="0" w:after="0" w:afterLines="0" w:afterAutospacing="0" w:line="240" w:lineRule="auto"/>
        <w:jc w:val="left"/>
        <w:rPr>
          <w:rFonts w:ascii="宋体" w:eastAsia="宋体"/>
          <w:sz w:val="44"/>
          <w:szCs w:val="44"/>
        </w:rPr>
      </w:pPr>
    </w:p>
    <w:p>
      <w:pPr>
        <w:widowControl/>
        <w:spacing w:before="0" w:beforeLines="0" w:beforeAutospacing="0" w:after="0" w:afterLines="0" w:afterAutospacing="0" w:line="240" w:lineRule="auto"/>
        <w:jc w:val="center"/>
        <w:outlineLvl w:val="0"/>
        <w:rPr>
          <w:rFonts w:ascii="宋体" w:eastAsia="黑体"/>
          <w:sz w:val="44"/>
          <w:szCs w:val="44"/>
        </w:rPr>
      </w:pPr>
      <w:r>
        <w:rPr>
          <w:rFonts w:ascii="宋体" w:eastAsia="黑体"/>
          <w:b w:val="0"/>
          <w:sz w:val="44"/>
          <w:szCs w:val="44"/>
        </w:rPr>
        <w:t>库尔勒市市场监督管理局</w:t>
      </w:r>
    </w:p>
    <w:p>
      <w:pPr>
        <w:widowControl/>
        <w:spacing w:before="0" w:beforeLines="0" w:beforeAutospacing="0" w:after="0" w:afterLines="0" w:afterAutospacing="0" w:line="240" w:lineRule="auto"/>
        <w:jc w:val="center"/>
        <w:outlineLvl w:val="0"/>
        <w:rPr>
          <w:rFonts w:ascii="黑体" w:eastAsia="黑体"/>
          <w:sz w:val="44"/>
          <w:szCs w:val="44"/>
        </w:rPr>
      </w:pPr>
      <w:r>
        <w:rPr>
          <w:rFonts w:ascii="黑体" w:eastAsia="黑体"/>
          <w:b w:val="0"/>
          <w:sz w:val="44"/>
          <w:szCs w:val="44"/>
        </w:rPr>
        <w:t>2024年度部门决算公开说明</w:t>
      </w:r>
    </w:p>
    <w:p>
      <w:pPr>
        <w:widowControl/>
      </w:pPr>
      <w:r>
        <w:rPr>
          <w:b w:val="0"/>
          <w:sz w:val="0"/>
          <w:szCs w:val="0"/>
        </w:rPr>
        <w:br w:type="page"/>
      </w:r>
    </w:p>
    <w:p>
      <w:pPr>
        <w:widowControl/>
        <w:spacing w:before="0" w:beforeLines="0" w:beforeAutospacing="0" w:after="0" w:afterLines="0" w:afterAutospacing="0" w:line="240" w:lineRule="auto"/>
        <w:jc w:val="center"/>
        <w:rPr>
          <w:rFonts w:ascii="黑体" w:eastAsia="黑体"/>
          <w:sz w:val="32"/>
          <w:szCs w:val="32"/>
        </w:rPr>
      </w:pPr>
      <w:r>
        <w:rPr>
          <w:rFonts w:ascii="黑体" w:eastAsia="黑体"/>
          <w:b/>
          <w:sz w:val="32"/>
          <w:szCs w:val="32"/>
        </w:rPr>
        <w:t>目录</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sz w:val="32"/>
          <w:szCs w:val="32"/>
        </w:rPr>
        <w:t>第一部分部门概况</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一、主要职能</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二、机构设置及人员情况</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sz w:val="32"/>
          <w:szCs w:val="32"/>
        </w:rPr>
        <w:t>第二部分部门决算情况说明</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一、收入支出决算总体情况说明</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二、收入决算情况说明</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三、支出决算情况说明</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四、财政拨款收入支出决算总体情况说明</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五、一般公共预算财政拨款支出决算情况说明</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（一）一般公共预算财政拨款支出决算总体情况</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（二）一般公共预算财政拨款支出决算结构情况</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（三）一般公共预算财政拨款支出决算具体情况</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六、一般公共预算财政拨款基本支出决算情况说明</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七、政府性基金预算财政拨款收入支出决算情况说明</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八、国有资本经营预算财政拨款收入支出决算情况说明</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九、财政拨款“三公”经费支出决算情况说明</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十、其他重要事项的情况说明</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（一）机关运行经费及公用经费支出情况</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（二）政府采购情况</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（三）国有资产占用情况说明</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十一、预算绩效的情况说明</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十二、其他需说明的事项</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sz w:val="32"/>
          <w:szCs w:val="32"/>
        </w:rPr>
        <w:t>第三部分专业名词解释</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sz w:val="32"/>
          <w:szCs w:val="32"/>
        </w:rPr>
        <w:t>第四部分部门决算报表（见附表）</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一、《收入支出决算总表》</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二、《收入决算表》</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三、《支出决算表》</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四、《财政拨款收入支出决算总表》</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五、《一般公共预算财政拨款支出决算表》</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六、《一般公共预算财政拨款基本支出决算表》</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七、《政府性基金预算财政拨款收入支出决算表》</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八、《国有资本经营预算财政拨款收入支出决算表》</w:t>
      </w:r>
    </w:p>
    <w:p>
      <w:pPr>
        <w:widowControl/>
        <w:spacing w:before="0" w:beforeLines="0" w:beforeAutospacing="0" w:after="0" w:afterLines="0" w:afterAutospacing="0" w:line="240" w:lineRule="auto"/>
        <w:jc w:val="left"/>
        <w:rPr>
          <w:rFonts w:ascii="仿宋_GB2312" w:eastAsia="仿宋_GB2312"/>
          <w:sz w:val="32"/>
          <w:szCs w:val="32"/>
        </w:rPr>
      </w:pPr>
      <w:r>
        <w:rPr>
          <w:rFonts w:ascii="仿宋_GB2312" w:eastAsia="仿宋_GB2312"/>
          <w:b w:val="0"/>
          <w:sz w:val="32"/>
          <w:szCs w:val="32"/>
        </w:rPr>
        <w:t>九、《财政拨款“三公”经费支出决算表》</w:t>
      </w:r>
    </w:p>
    <w:p>
      <w:pPr>
        <w:widowControl/>
      </w:pPr>
      <w:r>
        <w:rPr>
          <w:b w:val="0"/>
          <w:sz w:val="0"/>
          <w:szCs w:val="0"/>
        </w:rPr>
        <w:br w:type="page"/>
      </w:r>
    </w:p>
    <w:p>
      <w:pPr>
        <w:widowControl/>
        <w:spacing w:before="0" w:beforeLines="0" w:beforeAutospacing="0" w:after="0" w:afterLines="0" w:afterAutospacing="0" w:line="240" w:lineRule="auto"/>
        <w:jc w:val="center"/>
        <w:outlineLvl w:val="0"/>
        <w:rPr>
          <w:rFonts w:ascii="黑体" w:eastAsia="黑体"/>
          <w:sz w:val="32"/>
          <w:szCs w:val="32"/>
        </w:rPr>
      </w:pPr>
      <w:r>
        <w:rPr>
          <w:rFonts w:ascii="黑体" w:eastAsia="黑体"/>
          <w:b w:val="0"/>
          <w:sz w:val="32"/>
          <w:szCs w:val="32"/>
        </w:rPr>
        <w:t>第一部分部门概况</w:t>
      </w:r>
    </w:p>
    <w:p>
      <w:pPr>
        <w:widowControl/>
        <w:spacing w:before="0" w:beforeLines="0" w:beforeAutospacing="0" w:after="0" w:afterLines="0" w:afterAutospacing="0" w:line="240" w:lineRule="auto"/>
        <w:ind w:firstLine="640" w:firstLineChars="200"/>
        <w:jc w:val="left"/>
        <w:outlineLvl w:val="1"/>
        <w:rPr>
          <w:rFonts w:ascii="黑体" w:eastAsia="黑体"/>
          <w:sz w:val="32"/>
          <w:szCs w:val="32"/>
        </w:rPr>
      </w:pPr>
      <w:r>
        <w:rPr>
          <w:rFonts w:ascii="黑体" w:eastAsia="黑体"/>
          <w:b w:val="0"/>
          <w:sz w:val="32"/>
          <w:szCs w:val="32"/>
        </w:rPr>
        <w:t>一、主要职能</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负责市场综合监督、知识产权和价格监督管理。贯彻执行国家、自治区和自治州市场监督、知识产权和价格监督管理有关法律和规章，起草本市有关市场监管、知识产权和价格监督管理的规范性文件、具体措施、标准，并组织实施质量强市战略、食品安全战略、标准化战略和知识产权战略。规范和维护市场秩序，营造诚实守信、公平竞争的市场环境。统一管理市场主体登记注册工作，组织市场监管和知识产权综合执法工作，反垄断统一执法，监督管理市场秩序，负责宏观质量管理，负责产品质量安全监督管理，特种设备安全监督管理，食品安全监督管理综合协调，食品安全监督管理，负责药品（含中药、民族药）、医疗器械、保健食品、化妆品监督管理的法律、法规和规章；负责统一管理计量工作，统一管理标准化工作，统一管理检验检测工作，负责知识产权保护、管理和服务工作，承担市食品安全委员会的具体工作。</w:t>
      </w:r>
    </w:p>
    <w:p>
      <w:pPr>
        <w:widowControl/>
        <w:spacing w:before="0" w:beforeLines="0" w:beforeAutospacing="0" w:after="0" w:afterLines="0" w:afterAutospacing="0" w:line="240" w:lineRule="auto"/>
        <w:ind w:firstLine="640" w:firstLineChars="200"/>
        <w:jc w:val="left"/>
        <w:outlineLvl w:val="1"/>
        <w:rPr>
          <w:rFonts w:ascii="黑体" w:eastAsia="黑体"/>
          <w:sz w:val="32"/>
          <w:szCs w:val="32"/>
        </w:rPr>
      </w:pPr>
      <w:r>
        <w:rPr>
          <w:rFonts w:ascii="黑体" w:eastAsia="黑体"/>
          <w:b w:val="0"/>
          <w:sz w:val="32"/>
          <w:szCs w:val="32"/>
        </w:rPr>
        <w:t>二、机构设置及人员情况</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库尔勒市市场监督管理局2024年度，实有人数345人，其中：在职人员161人，减少8人；离休人员0人，较上年无变化；退休人员184人，增加22人。</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从部门决算单位构成看，库尔勒市市场监督管理局部门决算包括：库尔勒市市场监督管理局本级决算及所属单位决算。</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库尔勒市市场监督管理局本级下设17个处室和6个市场监管所，分别是：行政办公室（财务室）、党建办公室（组织人事室）、政策法规室、行政许可室、市场信用监督管理室、消费者权益保护室、反垄断和反不正当竞争室、知识产权保护室、广告和网络交易监督管理室、标准化与质量监督管理室、计量与认证认可监督管理室、特种设备安全监察室、食品生产流通监督管理室、食品协调室、食品消费监督管理室、药品化妆品医疗器械监督管理室、价格监督管理室、萨依巴格市场监督管理所、孔雀市场监督管理所、新城市场监督管理所、团结市场监督管理所、天山市场监督管理所、农村市场监督管理所。</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纳入库尔勒市市场监督管理局2024年度部门决算编制范围的下属预算单位包括：</w:t>
      </w:r>
    </w:p>
    <w:p>
      <w:pPr>
        <w:widowControl/>
        <w:numPr>
          <w:ilvl w:val="0"/>
          <w:numId w:val="0"/>
        </w:numPr>
        <w:spacing w:before="0" w:beforeLines="0" w:beforeAutospacing="0" w:after="0" w:afterLines="0" w:afterAutospacing="0" w:line="240" w:lineRule="auto"/>
        <w:jc w:val="both"/>
        <w:rPr>
          <w:rFonts w:ascii="仿宋_GB2312" w:eastAsia="仿宋_GB2312"/>
          <w:sz w:val="32"/>
          <w:szCs w:val="32"/>
        </w:rPr>
      </w:pPr>
      <w:r>
        <w:rPr>
          <w:rFonts w:ascii="仿宋_GB2312" w:eastAsia="仿宋_GB2312"/>
          <w:b w:val="0"/>
          <w:sz w:val="32"/>
          <w:szCs w:val="32"/>
        </w:rPr>
        <w:t>库尔勒市市场监督管理局</w:t>
      </w:r>
    </w:p>
    <w:p>
      <w:pPr>
        <w:widowControl/>
      </w:pPr>
      <w:r>
        <w:rPr>
          <w:b w:val="0"/>
          <w:sz w:val="0"/>
          <w:szCs w:val="0"/>
        </w:rPr>
        <w:br w:type="page"/>
      </w:r>
    </w:p>
    <w:p>
      <w:pPr>
        <w:widowControl/>
        <w:spacing w:before="0" w:beforeLines="0" w:beforeAutospacing="0" w:after="0" w:afterLines="0" w:afterAutospacing="0" w:line="240" w:lineRule="auto"/>
        <w:jc w:val="center"/>
        <w:outlineLvl w:val="0"/>
        <w:rPr>
          <w:rFonts w:ascii="黑体" w:eastAsia="黑体"/>
          <w:sz w:val="32"/>
          <w:szCs w:val="32"/>
        </w:rPr>
      </w:pPr>
      <w:r>
        <w:rPr>
          <w:rFonts w:ascii="黑体" w:eastAsia="黑体"/>
          <w:b w:val="0"/>
          <w:sz w:val="32"/>
          <w:szCs w:val="32"/>
        </w:rPr>
        <w:t>第二部分部门决算情况说明</w:t>
      </w:r>
    </w:p>
    <w:p>
      <w:pPr>
        <w:widowControl/>
        <w:spacing w:before="0" w:beforeLines="0" w:beforeAutospacing="0" w:after="0" w:afterLines="0" w:afterAutospacing="0" w:line="240" w:lineRule="auto"/>
        <w:ind w:firstLine="640" w:firstLineChars="200"/>
        <w:jc w:val="left"/>
        <w:outlineLvl w:val="1"/>
        <w:rPr>
          <w:rFonts w:ascii="黑体" w:eastAsia="黑体"/>
          <w:sz w:val="32"/>
          <w:szCs w:val="32"/>
        </w:rPr>
      </w:pPr>
      <w:r>
        <w:rPr>
          <w:rFonts w:ascii="黑体" w:eastAsia="黑体"/>
          <w:b w:val="0"/>
          <w:sz w:val="32"/>
          <w:szCs w:val="32"/>
        </w:rPr>
        <w:t>一、收入支出决算总体情况说明</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2024年度收入总计3,237.14万元，其中：本年收入合计3,232.89万元，使用非财政拨款结余（含专用结余）0.00万元，年初结转和结余4.25万元。</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2024年度支出总计3,237.14万元，其中：本年支出合计3,232.25万元，结余分配0.00万元，年末结转和结余4.89万元。</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收入支出总体与上年相比，减少6,238.93万元，下降65.84%，主要原因是：本年减少突发公共专项收入，人员减少、社保公积金基数下降，相应收入减少。</w:t>
      </w:r>
    </w:p>
    <w:p>
      <w:pPr>
        <w:widowControl/>
        <w:spacing w:before="0" w:beforeLines="0" w:beforeAutospacing="0" w:after="0" w:afterLines="0" w:afterAutospacing="0" w:line="240" w:lineRule="auto"/>
        <w:ind w:firstLine="640" w:firstLineChars="200"/>
        <w:jc w:val="left"/>
        <w:outlineLvl w:val="1"/>
        <w:rPr>
          <w:rFonts w:ascii="黑体" w:eastAsia="黑体"/>
          <w:sz w:val="32"/>
          <w:szCs w:val="32"/>
        </w:rPr>
      </w:pPr>
      <w:r>
        <w:rPr>
          <w:rFonts w:ascii="黑体" w:eastAsia="黑体"/>
          <w:b w:val="0"/>
          <w:sz w:val="32"/>
          <w:szCs w:val="32"/>
        </w:rPr>
        <w:t>二、收入决算情况说明</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本年收入3,232.89万元，其中：财政拨款收入3,222.89万元,占99.69%；上级补助收入0.00万元,占0.00%；事业收入0.00万元，占0.00%；经营收入0.00万元,占0.00%；附属单位上缴收入0.00万元，占0.00%；其他收入10.00万元，占0.31%。</w:t>
      </w:r>
    </w:p>
    <w:p>
      <w:pPr>
        <w:widowControl/>
        <w:spacing w:before="0" w:beforeLines="0" w:beforeAutospacing="0" w:after="0" w:afterLines="0" w:afterAutospacing="0" w:line="240" w:lineRule="auto"/>
        <w:ind w:firstLine="640" w:firstLineChars="200"/>
        <w:jc w:val="left"/>
        <w:outlineLvl w:val="1"/>
        <w:rPr>
          <w:rFonts w:ascii="黑体" w:eastAsia="黑体"/>
          <w:sz w:val="32"/>
          <w:szCs w:val="32"/>
        </w:rPr>
      </w:pPr>
      <w:r>
        <w:rPr>
          <w:rFonts w:ascii="黑体" w:eastAsia="黑体"/>
          <w:b w:val="0"/>
          <w:sz w:val="32"/>
          <w:szCs w:val="32"/>
        </w:rPr>
        <w:t>三、支出决算情况说明</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本年支出3,232.25万元，其中：基本支出3,032.86万元，占93.83%；项目支出199.39万元，占6.17%；上缴上级支出0.00万元，占0.00%；经营支出0.00万元，占0.00%；对附属单位补助支出0.00万元，占0.00%。</w:t>
      </w:r>
    </w:p>
    <w:p>
      <w:pPr>
        <w:widowControl/>
        <w:spacing w:before="0" w:beforeLines="0" w:beforeAutospacing="0" w:after="0" w:afterLines="0" w:afterAutospacing="0" w:line="240" w:lineRule="auto"/>
        <w:ind w:firstLine="640" w:firstLineChars="200"/>
        <w:jc w:val="left"/>
        <w:outlineLvl w:val="1"/>
        <w:rPr>
          <w:rFonts w:ascii="黑体" w:eastAsia="黑体"/>
          <w:sz w:val="32"/>
          <w:szCs w:val="32"/>
        </w:rPr>
      </w:pPr>
      <w:r>
        <w:rPr>
          <w:rFonts w:ascii="黑体" w:eastAsia="黑体"/>
          <w:b w:val="0"/>
          <w:sz w:val="32"/>
          <w:szCs w:val="32"/>
        </w:rPr>
        <w:t>四、财政拨款收入支出决算总体情况说明</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2024年度财政拨款收入总计3,222.89万元，其中：年初财政拨款结转和结余0.00万元，本年财政拨款收入3,222.89万元。财政拨款支出总计3,222.89万元，其中：年末财政拨款结转和结余0.00万元，本年财政拨款支出3,222.89万元。</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财政拨款收入支出总体与上年相比，减少6,191.02万元，下降65.76%，主要原因是：本年减少突发公共专项收入，人员减少、社保公积金基数下降，相应收入减少。与年初预算相比，年初预算数3,460.64万元，决算数3,222.89万元，预决算差异率-6.87%，主要原因是：本年减少8名干部，工资、社保经费相应减少。</w:t>
      </w:r>
    </w:p>
    <w:p>
      <w:pPr>
        <w:widowControl/>
        <w:spacing w:before="0" w:beforeLines="0" w:beforeAutospacing="0" w:after="0" w:afterLines="0" w:afterAutospacing="0" w:line="240" w:lineRule="auto"/>
        <w:ind w:firstLine="640" w:firstLineChars="200"/>
        <w:jc w:val="left"/>
        <w:outlineLvl w:val="1"/>
        <w:rPr>
          <w:rFonts w:ascii="黑体" w:eastAsia="黑体"/>
          <w:sz w:val="32"/>
          <w:szCs w:val="32"/>
        </w:rPr>
      </w:pPr>
      <w:r>
        <w:rPr>
          <w:rFonts w:ascii="黑体" w:eastAsia="黑体"/>
          <w:b w:val="0"/>
          <w:sz w:val="32"/>
          <w:szCs w:val="32"/>
        </w:rPr>
        <w:t>五、一般公共预算财政拨款支出决算情况说明</w:t>
      </w:r>
    </w:p>
    <w:p>
      <w:pPr>
        <w:widowControl/>
        <w:spacing w:before="0" w:beforeLines="0" w:beforeAutospacing="0" w:after="0" w:afterLines="0" w:afterAutospacing="0" w:line="240" w:lineRule="auto"/>
        <w:ind w:firstLine="643" w:firstLineChars="200"/>
        <w:jc w:val="left"/>
        <w:outlineLvl w:val="2"/>
        <w:rPr>
          <w:rFonts w:ascii="仿宋_GB2312" w:eastAsia="仿宋_GB2312"/>
          <w:sz w:val="32"/>
          <w:szCs w:val="32"/>
        </w:rPr>
      </w:pPr>
      <w:r>
        <w:rPr>
          <w:rFonts w:ascii="仿宋_GB2312" w:eastAsia="仿宋_GB2312"/>
          <w:b/>
          <w:sz w:val="32"/>
          <w:szCs w:val="32"/>
        </w:rPr>
        <w:t>（一）一般公共预算财政拨款支出决算总体情况</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2024年度一般公共预算财政拨款支出3,095.85万元，占本年支出合计的95.78%。与上年相比，减少6,318.06万元，下降67.11%，主要原因是：本年减少突发公共专项收入，人员减少、社保公积金基数下降，相应支出减少。与年初预算相比，年初预算数3,460.64万元，决算数3,095.85万元，预决算差异率-10.54%，主要原因是：本年减少8名干部，工资、社保支出相应减少。</w:t>
      </w:r>
    </w:p>
    <w:p>
      <w:pPr>
        <w:widowControl/>
        <w:spacing w:before="0" w:beforeLines="0" w:beforeAutospacing="0" w:after="0" w:afterLines="0" w:afterAutospacing="0" w:line="240" w:lineRule="auto"/>
        <w:ind w:firstLine="643" w:firstLineChars="200"/>
        <w:jc w:val="left"/>
        <w:outlineLvl w:val="2"/>
        <w:rPr>
          <w:rFonts w:ascii="仿宋_GB2312" w:eastAsia="仿宋_GB2312"/>
          <w:sz w:val="32"/>
          <w:szCs w:val="32"/>
        </w:rPr>
      </w:pPr>
      <w:r>
        <w:rPr>
          <w:rFonts w:ascii="仿宋_GB2312" w:eastAsia="仿宋_GB2312"/>
          <w:b/>
          <w:sz w:val="32"/>
          <w:szCs w:val="32"/>
        </w:rPr>
        <w:t>（二）一般公共预算财政拨款支出决算结构情况</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一般公共服务支出（类）2,157.73万元，占69.70%。</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教育支出（类）10.24万元，占0.33%。</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社会保障和就业支出（类）546.47万元，占17.65%。</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卫生健康支出（类）172.94万元，占5.59%。</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住房保障支出（类）208.47万元，占6.73%。</w:t>
      </w:r>
    </w:p>
    <w:p>
      <w:pPr>
        <w:widowControl/>
        <w:spacing w:before="0" w:beforeLines="0" w:beforeAutospacing="0" w:after="0" w:afterLines="0" w:afterAutospacing="0" w:line="240" w:lineRule="auto"/>
        <w:ind w:firstLine="643" w:firstLineChars="200"/>
        <w:jc w:val="left"/>
        <w:outlineLvl w:val="2"/>
        <w:rPr>
          <w:rFonts w:ascii="仿宋_GB2312" w:eastAsia="仿宋_GB2312"/>
          <w:sz w:val="32"/>
          <w:szCs w:val="32"/>
        </w:rPr>
      </w:pPr>
      <w:r>
        <w:rPr>
          <w:rFonts w:ascii="仿宋_GB2312" w:eastAsia="仿宋_GB2312"/>
          <w:b/>
          <w:sz w:val="32"/>
          <w:szCs w:val="32"/>
        </w:rPr>
        <w:t>（三）一般公共预算财政拨款支出决算具体情况</w:t>
      </w:r>
    </w:p>
    <w:p>
      <w:pPr>
        <w:widowControl/>
        <w:numPr>
          <w:ilvl w:val="0"/>
          <w:numId w:val="0"/>
        </w:numPr>
        <w:spacing w:before="0" w:beforeLines="0" w:beforeAutospacing="0" w:after="0" w:afterLines="0" w:afterAutospacing="0" w:line="240" w:lineRule="auto"/>
        <w:ind w:firstLine="640" w:firstLineChars="200"/>
        <w:rPr>
          <w:rFonts w:ascii="仿宋_GB2312" w:eastAsia="仿宋_GB2312"/>
          <w:sz w:val="32"/>
          <w:szCs w:val="32"/>
        </w:rPr>
      </w:pPr>
      <w:r>
        <w:rPr>
          <w:rFonts w:ascii="仿宋_GB2312" w:eastAsia="仿宋_GB2312"/>
          <w:b w:val="0"/>
          <w:sz w:val="32"/>
          <w:szCs w:val="32"/>
        </w:rPr>
        <w:t>一般公共服务支出（类）组织事务（款）其他组织事务支出（项）：支出决算数为19.55万元，比上年决算增加19.55万元，增长100.00%，主要原因是：此项经费为本年新增款项。</w:t>
      </w:r>
    </w:p>
    <w:p>
      <w:pPr>
        <w:widowControl/>
        <w:numPr>
          <w:ilvl w:val="0"/>
          <w:numId w:val="0"/>
        </w:numPr>
        <w:spacing w:before="0" w:beforeLines="0" w:beforeAutospacing="0" w:after="0" w:afterLines="0" w:afterAutospacing="0" w:line="240" w:lineRule="auto"/>
        <w:ind w:firstLine="640" w:firstLineChars="200"/>
        <w:rPr>
          <w:rFonts w:ascii="仿宋_GB2312" w:eastAsia="仿宋_GB2312"/>
          <w:sz w:val="32"/>
          <w:szCs w:val="32"/>
        </w:rPr>
      </w:pPr>
      <w:r>
        <w:rPr>
          <w:rFonts w:ascii="仿宋_GB2312" w:eastAsia="仿宋_GB2312"/>
          <w:b w:val="0"/>
          <w:sz w:val="32"/>
          <w:szCs w:val="32"/>
        </w:rPr>
        <w:t>一般公共服务支出（类）市场监督管理事务（款）行政运行（项）：支出决算数为2,096.19万元，比上年决算减少212.29万元，下降9.20%，主要原因是：本年减少8名干部，工资、社保支出相应减少。</w:t>
      </w:r>
    </w:p>
    <w:p>
      <w:pPr>
        <w:widowControl/>
        <w:numPr>
          <w:ilvl w:val="0"/>
          <w:numId w:val="0"/>
        </w:numPr>
        <w:spacing w:before="0" w:beforeLines="0" w:beforeAutospacing="0" w:after="0" w:afterLines="0" w:afterAutospacing="0" w:line="240" w:lineRule="auto"/>
        <w:ind w:firstLine="640" w:firstLineChars="200"/>
        <w:rPr>
          <w:rFonts w:ascii="仿宋_GB2312" w:eastAsia="仿宋_GB2312"/>
          <w:sz w:val="32"/>
          <w:szCs w:val="32"/>
        </w:rPr>
      </w:pPr>
      <w:r>
        <w:rPr>
          <w:rFonts w:ascii="仿宋_GB2312" w:eastAsia="仿宋_GB2312"/>
          <w:b w:val="0"/>
          <w:sz w:val="32"/>
          <w:szCs w:val="32"/>
        </w:rPr>
        <w:t>一般公共服务支出（类）市场监督管理事务（款）市场秩序执法（项）：支出决算数为0.00万元，比上年决算减少20.00万元，下降100.00%，主要原因是：本年未设置此项经费指标。</w:t>
      </w:r>
    </w:p>
    <w:p>
      <w:pPr>
        <w:widowControl/>
        <w:numPr>
          <w:ilvl w:val="0"/>
          <w:numId w:val="0"/>
        </w:numPr>
        <w:spacing w:before="0" w:beforeLines="0" w:beforeAutospacing="0" w:after="0" w:afterLines="0" w:afterAutospacing="0" w:line="240" w:lineRule="auto"/>
        <w:ind w:firstLine="640" w:firstLineChars="200"/>
        <w:rPr>
          <w:rFonts w:ascii="仿宋_GB2312" w:eastAsia="仿宋_GB2312"/>
          <w:sz w:val="32"/>
          <w:szCs w:val="32"/>
        </w:rPr>
      </w:pPr>
      <w:r>
        <w:rPr>
          <w:rFonts w:ascii="仿宋_GB2312" w:eastAsia="仿宋_GB2312"/>
          <w:b w:val="0"/>
          <w:sz w:val="32"/>
          <w:szCs w:val="32"/>
        </w:rPr>
        <w:t>一般公共服务支出（类）市场监督管理事务（款）药品事务（项）：支出决算数为10.00万元，比上年决算增加2.00万元，增长25.00%，主要原因是：本年药品监管业务较重，经费增长。</w:t>
      </w:r>
    </w:p>
    <w:p>
      <w:pPr>
        <w:widowControl/>
        <w:numPr>
          <w:ilvl w:val="0"/>
          <w:numId w:val="0"/>
        </w:numPr>
        <w:spacing w:before="0" w:beforeLines="0" w:beforeAutospacing="0" w:after="0" w:afterLines="0" w:afterAutospacing="0" w:line="240" w:lineRule="auto"/>
        <w:ind w:firstLine="640" w:firstLineChars="200"/>
        <w:rPr>
          <w:rFonts w:ascii="仿宋_GB2312" w:eastAsia="仿宋_GB2312"/>
          <w:sz w:val="32"/>
          <w:szCs w:val="32"/>
        </w:rPr>
      </w:pPr>
      <w:r>
        <w:rPr>
          <w:rFonts w:ascii="仿宋_GB2312" w:eastAsia="仿宋_GB2312"/>
          <w:b w:val="0"/>
          <w:sz w:val="32"/>
          <w:szCs w:val="32"/>
        </w:rPr>
        <w:t>一般公共服务支出（类）市场监督管理事务（款）食品安全监管（项）：支出决算数为5.00万元，比上年决算减少114.06万元，下降95.80%，主要原因是：本年未支出食品抽检经费，因此支出较上年减少。</w:t>
      </w:r>
    </w:p>
    <w:p>
      <w:pPr>
        <w:widowControl/>
        <w:numPr>
          <w:ilvl w:val="0"/>
          <w:numId w:val="0"/>
        </w:numPr>
        <w:spacing w:before="0" w:beforeLines="0" w:beforeAutospacing="0" w:after="0" w:afterLines="0" w:afterAutospacing="0" w:line="240" w:lineRule="auto"/>
        <w:ind w:firstLine="640" w:firstLineChars="200"/>
        <w:rPr>
          <w:rFonts w:ascii="仿宋_GB2312" w:eastAsia="仿宋_GB2312"/>
          <w:sz w:val="32"/>
          <w:szCs w:val="32"/>
        </w:rPr>
      </w:pPr>
      <w:r>
        <w:rPr>
          <w:rFonts w:ascii="仿宋_GB2312" w:eastAsia="仿宋_GB2312"/>
          <w:b w:val="0"/>
          <w:sz w:val="32"/>
          <w:szCs w:val="32"/>
        </w:rPr>
        <w:t>一般公共服务支出（类）市场监督管理事务（款）其他市场监督管理事务（项）：支出决算数为26.98万元，比上年决算增加13.18万元，增长95.51%，主要原因是：本年新增多项其他市场监督管理事务，因此支出较上年增长。</w:t>
      </w:r>
    </w:p>
    <w:p>
      <w:pPr>
        <w:widowControl/>
        <w:numPr>
          <w:ilvl w:val="0"/>
          <w:numId w:val="0"/>
        </w:numPr>
        <w:spacing w:before="0" w:beforeLines="0" w:beforeAutospacing="0" w:after="0" w:afterLines="0" w:afterAutospacing="0" w:line="240" w:lineRule="auto"/>
        <w:ind w:firstLine="640" w:firstLineChars="200"/>
        <w:rPr>
          <w:rFonts w:ascii="仿宋_GB2312" w:eastAsia="仿宋_GB2312"/>
          <w:sz w:val="32"/>
          <w:szCs w:val="32"/>
        </w:rPr>
      </w:pPr>
      <w:r>
        <w:rPr>
          <w:rFonts w:ascii="仿宋_GB2312" w:eastAsia="仿宋_GB2312"/>
          <w:b w:val="0"/>
          <w:sz w:val="32"/>
          <w:szCs w:val="32"/>
        </w:rPr>
        <w:t>教育支出（类）进修及培训（款）培训支出（项）：支出决算数为10.24万元，比上年决算增加3.62万元，增长54.68%，主要原因是：本年安排干部出差培训内容较多，培训支出相应增长。</w:t>
      </w:r>
    </w:p>
    <w:p>
      <w:pPr>
        <w:widowControl/>
        <w:numPr>
          <w:ilvl w:val="0"/>
          <w:numId w:val="0"/>
        </w:numPr>
        <w:spacing w:before="0" w:beforeLines="0" w:beforeAutospacing="0" w:after="0" w:afterLines="0" w:afterAutospacing="0" w:line="240" w:lineRule="auto"/>
        <w:ind w:firstLine="640" w:firstLineChars="200"/>
        <w:rPr>
          <w:rFonts w:ascii="仿宋_GB2312" w:eastAsia="仿宋_GB2312"/>
          <w:sz w:val="32"/>
          <w:szCs w:val="32"/>
        </w:rPr>
      </w:pPr>
      <w:r>
        <w:rPr>
          <w:rFonts w:ascii="仿宋_GB2312" w:eastAsia="仿宋_GB2312"/>
          <w:b w:val="0"/>
          <w:sz w:val="32"/>
          <w:szCs w:val="32"/>
        </w:rPr>
        <w:t>社会保障和就业支出（类）行政事业单位养老支出（款）行政单位离退休（项）：支出决算数为133.09万元，比上年决算增加37.82万元，增长39.70%，主要原因是：本年退休人员较上年增加22人，因此支出较上年有所增长。</w:t>
      </w:r>
    </w:p>
    <w:p>
      <w:pPr>
        <w:widowControl/>
        <w:numPr>
          <w:ilvl w:val="0"/>
          <w:numId w:val="0"/>
        </w:numPr>
        <w:spacing w:before="0" w:beforeLines="0" w:beforeAutospacing="0" w:after="0" w:afterLines="0" w:afterAutospacing="0" w:line="240" w:lineRule="auto"/>
        <w:ind w:firstLine="640" w:firstLineChars="200"/>
        <w:rPr>
          <w:rFonts w:ascii="仿宋_GB2312" w:eastAsia="仿宋_GB2312"/>
          <w:sz w:val="32"/>
          <w:szCs w:val="32"/>
        </w:rPr>
      </w:pPr>
      <w:r>
        <w:rPr>
          <w:rFonts w:ascii="仿宋_GB2312" w:eastAsia="仿宋_GB2312"/>
          <w:b w:val="0"/>
          <w:sz w:val="32"/>
          <w:szCs w:val="32"/>
        </w:rPr>
        <w:t>社会保障和就业支出（类）行政事业单位养老支出（款）机关事业单位基本养老保险缴费支出（项）：支出决算数为229.60万元，比上年决算减少20.86万元，下降8.33%，主要原因是：本年减少8名干部，养老保险支出相应减少。</w:t>
      </w:r>
    </w:p>
    <w:p>
      <w:pPr>
        <w:widowControl/>
        <w:numPr>
          <w:ilvl w:val="0"/>
          <w:numId w:val="0"/>
        </w:numPr>
        <w:spacing w:before="0" w:beforeLines="0" w:beforeAutospacing="0" w:after="0" w:afterLines="0" w:afterAutospacing="0" w:line="240" w:lineRule="auto"/>
        <w:ind w:firstLine="640" w:firstLineChars="200"/>
        <w:rPr>
          <w:rFonts w:ascii="仿宋_GB2312" w:eastAsia="仿宋_GB2312"/>
          <w:sz w:val="32"/>
          <w:szCs w:val="32"/>
        </w:rPr>
      </w:pPr>
      <w:r>
        <w:rPr>
          <w:rFonts w:ascii="仿宋_GB2312" w:eastAsia="仿宋_GB2312"/>
          <w:b w:val="0"/>
          <w:sz w:val="32"/>
          <w:szCs w:val="32"/>
        </w:rPr>
        <w:t>社会保障和就业支出（类）行政事业单位养老支出（款）机关事业单位职业年金缴费支出（项）：支出决算数为183.78万元，比上年决算增加87.01万元，增长89.91%，主要原因是：本年增加22名退休干部，职业年金费用相应增长。</w:t>
      </w:r>
    </w:p>
    <w:p>
      <w:pPr>
        <w:widowControl/>
        <w:numPr>
          <w:ilvl w:val="0"/>
          <w:numId w:val="0"/>
        </w:numPr>
        <w:spacing w:before="0" w:beforeLines="0" w:beforeAutospacing="0" w:after="0" w:afterLines="0" w:afterAutospacing="0" w:line="240" w:lineRule="auto"/>
        <w:ind w:firstLine="640" w:firstLineChars="200"/>
        <w:rPr>
          <w:rFonts w:ascii="仿宋_GB2312" w:eastAsia="仿宋_GB2312"/>
          <w:sz w:val="32"/>
          <w:szCs w:val="32"/>
        </w:rPr>
      </w:pPr>
      <w:r>
        <w:rPr>
          <w:rFonts w:ascii="仿宋_GB2312" w:eastAsia="仿宋_GB2312"/>
          <w:b w:val="0"/>
          <w:sz w:val="32"/>
          <w:szCs w:val="32"/>
        </w:rPr>
        <w:t>社会保障和就业支出（类）就业补助（款）公益性岗位补贴（项）：支出决算数为0.00万元，比上年决算减少22.80万元，下降100.00%，主要原因是：本年未设置此项经费指标。</w:t>
      </w:r>
    </w:p>
    <w:p>
      <w:pPr>
        <w:widowControl/>
        <w:numPr>
          <w:ilvl w:val="0"/>
          <w:numId w:val="0"/>
        </w:numPr>
        <w:spacing w:before="0" w:beforeLines="0" w:beforeAutospacing="0" w:after="0" w:afterLines="0" w:afterAutospacing="0" w:line="240" w:lineRule="auto"/>
        <w:ind w:firstLine="640" w:firstLineChars="200"/>
        <w:rPr>
          <w:rFonts w:ascii="仿宋_GB2312" w:eastAsia="仿宋_GB2312"/>
          <w:sz w:val="32"/>
          <w:szCs w:val="32"/>
        </w:rPr>
      </w:pPr>
      <w:r>
        <w:rPr>
          <w:rFonts w:ascii="仿宋_GB2312" w:eastAsia="仿宋_GB2312"/>
          <w:b w:val="0"/>
          <w:sz w:val="32"/>
          <w:szCs w:val="32"/>
        </w:rPr>
        <w:t>卫生健康支出（类）公共卫生（款）突发公共卫生事件应急处置（项）：支出决算数为27.37万元，比上年决算减少5,982.51万元，下降99.54%，主要原因是：疫情期间未结账的供餐企业减少，因此本年相应支出减少。</w:t>
      </w:r>
    </w:p>
    <w:p>
      <w:pPr>
        <w:widowControl/>
        <w:numPr>
          <w:ilvl w:val="0"/>
          <w:numId w:val="0"/>
        </w:numPr>
        <w:spacing w:before="0" w:beforeLines="0" w:beforeAutospacing="0" w:after="0" w:afterLines="0" w:afterAutospacing="0" w:line="240" w:lineRule="auto"/>
        <w:ind w:firstLine="640" w:firstLineChars="200"/>
        <w:rPr>
          <w:rFonts w:ascii="仿宋_GB2312" w:eastAsia="仿宋_GB2312"/>
          <w:sz w:val="32"/>
          <w:szCs w:val="32"/>
        </w:rPr>
      </w:pPr>
      <w:r>
        <w:rPr>
          <w:rFonts w:ascii="仿宋_GB2312" w:eastAsia="仿宋_GB2312"/>
          <w:b w:val="0"/>
          <w:sz w:val="32"/>
          <w:szCs w:val="32"/>
        </w:rPr>
        <w:t>卫生健康支出（类）行政事业单位医疗（款）行政单位医疗（项）：支出决算数为108.82万元，比上年决算减少112.06万元，下降50.73%，主要原因是：本年减少8名干部，医疗保险支出相应减少。</w:t>
      </w:r>
    </w:p>
    <w:p>
      <w:pPr>
        <w:widowControl/>
        <w:numPr>
          <w:ilvl w:val="0"/>
          <w:numId w:val="0"/>
        </w:numPr>
        <w:spacing w:before="0" w:beforeLines="0" w:beforeAutospacing="0" w:after="0" w:afterLines="0" w:afterAutospacing="0" w:line="240" w:lineRule="auto"/>
        <w:ind w:firstLine="640" w:firstLineChars="200"/>
        <w:rPr>
          <w:rFonts w:ascii="仿宋_GB2312" w:eastAsia="仿宋_GB2312"/>
          <w:sz w:val="32"/>
          <w:szCs w:val="32"/>
        </w:rPr>
      </w:pPr>
      <w:r>
        <w:rPr>
          <w:rFonts w:ascii="仿宋_GB2312" w:eastAsia="仿宋_GB2312"/>
          <w:b w:val="0"/>
          <w:sz w:val="32"/>
          <w:szCs w:val="32"/>
        </w:rPr>
        <w:t>卫生健康支出（类）行政事业单位医疗（款）公务员医疗补助（项）：支出决算数为36.75万元，比上年决算减少5.49万元，下降13.00%，主要原因是：本年减少8名干部，公务员医疗补助保险支出相应减少。</w:t>
      </w:r>
    </w:p>
    <w:p>
      <w:pPr>
        <w:widowControl/>
        <w:numPr>
          <w:ilvl w:val="0"/>
          <w:numId w:val="0"/>
        </w:numPr>
        <w:spacing w:before="0" w:beforeLines="0" w:beforeAutospacing="0" w:after="0" w:afterLines="0" w:afterAutospacing="0" w:line="240" w:lineRule="auto"/>
        <w:ind w:firstLine="640" w:firstLineChars="200"/>
        <w:rPr>
          <w:rFonts w:ascii="仿宋_GB2312" w:eastAsia="仿宋_GB2312"/>
          <w:sz w:val="32"/>
          <w:szCs w:val="32"/>
        </w:rPr>
      </w:pPr>
      <w:r>
        <w:rPr>
          <w:rFonts w:ascii="仿宋_GB2312" w:eastAsia="仿宋_GB2312"/>
          <w:b w:val="0"/>
          <w:sz w:val="32"/>
          <w:szCs w:val="32"/>
        </w:rPr>
        <w:t>住房保障支出（类）住房改革支出（款）住房公积金（项）：支出决算数为208.47万元，比上年决算增加8.82万元，增长4.42%，主要原因是：本年公积金调整基数，支出较上年有所增长。</w:t>
      </w:r>
    </w:p>
    <w:p>
      <w:pPr>
        <w:widowControl/>
        <w:spacing w:before="0" w:beforeLines="0" w:beforeAutospacing="0" w:after="0" w:afterLines="0" w:afterAutospacing="0" w:line="240" w:lineRule="auto"/>
        <w:ind w:firstLine="640" w:firstLineChars="200"/>
        <w:jc w:val="left"/>
        <w:outlineLvl w:val="1"/>
        <w:rPr>
          <w:rFonts w:ascii="黑体" w:eastAsia="黑体"/>
          <w:sz w:val="32"/>
          <w:szCs w:val="32"/>
        </w:rPr>
      </w:pPr>
      <w:r>
        <w:rPr>
          <w:rFonts w:ascii="黑体" w:eastAsia="黑体"/>
          <w:b w:val="0"/>
          <w:sz w:val="32"/>
          <w:szCs w:val="32"/>
        </w:rPr>
        <w:t>六、一般公共预算财政拨款基本支出决算情况说明</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2024年度一般公共预算财政拨款基本支出3,023.50万元，其中：人员经费2,813.59万元，包括：基本工资、津贴补贴、奖金、机关事业单位基本养老保险缴费、职业年金缴费、职工基本医疗保险缴费、公务员医疗补助缴费、其他社会保障缴费、住房公积金、其他工资福利支出、退休费、抚恤金和生活补助。</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公用经费209.91万元，包括：办公费、水费、电费、邮电费、取暖费、差旅费、培训费、劳务费、委托业务费、工会经费、公务用车运行维护费、其他交通费用、办公设备购置和其他交通工具购置。</w:t>
      </w:r>
    </w:p>
    <w:p>
      <w:pPr>
        <w:widowControl/>
        <w:spacing w:before="0" w:beforeLines="0" w:beforeAutospacing="0" w:after="0" w:afterLines="0" w:afterAutospacing="0" w:line="240" w:lineRule="auto"/>
        <w:ind w:firstLine="640" w:firstLineChars="200"/>
        <w:jc w:val="left"/>
        <w:outlineLvl w:val="1"/>
        <w:rPr>
          <w:rFonts w:ascii="黑体" w:eastAsia="黑体"/>
          <w:sz w:val="32"/>
          <w:szCs w:val="32"/>
        </w:rPr>
      </w:pPr>
      <w:r>
        <w:rPr>
          <w:rFonts w:ascii="黑体" w:eastAsia="黑体"/>
          <w:b w:val="0"/>
          <w:sz w:val="32"/>
          <w:szCs w:val="32"/>
        </w:rPr>
        <w:t>七、政府性基金预算财政拨款收入支出决算情况说明</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2024年度政府性基金预算财政拨款收入总计127.04万元，其中：年初结转和结余0.00万元，本年收入127.04万元。政府性基金预算财政拨款支出总计127.04万元，其中：年末结转和结余0.00万元，本年支出127.04万元。</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政府性基金预算财政拨款收入支出总体与上年相比，增加127.04万元，增长100%，主要原因是：本年新增团结市场监管所修缮项目。与年初预算相比，年初预算数0.00万元，决算数127.04万元，预决算差异率100%，主要原因是：本年新增团结市场监管所修缮项目。</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政府性基金预算财政拨款支出127.04万元。</w:t>
      </w:r>
    </w:p>
    <w:p>
      <w:pPr>
        <w:widowControl/>
        <w:numPr>
          <w:ilvl w:val="0"/>
          <w:numId w:val="0"/>
        </w:numPr>
        <w:spacing w:before="0" w:beforeLines="0" w:beforeAutospacing="0" w:after="0" w:afterLines="0" w:afterAutospacing="0" w:line="240" w:lineRule="auto"/>
        <w:ind w:firstLine="640" w:firstLineChars="200"/>
        <w:rPr>
          <w:rFonts w:ascii="仿宋_GB2312" w:eastAsia="仿宋_GB2312"/>
          <w:sz w:val="32"/>
          <w:szCs w:val="32"/>
        </w:rPr>
      </w:pPr>
      <w:r>
        <w:rPr>
          <w:rFonts w:ascii="仿宋_GB2312" w:eastAsia="仿宋_GB2312"/>
          <w:b w:val="0"/>
          <w:sz w:val="32"/>
          <w:szCs w:val="32"/>
        </w:rPr>
        <w:t>城乡社区支出（类）国有土地使用权出让收入安排的支出（款）其他国有土地使用权出让收入安排的支出（项）：支出决算数为127.04万元，比上年决算增加127.04万元，增长100.00%，主要原因是：本年新增团结市场监管所修缮项目</w:t>
      </w:r>
    </w:p>
    <w:p>
      <w:pPr>
        <w:widowControl/>
        <w:spacing w:before="0" w:beforeLines="0" w:beforeAutospacing="0" w:after="0" w:afterLines="0" w:afterAutospacing="0" w:line="240" w:lineRule="auto"/>
        <w:ind w:firstLine="640" w:firstLineChars="200"/>
        <w:jc w:val="left"/>
        <w:outlineLvl w:val="1"/>
        <w:rPr>
          <w:rFonts w:ascii="黑体" w:eastAsia="黑体"/>
          <w:sz w:val="32"/>
          <w:szCs w:val="32"/>
        </w:rPr>
      </w:pPr>
      <w:r>
        <w:rPr>
          <w:rFonts w:ascii="黑体" w:eastAsia="黑体"/>
          <w:b w:val="0"/>
          <w:sz w:val="32"/>
          <w:szCs w:val="32"/>
        </w:rPr>
        <w:t>八、国有资本经营预算财政拨款收入支出决算情况说明</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本部门本年度无国有资本经营预算财政拨款收入、支出及结转和结余，国有资本经营预算财政拨款收入支出决算表为空表。</w:t>
      </w:r>
    </w:p>
    <w:p>
      <w:pPr>
        <w:widowControl/>
        <w:spacing w:before="0" w:beforeLines="0" w:beforeAutospacing="0" w:after="0" w:afterLines="0" w:afterAutospacing="0" w:line="240" w:lineRule="auto"/>
        <w:ind w:firstLine="640" w:firstLineChars="200"/>
        <w:jc w:val="left"/>
        <w:outlineLvl w:val="1"/>
        <w:rPr>
          <w:rFonts w:ascii="黑体" w:eastAsia="黑体"/>
          <w:sz w:val="32"/>
          <w:szCs w:val="32"/>
        </w:rPr>
      </w:pPr>
      <w:r>
        <w:rPr>
          <w:rFonts w:ascii="黑体" w:eastAsia="黑体"/>
          <w:b w:val="0"/>
          <w:sz w:val="32"/>
          <w:szCs w:val="32"/>
        </w:rPr>
        <w:t>九、财政拨款“三公”经费支出决算情况说明</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2024年度财政拨款“三公”经费支出3.20万元，与上年相比无变化，主要原因是：本年编制车辆数与上年一致，因此与上年相比无变动。其中：因公出国（境）费支出0.00万元,占0.00%，与上年相比无变化，主要原因是：本年我单位无因公出国（境）费支出，与上年相比无变动；公务用车购置及运行维护费支出3.20万元，占100.00%，与上年相比无变化，主要原因是：年编制车辆数与上年一致，因此与上年相比无变动；公务接待费支出0.00万元，占0.00%，与上年相比无变化，主要原因是：本年我单位无公务接待支出，与上年相比无变动。</w:t>
      </w:r>
    </w:p>
    <w:p>
      <w:pPr>
        <w:widowControl/>
        <w:spacing w:before="0" w:beforeLines="0" w:beforeAutospacing="0" w:after="0" w:afterLines="0" w:afterAutospacing="0" w:line="240" w:lineRule="auto"/>
        <w:ind w:firstLine="640" w:firstLineChars="200"/>
        <w:jc w:val="left"/>
        <w:rPr>
          <w:rFonts w:ascii="仿宋_GB2312" w:eastAsia="仿宋_GB2312"/>
          <w:sz w:val="32"/>
          <w:szCs w:val="32"/>
        </w:rPr>
      </w:pPr>
      <w:r>
        <w:rPr>
          <w:rFonts w:ascii="仿宋_GB2312" w:eastAsia="仿宋_GB2312"/>
          <w:b w:val="0"/>
          <w:sz w:val="32"/>
          <w:szCs w:val="32"/>
        </w:rPr>
        <w:t>具体情况如下：</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因公出国（境）费支出0.00万元，开支内容包括本单位无此项支出。单位全年安排的因公出国（境）团组0个，因公出国（境）0人次。</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公务用车购置及运行维护费3.20万元，其中：公务用车购置费0.00万元，公务用车运行维护费3.20万元。公务用车运行维护费开支内容包括公务用车运行燃油费及保险费3.20万元。公务用车购置数0辆，公务用车保有量19辆。国有资产占用情况中固定资产车辆19辆，与公务用车保有量差异原因是：无差异。</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公务接待费0.00万元，开支内容包括本单位无此项支出。单位全年安排的国内公务接待0批次，0人次。</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与全年预算相比，财政拨款“三公”经费支出全年预算数3.20万元，决算数3.20万元，预决算差异率0.00%，主要原因是：无差异。其中：因公出国（境）费全年预算数0.00万元，决算数0.00万元，预决算差异率0.00%，主要原因是：无差异。公务用车购置费全年预算数0.00万元，决算数0.00万元，预决算差异率0.00%，主要原因是：无差异。公务用车运行维护费全年预算数3.20万元，决算数3.20万元，预决算差异率0.00%，主要原因是：无差异。公务接待费全年预算数0.00万元，决算数0.00万元，预决算差异率0.00%，主要原因是：无差异。</w:t>
      </w:r>
    </w:p>
    <w:p>
      <w:pPr>
        <w:widowControl/>
        <w:spacing w:before="0" w:beforeLines="0" w:beforeAutospacing="0" w:after="0" w:afterLines="0" w:afterAutospacing="0" w:line="240" w:lineRule="auto"/>
        <w:ind w:firstLine="640" w:firstLineChars="200"/>
        <w:jc w:val="left"/>
        <w:outlineLvl w:val="1"/>
        <w:rPr>
          <w:rFonts w:ascii="黑体" w:eastAsia="黑体"/>
          <w:sz w:val="32"/>
          <w:szCs w:val="32"/>
        </w:rPr>
      </w:pPr>
      <w:r>
        <w:rPr>
          <w:rFonts w:ascii="黑体" w:eastAsia="黑体"/>
          <w:b w:val="0"/>
          <w:sz w:val="32"/>
          <w:szCs w:val="32"/>
        </w:rPr>
        <w:t>十、其他重要事项的情况说明</w:t>
      </w:r>
    </w:p>
    <w:p>
      <w:pPr>
        <w:widowControl/>
        <w:spacing w:before="0" w:beforeLines="0" w:beforeAutospacing="0" w:after="0" w:afterLines="0" w:afterAutospacing="0" w:line="240" w:lineRule="auto"/>
        <w:ind w:firstLine="643" w:firstLineChars="200"/>
        <w:jc w:val="left"/>
        <w:outlineLvl w:val="2"/>
        <w:rPr>
          <w:rFonts w:ascii="仿宋_GB2312" w:eastAsia="仿宋_GB2312"/>
          <w:sz w:val="32"/>
          <w:szCs w:val="32"/>
        </w:rPr>
      </w:pPr>
      <w:r>
        <w:rPr>
          <w:rFonts w:ascii="仿宋_GB2312" w:eastAsia="仿宋_GB2312"/>
          <w:b/>
          <w:sz w:val="32"/>
          <w:szCs w:val="32"/>
        </w:rPr>
        <w:t>（一）机关运行经费及公用经费支出情况</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2024年度库尔勒市市场监督管理局部门机关运行经费支出209.91万元，比上年减少24.59万元，下降10.49%，主要原因是：本年在职人员减少，相应产生的运行经费减少。</w:t>
      </w:r>
    </w:p>
    <w:p>
      <w:pPr>
        <w:widowControl/>
        <w:spacing w:before="0" w:beforeLines="0" w:beforeAutospacing="0" w:after="0" w:afterLines="0" w:afterAutospacing="0" w:line="240" w:lineRule="auto"/>
        <w:ind w:firstLine="643" w:firstLineChars="200"/>
        <w:jc w:val="left"/>
        <w:outlineLvl w:val="2"/>
        <w:rPr>
          <w:rFonts w:ascii="仿宋_GB2312" w:eastAsia="仿宋_GB2312"/>
          <w:sz w:val="32"/>
          <w:szCs w:val="32"/>
        </w:rPr>
      </w:pPr>
      <w:r>
        <w:rPr>
          <w:rFonts w:ascii="仿宋_GB2312" w:eastAsia="仿宋_GB2312"/>
          <w:b/>
          <w:sz w:val="32"/>
          <w:szCs w:val="32"/>
        </w:rPr>
        <w:t>（二）政府采购情况</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2024年度政府采购支出总额224.77万元，其中：政府采购货物支出20.49万元、政府采购工程支出99.99万元、政府采购服务支出104.29万元。</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授予中小企业合同金额141.32万元，占政府采购支出总额的62.87%，其中：授予小微企业合同金额42.53万元，占政府采购支出总额的18.92%。</w:t>
      </w:r>
    </w:p>
    <w:p>
      <w:pPr>
        <w:widowControl/>
        <w:spacing w:before="0" w:beforeLines="0" w:beforeAutospacing="0" w:after="0" w:afterLines="0" w:afterAutospacing="0" w:line="240" w:lineRule="auto"/>
        <w:ind w:firstLine="643" w:firstLineChars="200"/>
        <w:jc w:val="left"/>
        <w:outlineLvl w:val="2"/>
        <w:rPr>
          <w:rFonts w:ascii="仿宋_GB2312" w:eastAsia="仿宋_GB2312"/>
          <w:sz w:val="32"/>
          <w:szCs w:val="32"/>
        </w:rPr>
      </w:pPr>
      <w:r>
        <w:rPr>
          <w:rFonts w:ascii="仿宋_GB2312" w:eastAsia="仿宋_GB2312"/>
          <w:b/>
          <w:sz w:val="32"/>
          <w:szCs w:val="32"/>
        </w:rPr>
        <w:t>（三）国有资产占用情况说明</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截至2024年12月31日，房屋18,508.23平方米，价值1,903.70万元。车辆19辆，价值362.96万元，其中：副部（省）级及以上领导用车0辆、主要负责人用车0辆、机要通信用车0辆、应急保障用车0辆、执法执勤用车15辆、特种专业技术用车0辆、离退休干部服务用车0辆、其他用车4辆，其他用车主要是：本单位一般公务用车;单价100万元（含）以上设备（不含车辆）0台（套）。</w:t>
      </w:r>
    </w:p>
    <w:p>
      <w:pPr>
        <w:widowControl/>
        <w:spacing w:before="0" w:beforeLines="0" w:beforeAutospacing="0" w:after="0" w:afterLines="0" w:afterAutospacing="0" w:line="240" w:lineRule="auto"/>
        <w:ind w:firstLine="640" w:firstLineChars="200"/>
        <w:jc w:val="left"/>
        <w:outlineLvl w:val="1"/>
        <w:rPr>
          <w:rFonts w:ascii="黑体" w:eastAsia="黑体"/>
          <w:sz w:val="32"/>
          <w:szCs w:val="32"/>
        </w:rPr>
      </w:pPr>
      <w:r>
        <w:rPr>
          <w:rFonts w:ascii="黑体" w:eastAsia="黑体"/>
          <w:b w:val="0"/>
          <w:sz w:val="32"/>
          <w:szCs w:val="32"/>
        </w:rPr>
        <w:t>十一、预算绩效的情况说明</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根据预算绩效管理要求，本部门2024年度预算绩效管理形成整体支出绩效自评表1个，全年预算总额3,237.14万元，实际执行总额3,232.25万元；预算绩效评价项目4个，全年预算数54.20万元，全年执行数39.98万元。预算绩效管理取得的成效：1.建立科学的绩效指标体系，结合项目目标和特点，制定量化、可衡量的绩效指标，采用分层分类的指标设计，涵盖项目投入、过程管理、产出成果和效益影响等维度，全面反映项目绩效。 2.实施动态监控与反馈，利用信息化平台对项目进度、资金使用、资源配置等进行实时监控，定期将监控结果反馈给项目实施科室，针对偏差及时调整策略。 3.提前做好项目规划，在项目实施过程中做好定期监督检查，严格按照项目管理规范进行，在项目资金使用过程中，严格落实把关，按照项目资金使用范围做好审核工作，让项目资金落于实处。在项目完成后，做好受益群众民意调查及项目防范工作。发现的问题及原因：1.相关绩效管理方面专业知识的系统性学习有待加强。各项指标的设置要进一步优化、完善，主要在细化、量化上改进。在绩效自评过程中，由于部分人员缺乏相关绩效管理专业知识，自评价工作还存在自我审定的局限性，影响评价质量。 2.因轮岗、调动等因素使我单位绩效工作人员流动频繁，造成工作衔接不到位的情况。下一步改进措施：1.多进行有关绩效管理工作方面的培训。积极组织第三方开展绩效管理工作培训，进一步夯实业务基础，提高我单位绩效人员水平。 2.专门设定对绩效工作人员定职、定岗、定责等相关制度措施，进一步提升我单位绩效管理工作业务水平，扎实做好绩效管理工作。具体附部门整体支出绩效自评表，项目支出绩效自评表和部门评价报告。</w:t>
      </w:r>
    </w:p>
    <w:p>
      <w:pPr>
        <w:widowControl/>
        <w:spacing w:before="0" w:beforeLines="0" w:beforeAutospacing="0" w:after="0" w:afterLines="0" w:afterAutospacing="0" w:line="240" w:lineRule="auto"/>
        <w:ind w:firstLine="640" w:firstLineChars="200"/>
        <w:jc w:val="left"/>
        <w:outlineLvl w:val="1"/>
        <w:rPr>
          <w:rFonts w:ascii="黑体" w:eastAsia="黑体"/>
          <w:sz w:val="32"/>
          <w:szCs w:val="32"/>
        </w:rPr>
      </w:pPr>
      <w:r>
        <w:rPr>
          <w:rFonts w:ascii="黑体" w:eastAsia="黑体"/>
          <w:b w:val="0"/>
          <w:sz w:val="32"/>
          <w:szCs w:val="32"/>
        </w:rPr>
        <w:t>十二、其他需说明的事项</w:t>
      </w:r>
    </w:p>
    <w:p>
      <w:pPr>
        <w:widowControl/>
        <w:spacing w:before="0" w:beforeLines="0" w:beforeAutospacing="0" w:after="0" w:afterLines="0" w:afterAutospacing="0" w:line="240" w:lineRule="auto"/>
        <w:ind w:firstLine="640" w:firstLineChars="200"/>
        <w:jc w:val="both"/>
        <w:rPr>
          <w:rFonts w:ascii="仿宋_GB2312" w:eastAsia="仿宋_GB2312"/>
          <w:sz w:val="32"/>
          <w:szCs w:val="32"/>
        </w:rPr>
      </w:pPr>
      <w:r>
        <w:rPr>
          <w:rFonts w:ascii="仿宋_GB2312" w:eastAsia="仿宋_GB2312"/>
          <w:b w:val="0"/>
          <w:sz w:val="32"/>
          <w:szCs w:val="32"/>
        </w:rPr>
        <w:t>本部门无其他需说明事项。</w:t>
      </w:r>
    </w:p>
    <w:p>
      <w:pPr>
        <w:widowControl/>
        <w:spacing w:before="0" w:beforeLines="0" w:beforeAutospacing="0" w:after="0" w:afterLines="0" w:afterAutospacing="0" w:line="240" w:lineRule="auto"/>
        <w:ind w:firstLine="640" w:firstLineChars="200"/>
        <w:jc w:val="left"/>
        <w:rPr>
          <w:rFonts w:ascii="仿宋_GB2312" w:eastAsia="仿宋_GB2312"/>
          <w:sz w:val="32"/>
          <w:szCs w:val="32"/>
        </w:rPr>
      </w:pPr>
    </w:p>
    <w:p>
      <w:pPr>
        <w:widowControl/>
      </w:pPr>
      <w:r>
        <w:rPr>
          <w:b w:val="0"/>
          <w:sz w:val="0"/>
          <w:szCs w:val="0"/>
        </w:rPr>
        <w:br w:type="page"/>
      </w:r>
    </w:p>
    <w:p>
      <w:pPr>
        <w:widowControl/>
        <w:spacing w:before="0" w:beforeLines="0" w:beforeAutospacing="0" w:after="0" w:afterLines="0" w:afterAutospacing="0" w:line="240" w:lineRule="auto"/>
        <w:jc w:val="center"/>
        <w:outlineLvl w:val="0"/>
        <w:rPr>
          <w:rFonts w:ascii="黑体" w:eastAsia="黑体"/>
          <w:sz w:val="32"/>
          <w:szCs w:val="32"/>
        </w:rPr>
      </w:pPr>
      <w:r>
        <w:rPr>
          <w:rFonts w:ascii="黑体" w:eastAsia="黑体"/>
          <w:b w:val="0"/>
          <w:sz w:val="32"/>
          <w:szCs w:val="32"/>
        </w:rPr>
        <w:t>第三部分专业名词解释</w:t>
      </w:r>
    </w:p>
    <w:p>
      <w:pPr>
        <w:widowControl/>
        <w:spacing w:before="0" w:beforeLines="0" w:beforeAutospacing="0" w:after="0" w:afterLines="0" w:afterAutospacing="0" w:line="240" w:lineRule="auto"/>
        <w:ind w:firstLine="643" w:firstLineChars="200"/>
        <w:jc w:val="left"/>
        <w:rPr>
          <w:rFonts w:ascii="仿宋_GB2312" w:eastAsia="仿宋_GB2312"/>
          <w:sz w:val="32"/>
          <w:szCs w:val="32"/>
        </w:rPr>
      </w:pPr>
      <w:r>
        <w:rPr>
          <w:rFonts w:ascii="仿宋_GB2312" w:eastAsia="仿宋_GB2312"/>
          <w:b/>
          <w:sz w:val="32"/>
          <w:szCs w:val="32"/>
        </w:rPr>
        <w:t>一、财政拨款收入：</w:t>
      </w:r>
      <w:r>
        <w:rPr>
          <w:rFonts w:ascii="仿宋_GB2312" w:eastAsia="仿宋_GB2312"/>
          <w:b w:val="0"/>
          <w:sz w:val="32"/>
          <w:szCs w:val="32"/>
        </w:rPr>
        <w:t>指同级财政当年拨付的资金。</w:t>
      </w:r>
    </w:p>
    <w:p>
      <w:pPr>
        <w:widowControl/>
        <w:spacing w:before="0" w:beforeLines="0" w:beforeAutospacing="0" w:after="0" w:afterLines="0" w:afterAutospacing="0" w:line="240" w:lineRule="auto"/>
        <w:ind w:firstLine="643" w:firstLineChars="200"/>
        <w:jc w:val="left"/>
        <w:rPr>
          <w:rFonts w:ascii="仿宋_GB2312" w:eastAsia="仿宋_GB2312"/>
          <w:sz w:val="32"/>
          <w:szCs w:val="32"/>
        </w:rPr>
      </w:pPr>
      <w:r>
        <w:rPr>
          <w:rFonts w:ascii="仿宋_GB2312" w:eastAsia="仿宋_GB2312"/>
          <w:b/>
          <w:sz w:val="32"/>
          <w:szCs w:val="32"/>
        </w:rPr>
        <w:t>二、上级补助收入：</w:t>
      </w:r>
      <w:r>
        <w:rPr>
          <w:rFonts w:ascii="仿宋_GB2312" w:eastAsia="仿宋_GB2312"/>
          <w:b w:val="0"/>
          <w:sz w:val="32"/>
          <w:szCs w:val="32"/>
        </w:rPr>
        <w:t>指事业单位从主管部门和上级单位取得的非财政补助收入。</w:t>
      </w:r>
    </w:p>
    <w:p>
      <w:pPr>
        <w:widowControl/>
        <w:spacing w:before="0" w:beforeLines="0" w:beforeAutospacing="0" w:after="0" w:afterLines="0" w:afterAutospacing="0" w:line="240" w:lineRule="auto"/>
        <w:ind w:firstLine="643" w:firstLineChars="200"/>
        <w:jc w:val="left"/>
        <w:rPr>
          <w:rFonts w:ascii="仿宋_GB2312" w:eastAsia="仿宋_GB2312"/>
          <w:sz w:val="32"/>
          <w:szCs w:val="32"/>
        </w:rPr>
      </w:pPr>
      <w:r>
        <w:rPr>
          <w:rFonts w:ascii="仿宋_GB2312" w:eastAsia="仿宋_GB2312"/>
          <w:b/>
          <w:sz w:val="32"/>
          <w:szCs w:val="32"/>
        </w:rPr>
        <w:t>三、事业收入：</w:t>
      </w:r>
      <w:r>
        <w:rPr>
          <w:rFonts w:ascii="仿宋_GB2312" w:eastAsia="仿宋_GB2312"/>
          <w:b w:val="0"/>
          <w:sz w:val="32"/>
          <w:szCs w:val="32"/>
        </w:rPr>
        <w:t>指事业单位开展专业业务活动及其辅助活动所取得的收入。</w:t>
      </w:r>
    </w:p>
    <w:p>
      <w:pPr>
        <w:widowControl/>
        <w:spacing w:before="0" w:beforeLines="0" w:beforeAutospacing="0" w:after="0" w:afterLines="0" w:afterAutospacing="0" w:line="240" w:lineRule="auto"/>
        <w:ind w:firstLine="643" w:firstLineChars="200"/>
        <w:jc w:val="left"/>
        <w:rPr>
          <w:rFonts w:ascii="仿宋_GB2312" w:eastAsia="仿宋_GB2312"/>
          <w:sz w:val="32"/>
          <w:szCs w:val="32"/>
        </w:rPr>
      </w:pPr>
      <w:r>
        <w:rPr>
          <w:rFonts w:ascii="仿宋_GB2312" w:eastAsia="仿宋_GB2312"/>
          <w:b/>
          <w:sz w:val="32"/>
          <w:szCs w:val="32"/>
        </w:rPr>
        <w:t>四、经营收入：</w:t>
      </w:r>
      <w:r>
        <w:rPr>
          <w:rFonts w:ascii="仿宋_GB2312" w:eastAsia="仿宋_GB2312"/>
          <w:b w:val="0"/>
          <w:sz w:val="32"/>
          <w:szCs w:val="32"/>
        </w:rPr>
        <w:t>指事业单位在专业业务活动及其辅助活动之外开展非独立核算经营活动取得的收入。</w:t>
      </w:r>
    </w:p>
    <w:p>
      <w:pPr>
        <w:widowControl/>
        <w:spacing w:before="0" w:beforeLines="0" w:beforeAutospacing="0" w:after="0" w:afterLines="0" w:afterAutospacing="0" w:line="240" w:lineRule="auto"/>
        <w:ind w:firstLine="643" w:firstLineChars="200"/>
        <w:jc w:val="left"/>
        <w:rPr>
          <w:rFonts w:ascii="仿宋_GB2312" w:eastAsia="仿宋_GB2312"/>
          <w:sz w:val="32"/>
          <w:szCs w:val="32"/>
        </w:rPr>
      </w:pPr>
      <w:r>
        <w:rPr>
          <w:rFonts w:ascii="仿宋_GB2312" w:eastAsia="仿宋_GB2312"/>
          <w:b/>
          <w:sz w:val="32"/>
          <w:szCs w:val="32"/>
        </w:rPr>
        <w:t>五、附属单位上缴收入：</w:t>
      </w:r>
      <w:r>
        <w:rPr>
          <w:rFonts w:ascii="仿宋_GB2312" w:eastAsia="仿宋_GB2312"/>
          <w:b w:val="0"/>
          <w:sz w:val="32"/>
          <w:szCs w:val="32"/>
        </w:rPr>
        <w:t>指事业单位附属的独立核算单位按有关规定上缴的收入。</w:t>
      </w:r>
    </w:p>
    <w:p>
      <w:pPr>
        <w:widowControl/>
        <w:spacing w:before="0" w:beforeLines="0" w:beforeAutospacing="0" w:after="0" w:afterLines="0" w:afterAutospacing="0" w:line="240" w:lineRule="auto"/>
        <w:ind w:firstLine="643" w:firstLineChars="200"/>
        <w:jc w:val="left"/>
        <w:rPr>
          <w:rFonts w:ascii="仿宋_GB2312" w:eastAsia="仿宋_GB2312"/>
          <w:sz w:val="32"/>
          <w:szCs w:val="32"/>
        </w:rPr>
      </w:pPr>
      <w:r>
        <w:rPr>
          <w:rFonts w:ascii="仿宋_GB2312" w:eastAsia="仿宋_GB2312"/>
          <w:b/>
          <w:sz w:val="32"/>
          <w:szCs w:val="32"/>
        </w:rPr>
        <w:t>六、其他收入：</w:t>
      </w:r>
      <w:r>
        <w:rPr>
          <w:rFonts w:ascii="仿宋_GB2312" w:eastAsia="仿宋_GB2312"/>
          <w:b w:val="0"/>
          <w:sz w:val="32"/>
          <w:szCs w:val="32"/>
        </w:rPr>
        <w:t>指除上述“财政拨款收入”、“事业收入”、“经营收入”、“附属单位上缴收入”等之外取得的收入。</w:t>
      </w:r>
    </w:p>
    <w:p>
      <w:pPr>
        <w:widowControl/>
        <w:spacing w:before="0" w:beforeLines="0" w:beforeAutospacing="0" w:after="0" w:afterLines="0" w:afterAutospacing="0" w:line="240" w:lineRule="auto"/>
        <w:ind w:firstLine="643" w:firstLineChars="200"/>
        <w:jc w:val="left"/>
        <w:rPr>
          <w:rFonts w:ascii="仿宋_GB2312" w:eastAsia="仿宋_GB2312"/>
          <w:sz w:val="32"/>
          <w:szCs w:val="32"/>
        </w:rPr>
      </w:pPr>
      <w:r>
        <w:rPr>
          <w:rFonts w:ascii="仿宋_GB2312" w:eastAsia="仿宋_GB2312"/>
          <w:b/>
          <w:sz w:val="32"/>
          <w:szCs w:val="32"/>
        </w:rPr>
        <w:t>七、年初结转和结余：</w:t>
      </w:r>
      <w:r>
        <w:rPr>
          <w:rFonts w:ascii="仿宋_GB2312" w:eastAsia="仿宋_GB2312"/>
          <w:b w:val="0"/>
          <w:sz w:val="32"/>
          <w:szCs w:val="32"/>
        </w:rPr>
        <w:t>指以前年度支出预算因客观条件变化未执行完毕、结转到本年度按有关规定继续使用的资金，既包括财政拨款结转和结余，也包括事业收入、经营收入、其他收入的结转和结余。</w:t>
      </w:r>
    </w:p>
    <w:p>
      <w:pPr>
        <w:widowControl/>
        <w:spacing w:before="0" w:beforeLines="0" w:beforeAutospacing="0" w:after="0" w:afterLines="0" w:afterAutospacing="0" w:line="240" w:lineRule="auto"/>
        <w:ind w:firstLine="643" w:firstLineChars="200"/>
        <w:jc w:val="left"/>
        <w:rPr>
          <w:rFonts w:ascii="仿宋_GB2312" w:eastAsia="仿宋_GB2312"/>
          <w:sz w:val="32"/>
          <w:szCs w:val="32"/>
        </w:rPr>
      </w:pPr>
      <w:r>
        <w:rPr>
          <w:rFonts w:ascii="仿宋_GB2312" w:eastAsia="仿宋_GB2312"/>
          <w:b/>
          <w:sz w:val="32"/>
          <w:szCs w:val="32"/>
        </w:rPr>
        <w:t>八、年末结转和结余：</w:t>
      </w:r>
      <w:r>
        <w:rPr>
          <w:rFonts w:ascii="仿宋_GB2312" w:eastAsia="仿宋_GB2312"/>
          <w:b w:val="0"/>
          <w:sz w:val="32"/>
          <w:szCs w:val="32"/>
        </w:rPr>
        <w:t>指本年度或以前年度预算安排、因客观条件发生变化无法按原计划实施，需要延迟到以后年度按有关规定继续使用的资金，既包括财政拨款结转和结余，也包括事业收入、经营收入、其他收入的结转和结余。</w:t>
      </w:r>
    </w:p>
    <w:p>
      <w:pPr>
        <w:widowControl/>
        <w:spacing w:before="0" w:beforeLines="0" w:beforeAutospacing="0" w:after="0" w:afterLines="0" w:afterAutospacing="0" w:line="240" w:lineRule="auto"/>
        <w:ind w:firstLine="643" w:firstLineChars="200"/>
        <w:jc w:val="left"/>
        <w:rPr>
          <w:rFonts w:ascii="仿宋_GB2312" w:eastAsia="仿宋_GB2312"/>
          <w:sz w:val="32"/>
          <w:szCs w:val="32"/>
        </w:rPr>
      </w:pPr>
      <w:r>
        <w:rPr>
          <w:rFonts w:ascii="仿宋_GB2312" w:eastAsia="仿宋_GB2312"/>
          <w:b/>
          <w:sz w:val="32"/>
          <w:szCs w:val="32"/>
        </w:rPr>
        <w:t>九、基本支出：</w:t>
      </w:r>
      <w:r>
        <w:rPr>
          <w:rFonts w:ascii="仿宋_GB2312" w:eastAsia="仿宋_GB2312"/>
          <w:b w:val="0"/>
          <w:sz w:val="32"/>
          <w:szCs w:val="32"/>
        </w:rPr>
        <w:t>指为保障机构正常运转、完成日常工作任务而发生的人员支出和公用支出。</w:t>
      </w:r>
    </w:p>
    <w:p>
      <w:pPr>
        <w:widowControl/>
        <w:spacing w:before="0" w:beforeLines="0" w:beforeAutospacing="0" w:after="0" w:afterLines="0" w:afterAutospacing="0" w:line="240" w:lineRule="auto"/>
        <w:ind w:firstLine="643" w:firstLineChars="200"/>
        <w:jc w:val="left"/>
        <w:rPr>
          <w:rFonts w:ascii="仿宋_GB2312" w:eastAsia="仿宋_GB2312"/>
          <w:sz w:val="32"/>
          <w:szCs w:val="32"/>
        </w:rPr>
      </w:pPr>
      <w:r>
        <w:rPr>
          <w:rFonts w:ascii="仿宋_GB2312" w:eastAsia="仿宋_GB2312"/>
          <w:b/>
          <w:sz w:val="32"/>
          <w:szCs w:val="32"/>
        </w:rPr>
        <w:t>十、项目支出：</w:t>
      </w:r>
      <w:r>
        <w:rPr>
          <w:rFonts w:ascii="仿宋_GB2312" w:eastAsia="仿宋_GB2312"/>
          <w:b w:val="0"/>
          <w:sz w:val="32"/>
          <w:szCs w:val="32"/>
        </w:rPr>
        <w:t>指在基本支出之外为完成特定行政任务和事业发展目标所发生的支出。</w:t>
      </w:r>
    </w:p>
    <w:p>
      <w:pPr>
        <w:widowControl/>
        <w:spacing w:before="0" w:beforeLines="0" w:beforeAutospacing="0" w:after="0" w:afterLines="0" w:afterAutospacing="0" w:line="240" w:lineRule="auto"/>
        <w:ind w:firstLine="643" w:firstLineChars="200"/>
        <w:jc w:val="left"/>
        <w:rPr>
          <w:rFonts w:ascii="仿宋_GB2312" w:eastAsia="仿宋_GB2312"/>
          <w:sz w:val="32"/>
          <w:szCs w:val="32"/>
        </w:rPr>
      </w:pPr>
      <w:r>
        <w:rPr>
          <w:rFonts w:ascii="仿宋_GB2312" w:eastAsia="仿宋_GB2312"/>
          <w:b/>
          <w:sz w:val="32"/>
          <w:szCs w:val="32"/>
        </w:rPr>
        <w:t>十一、经营支出：</w:t>
      </w:r>
      <w:r>
        <w:rPr>
          <w:rFonts w:ascii="仿宋_GB2312" w:eastAsia="仿宋_GB2312"/>
          <w:b w:val="0"/>
          <w:sz w:val="32"/>
          <w:szCs w:val="32"/>
        </w:rPr>
        <w:t>指事业单位在专业业务活动及其辅助活动之外开展非独立核算经营活动发生的支出。</w:t>
      </w:r>
    </w:p>
    <w:p>
      <w:pPr>
        <w:widowControl/>
        <w:spacing w:before="0" w:beforeLines="0" w:beforeAutospacing="0" w:after="0" w:afterLines="0" w:afterAutospacing="0" w:line="240" w:lineRule="auto"/>
        <w:ind w:firstLine="643" w:firstLineChars="200"/>
        <w:jc w:val="left"/>
        <w:rPr>
          <w:rFonts w:ascii="仿宋_GB2312" w:eastAsia="仿宋_GB2312"/>
          <w:sz w:val="32"/>
          <w:szCs w:val="32"/>
        </w:rPr>
      </w:pPr>
      <w:r>
        <w:rPr>
          <w:rFonts w:ascii="仿宋_GB2312" w:eastAsia="仿宋_GB2312"/>
          <w:b/>
          <w:sz w:val="32"/>
          <w:szCs w:val="32"/>
        </w:rPr>
        <w:t>十二、对附属单位补助支出：</w:t>
      </w:r>
      <w:r>
        <w:rPr>
          <w:rFonts w:ascii="仿宋_GB2312" w:eastAsia="仿宋_GB2312"/>
          <w:b w:val="0"/>
          <w:sz w:val="32"/>
          <w:szCs w:val="32"/>
        </w:rPr>
        <w:t>指事业单位发生的用非财政预算资金对附属单位的补助支出。</w:t>
      </w:r>
    </w:p>
    <w:p>
      <w:pPr>
        <w:widowControl/>
        <w:spacing w:before="0" w:beforeLines="0" w:beforeAutospacing="0" w:after="0" w:afterLines="0" w:afterAutospacing="0" w:line="240" w:lineRule="auto"/>
        <w:ind w:firstLine="643" w:firstLineChars="200"/>
        <w:jc w:val="left"/>
        <w:rPr>
          <w:rFonts w:ascii="仿宋_GB2312" w:eastAsia="仿宋_GB2312"/>
          <w:sz w:val="32"/>
          <w:szCs w:val="32"/>
        </w:rPr>
      </w:pPr>
      <w:r>
        <w:rPr>
          <w:rFonts w:ascii="仿宋_GB2312" w:eastAsia="仿宋_GB2312"/>
          <w:b/>
          <w:sz w:val="32"/>
          <w:szCs w:val="32"/>
        </w:rPr>
        <w:t>十三、“三公”经费：</w:t>
      </w:r>
      <w:r>
        <w:rPr>
          <w:rFonts w:ascii="仿宋_GB2312" w:eastAsia="仿宋_GB2312"/>
          <w:b w:val="0"/>
          <w:sz w:val="32"/>
          <w:szCs w:val="32"/>
        </w:rPr>
        <w:t>指用财政拨款安排的因公出国（境）费、公务用车购置及运行费和公务接待费。其中，因公出国（境）费反映单位公务出国（境）的国际旅费、国外城市间交通费、住宿费、伙食费、培训费、公杂费等支出；公务用车购置反映公务用车购置支出（含车辆购置税、牌照费）；公务用车运行维护费反映单位按规定保留的公务用车燃料费、维修费、过路过桥费、保险费、安全奖励费用等支出；公务接待费反映单位按规定开支的各类公务接待（含外宾接待）费用。</w:t>
      </w:r>
    </w:p>
    <w:p>
      <w:pPr>
        <w:widowControl/>
        <w:spacing w:before="0" w:beforeLines="0" w:beforeAutospacing="0" w:after="0" w:afterLines="0" w:afterAutospacing="0" w:line="240" w:lineRule="auto"/>
        <w:ind w:firstLine="643" w:firstLineChars="200"/>
        <w:jc w:val="left"/>
        <w:rPr>
          <w:rFonts w:ascii="仿宋_GB2312" w:eastAsia="仿宋_GB2312"/>
          <w:sz w:val="32"/>
          <w:szCs w:val="32"/>
        </w:rPr>
      </w:pPr>
      <w:r>
        <w:rPr>
          <w:rFonts w:ascii="仿宋_GB2312" w:eastAsia="仿宋_GB2312"/>
          <w:b/>
          <w:sz w:val="32"/>
          <w:szCs w:val="32"/>
        </w:rPr>
        <w:t>十四、机关运行经费：</w:t>
      </w:r>
      <w:r>
        <w:rPr>
          <w:rFonts w:ascii="仿宋_GB2312" w:eastAsia="仿宋_GB2312"/>
          <w:b w:val="0"/>
          <w:sz w:val="32"/>
          <w:szCs w:val="32"/>
        </w:rPr>
        <w:t>行政单位和参照公务员法管理的事业单位财政拨款基本支出中的公用经费支出。</w:t>
      </w:r>
    </w:p>
    <w:p>
      <w:pPr>
        <w:widowControl/>
      </w:pPr>
      <w:r>
        <w:rPr>
          <w:b w:val="0"/>
          <w:sz w:val="0"/>
          <w:szCs w:val="0"/>
        </w:rPr>
        <w:br w:type="page"/>
      </w:r>
    </w:p>
    <w:p>
      <w:pPr>
        <w:widowControl/>
        <w:spacing w:before="0" w:beforeLines="0" w:beforeAutospacing="0" w:after="0" w:afterLines="0" w:afterAutospacing="0" w:line="240" w:lineRule="auto"/>
        <w:jc w:val="center"/>
        <w:outlineLvl w:val="0"/>
        <w:rPr>
          <w:rFonts w:ascii="黑体" w:eastAsia="黑体"/>
          <w:sz w:val="32"/>
          <w:szCs w:val="32"/>
        </w:rPr>
      </w:pPr>
      <w:r>
        <w:rPr>
          <w:rFonts w:ascii="黑体" w:eastAsia="黑体"/>
          <w:b w:val="0"/>
          <w:sz w:val="32"/>
          <w:szCs w:val="32"/>
        </w:rPr>
        <w:t>第四部分部门决算报表（见附表）</w:t>
      </w:r>
    </w:p>
    <w:p>
      <w:pPr>
        <w:widowControl/>
        <w:spacing w:before="0" w:beforeLines="0" w:beforeAutospacing="0" w:after="0" w:afterLines="0" w:afterAutospacing="0" w:line="240" w:lineRule="auto"/>
        <w:ind w:firstLine="640" w:firstLineChars="200"/>
        <w:jc w:val="left"/>
        <w:outlineLvl w:val="1"/>
        <w:rPr>
          <w:rFonts w:ascii="仿宋_GB2312" w:eastAsia="仿宋_GB2312"/>
          <w:sz w:val="32"/>
          <w:szCs w:val="32"/>
        </w:rPr>
      </w:pPr>
      <w:r>
        <w:rPr>
          <w:rFonts w:ascii="仿宋_GB2312" w:eastAsia="仿宋_GB2312"/>
          <w:b w:val="0"/>
          <w:sz w:val="32"/>
          <w:szCs w:val="32"/>
        </w:rPr>
        <w:t>一、《收入支出决算总表》</w:t>
      </w:r>
    </w:p>
    <w:p>
      <w:pPr>
        <w:widowControl/>
        <w:spacing w:before="0" w:beforeLines="0" w:beforeAutospacing="0" w:after="0" w:afterLines="0" w:afterAutospacing="0" w:line="240" w:lineRule="auto"/>
        <w:ind w:firstLine="640" w:firstLineChars="200"/>
        <w:jc w:val="left"/>
        <w:outlineLvl w:val="1"/>
        <w:rPr>
          <w:rFonts w:ascii="仿宋_GB2312" w:eastAsia="仿宋_GB2312"/>
          <w:sz w:val="32"/>
          <w:szCs w:val="32"/>
        </w:rPr>
      </w:pPr>
      <w:r>
        <w:rPr>
          <w:rFonts w:ascii="仿宋_GB2312" w:eastAsia="仿宋_GB2312"/>
          <w:b w:val="0"/>
          <w:sz w:val="32"/>
          <w:szCs w:val="32"/>
        </w:rPr>
        <w:t>二、《收入决算表》</w:t>
      </w:r>
    </w:p>
    <w:p>
      <w:pPr>
        <w:widowControl/>
        <w:spacing w:before="0" w:beforeLines="0" w:beforeAutospacing="0" w:after="0" w:afterLines="0" w:afterAutospacing="0" w:line="240" w:lineRule="auto"/>
        <w:ind w:firstLine="640" w:firstLineChars="200"/>
        <w:jc w:val="left"/>
        <w:outlineLvl w:val="1"/>
        <w:rPr>
          <w:rFonts w:ascii="仿宋_GB2312" w:eastAsia="仿宋_GB2312"/>
          <w:sz w:val="32"/>
          <w:szCs w:val="32"/>
        </w:rPr>
      </w:pPr>
      <w:r>
        <w:rPr>
          <w:rFonts w:ascii="仿宋_GB2312" w:eastAsia="仿宋_GB2312"/>
          <w:b w:val="0"/>
          <w:sz w:val="32"/>
          <w:szCs w:val="32"/>
        </w:rPr>
        <w:t>三、《支出决算表》</w:t>
      </w:r>
    </w:p>
    <w:p>
      <w:pPr>
        <w:widowControl/>
        <w:spacing w:before="0" w:beforeLines="0" w:beforeAutospacing="0" w:after="0" w:afterLines="0" w:afterAutospacing="0" w:line="240" w:lineRule="auto"/>
        <w:ind w:firstLine="640" w:firstLineChars="200"/>
        <w:jc w:val="left"/>
        <w:outlineLvl w:val="1"/>
        <w:rPr>
          <w:rFonts w:ascii="仿宋_GB2312" w:eastAsia="仿宋_GB2312"/>
          <w:sz w:val="32"/>
          <w:szCs w:val="32"/>
        </w:rPr>
      </w:pPr>
      <w:r>
        <w:rPr>
          <w:rFonts w:ascii="仿宋_GB2312" w:eastAsia="仿宋_GB2312"/>
          <w:b w:val="0"/>
          <w:sz w:val="32"/>
          <w:szCs w:val="32"/>
        </w:rPr>
        <w:t>四、《财政拨款收入支出决算总表》</w:t>
      </w:r>
    </w:p>
    <w:p>
      <w:pPr>
        <w:widowControl/>
        <w:spacing w:before="0" w:beforeLines="0" w:beforeAutospacing="0" w:after="0" w:afterLines="0" w:afterAutospacing="0" w:line="240" w:lineRule="auto"/>
        <w:ind w:firstLine="640" w:firstLineChars="200"/>
        <w:jc w:val="left"/>
        <w:outlineLvl w:val="1"/>
        <w:rPr>
          <w:rFonts w:ascii="仿宋_GB2312" w:eastAsia="仿宋_GB2312"/>
          <w:sz w:val="32"/>
          <w:szCs w:val="32"/>
        </w:rPr>
      </w:pPr>
      <w:r>
        <w:rPr>
          <w:rFonts w:ascii="仿宋_GB2312" w:eastAsia="仿宋_GB2312"/>
          <w:b w:val="0"/>
          <w:sz w:val="32"/>
          <w:szCs w:val="32"/>
        </w:rPr>
        <w:t>五、《一般公共预算财政拨款支出决算表》</w:t>
      </w:r>
    </w:p>
    <w:p>
      <w:pPr>
        <w:widowControl/>
        <w:spacing w:before="0" w:beforeLines="0" w:beforeAutospacing="0" w:after="0" w:afterLines="0" w:afterAutospacing="0" w:line="240" w:lineRule="auto"/>
        <w:ind w:firstLine="640" w:firstLineChars="200"/>
        <w:jc w:val="left"/>
        <w:outlineLvl w:val="1"/>
        <w:rPr>
          <w:rFonts w:ascii="仿宋_GB2312" w:eastAsia="仿宋_GB2312"/>
          <w:sz w:val="32"/>
          <w:szCs w:val="32"/>
        </w:rPr>
      </w:pPr>
      <w:r>
        <w:rPr>
          <w:rFonts w:ascii="仿宋_GB2312" w:eastAsia="仿宋_GB2312"/>
          <w:b w:val="0"/>
          <w:sz w:val="32"/>
          <w:szCs w:val="32"/>
        </w:rPr>
        <w:t>六、《一般公共预算财政拨款基本支出决算表》</w:t>
      </w:r>
    </w:p>
    <w:p>
      <w:pPr>
        <w:widowControl/>
        <w:spacing w:before="0" w:beforeLines="0" w:beforeAutospacing="0" w:after="0" w:afterLines="0" w:afterAutospacing="0" w:line="240" w:lineRule="auto"/>
        <w:ind w:firstLine="640" w:firstLineChars="200"/>
        <w:jc w:val="left"/>
        <w:outlineLvl w:val="1"/>
        <w:rPr>
          <w:rFonts w:ascii="仿宋_GB2312" w:eastAsia="仿宋_GB2312"/>
          <w:sz w:val="32"/>
          <w:szCs w:val="32"/>
        </w:rPr>
      </w:pPr>
      <w:r>
        <w:rPr>
          <w:rFonts w:ascii="仿宋_GB2312" w:eastAsia="仿宋_GB2312"/>
          <w:b w:val="0"/>
          <w:sz w:val="32"/>
          <w:szCs w:val="32"/>
        </w:rPr>
        <w:t>七、《政府性基金预算财政拨款收入支出决算表》</w:t>
      </w:r>
    </w:p>
    <w:p>
      <w:pPr>
        <w:widowControl/>
        <w:spacing w:before="0" w:beforeLines="0" w:beforeAutospacing="0" w:after="0" w:afterLines="0" w:afterAutospacing="0" w:line="240" w:lineRule="auto"/>
        <w:ind w:firstLine="640" w:firstLineChars="200"/>
        <w:jc w:val="left"/>
        <w:outlineLvl w:val="1"/>
        <w:rPr>
          <w:rFonts w:ascii="仿宋_GB2312" w:eastAsia="仿宋_GB2312"/>
          <w:sz w:val="32"/>
          <w:szCs w:val="32"/>
        </w:rPr>
      </w:pPr>
      <w:r>
        <w:rPr>
          <w:rFonts w:ascii="仿宋_GB2312" w:eastAsia="仿宋_GB2312"/>
          <w:b w:val="0"/>
          <w:sz w:val="32"/>
          <w:szCs w:val="32"/>
        </w:rPr>
        <w:t>八、《国有资本经营预算财政拨款收入支出决算表》</w:t>
      </w:r>
    </w:p>
    <w:p>
      <w:pPr>
        <w:widowControl/>
        <w:spacing w:before="0" w:beforeLines="0" w:beforeAutospacing="0" w:after="0" w:afterLines="0" w:afterAutospacing="0" w:line="240" w:lineRule="auto"/>
        <w:ind w:firstLine="640" w:firstLineChars="200"/>
        <w:jc w:val="left"/>
        <w:outlineLvl w:val="1"/>
        <w:rPr>
          <w:rFonts w:ascii="仿宋_GB2312" w:eastAsia="仿宋_GB2312"/>
          <w:b w:val="0"/>
          <w:sz w:val="32"/>
          <w:szCs w:val="32"/>
        </w:rPr>
        <w:sectPr>
          <w:pgSz w:w="12240" w:h="15840"/>
          <w:pgMar w:top="1440" w:right="1800" w:bottom="1440" w:left="1800" w:header="720" w:footer="720" w:gutter="0"/>
          <w:cols w:space="720" w:num="1"/>
        </w:sectPr>
      </w:pPr>
      <w:r>
        <w:rPr>
          <w:rFonts w:ascii="仿宋_GB2312" w:eastAsia="仿宋_GB2312"/>
          <w:b w:val="0"/>
          <w:sz w:val="32"/>
          <w:szCs w:val="32"/>
        </w:rPr>
        <w:t>九、《财政拨款“三公”经费支出决算表》</w:t>
      </w:r>
    </w:p>
    <w:p>
      <w:pPr>
        <w:widowControl/>
        <w:spacing w:before="0" w:beforeLines="0" w:beforeAutospacing="0" w:after="0" w:afterLines="0" w:afterAutospacing="0" w:line="240" w:lineRule="auto"/>
        <w:jc w:val="left"/>
        <w:outlineLvl w:val="1"/>
        <w:rPr>
          <w:rFonts w:hint="eastAsia" w:ascii="仿宋_GB2312" w:eastAsia="仿宋_GB2312"/>
          <w:b w:val="0"/>
          <w:sz w:val="32"/>
          <w:szCs w:val="32"/>
          <w:lang w:eastAsia="zh-CN"/>
        </w:rPr>
        <w:sectPr>
          <w:pgSz w:w="12240" w:h="15840"/>
          <w:pgMar w:top="1440" w:right="1800" w:bottom="1440" w:left="1800" w:header="720" w:footer="720" w:gutter="0"/>
          <w:cols w:space="720" w:num="1"/>
        </w:sectPr>
      </w:pPr>
      <w:r>
        <w:rPr>
          <w:rFonts w:hint="eastAsia" w:ascii="仿宋_GB2312" w:eastAsia="仿宋_GB2312"/>
          <w:b w:val="0"/>
          <w:sz w:val="32"/>
          <w:szCs w:val="32"/>
          <w:lang w:eastAsia="zh-CN"/>
        </w:rPr>
        <w:drawing>
          <wp:inline distT="0" distB="0" distL="114300" distR="114300">
            <wp:extent cx="5480050" cy="4792345"/>
            <wp:effectExtent l="0" t="0" r="6350" b="8255"/>
            <wp:docPr id="1" name="图片 1" descr="57f695c9ccda24bd65a0d43bb94c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7f695c9ccda24bd65a0d43bb94c3373"/>
                    <pic:cNvPicPr>
                      <a:picLocks noChangeAspect="1"/>
                    </pic:cNvPicPr>
                  </pic:nvPicPr>
                  <pic:blipFill>
                    <a:blip r:embed="rId4"/>
                    <a:stretch>
                      <a:fillRect/>
                    </a:stretch>
                  </pic:blipFill>
                  <pic:spPr>
                    <a:xfrm>
                      <a:off x="0" y="0"/>
                      <a:ext cx="5480050" cy="4792345"/>
                    </a:xfrm>
                    <a:prstGeom prst="rect">
                      <a:avLst/>
                    </a:prstGeom>
                  </pic:spPr>
                </pic:pic>
              </a:graphicData>
            </a:graphic>
          </wp:inline>
        </w:drawing>
      </w:r>
    </w:p>
    <w:p>
      <w:pPr>
        <w:widowControl/>
        <w:spacing w:before="0" w:beforeLines="0" w:beforeAutospacing="0" w:after="0" w:afterLines="0" w:afterAutospacing="0" w:line="240" w:lineRule="auto"/>
        <w:jc w:val="left"/>
        <w:outlineLvl w:val="1"/>
      </w:pPr>
    </w:p>
    <w:p>
      <w:pPr>
        <w:widowControl/>
        <w:spacing w:before="0" w:beforeLines="0" w:beforeAutospacing="0" w:after="0" w:afterLines="0" w:afterAutospacing="0" w:line="240" w:lineRule="auto"/>
        <w:jc w:val="left"/>
        <w:outlineLvl w:val="1"/>
        <w:sectPr>
          <w:pgSz w:w="12240" w:h="15840"/>
          <w:pgMar w:top="1440" w:right="1800" w:bottom="1440" w:left="1800" w:header="720" w:footer="720" w:gutter="0"/>
          <w:cols w:space="720" w:num="1"/>
        </w:sectPr>
      </w:pPr>
      <w:r>
        <w:drawing>
          <wp:inline distT="0" distB="0" distL="114300" distR="114300">
            <wp:extent cx="5476240" cy="4024630"/>
            <wp:effectExtent l="0" t="0" r="10160" b="1397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5">
                      <a:grayscl/>
                    </a:blip>
                    <a:stretch>
                      <a:fillRect/>
                    </a:stretch>
                  </pic:blipFill>
                  <pic:spPr>
                    <a:xfrm>
                      <a:off x="0" y="0"/>
                      <a:ext cx="5476240" cy="4024630"/>
                    </a:xfrm>
                    <a:prstGeom prst="rect">
                      <a:avLst/>
                    </a:prstGeom>
                    <a:noFill/>
                    <a:ln w="9525">
                      <a:noFill/>
                    </a:ln>
                  </pic:spPr>
                </pic:pic>
              </a:graphicData>
            </a:graphic>
          </wp:inline>
        </w:drawing>
      </w:r>
    </w:p>
    <w:p>
      <w:pPr>
        <w:widowControl/>
        <w:spacing w:before="0" w:beforeLines="0" w:beforeAutospacing="0" w:after="0" w:afterLines="0" w:afterAutospacing="0" w:line="240" w:lineRule="auto"/>
        <w:jc w:val="left"/>
        <w:outlineLvl w:val="1"/>
        <w:rPr>
          <w:rFonts w:hint="eastAsia"/>
          <w:lang w:eastAsia="zh-CN"/>
        </w:rPr>
        <w:sectPr>
          <w:pgSz w:w="12240" w:h="15840"/>
          <w:pgMar w:top="1440" w:right="1800" w:bottom="1440" w:left="1800" w:header="720" w:footer="720" w:gutter="0"/>
          <w:cols w:space="720" w:num="1"/>
        </w:sectPr>
      </w:pPr>
      <w:r>
        <w:rPr>
          <w:rFonts w:hint="eastAsia"/>
          <w:lang w:eastAsia="zh-CN"/>
        </w:rPr>
        <w:drawing>
          <wp:inline distT="0" distB="0" distL="114300" distR="114300">
            <wp:extent cx="5476875" cy="4882515"/>
            <wp:effectExtent l="0" t="0" r="9525" b="13335"/>
            <wp:docPr id="4" name="图片 4" descr="1fef4ff06e5f4463fc99fd679bbd7b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fef4ff06e5f4463fc99fd679bbd7b60"/>
                    <pic:cNvPicPr>
                      <a:picLocks noChangeAspect="1"/>
                    </pic:cNvPicPr>
                  </pic:nvPicPr>
                  <pic:blipFill>
                    <a:blip r:embed="rId6">
                      <a:grayscl/>
                    </a:blip>
                    <a:stretch>
                      <a:fillRect/>
                    </a:stretch>
                  </pic:blipFill>
                  <pic:spPr>
                    <a:xfrm>
                      <a:off x="0" y="0"/>
                      <a:ext cx="5476875" cy="4882515"/>
                    </a:xfrm>
                    <a:prstGeom prst="rect">
                      <a:avLst/>
                    </a:prstGeom>
                  </pic:spPr>
                </pic:pic>
              </a:graphicData>
            </a:graphic>
          </wp:inline>
        </w:drawing>
      </w:r>
    </w:p>
    <w:p>
      <w:pPr>
        <w:widowControl/>
        <w:spacing w:before="0" w:beforeLines="0" w:beforeAutospacing="0" w:after="0" w:afterLines="0" w:afterAutospacing="0" w:line="240" w:lineRule="auto"/>
        <w:jc w:val="left"/>
        <w:outlineLvl w:val="1"/>
      </w:pPr>
    </w:p>
    <w:p>
      <w:pPr>
        <w:widowControl/>
        <w:spacing w:before="0" w:beforeLines="0" w:beforeAutospacing="0" w:after="0" w:afterLines="0" w:afterAutospacing="0" w:line="240" w:lineRule="auto"/>
        <w:jc w:val="left"/>
        <w:outlineLvl w:val="1"/>
        <w:rPr>
          <w:rFonts w:hint="eastAsia"/>
          <w:lang w:eastAsia="zh-CN"/>
        </w:rPr>
        <w:sectPr>
          <w:pgSz w:w="12240" w:h="15840"/>
          <w:pgMar w:top="1440" w:right="1800" w:bottom="1440" w:left="1800" w:header="720" w:footer="720" w:gutter="0"/>
          <w:cols w:space="720" w:num="1"/>
        </w:sectPr>
      </w:pPr>
      <w:r>
        <w:rPr>
          <w:rFonts w:hint="eastAsia"/>
          <w:lang w:eastAsia="zh-CN"/>
        </w:rPr>
        <w:drawing>
          <wp:inline distT="0" distB="0" distL="114300" distR="114300">
            <wp:extent cx="5485765" cy="3763010"/>
            <wp:effectExtent l="0" t="0" r="635" b="8890"/>
            <wp:docPr id="14" name="图片 14" descr="80933bf0b93b6fc4313c519977d90b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80933bf0b93b6fc4313c519977d90b8d"/>
                    <pic:cNvPicPr>
                      <a:picLocks noChangeAspect="1"/>
                    </pic:cNvPicPr>
                  </pic:nvPicPr>
                  <pic:blipFill>
                    <a:blip r:embed="rId7"/>
                    <a:stretch>
                      <a:fillRect/>
                    </a:stretch>
                  </pic:blipFill>
                  <pic:spPr>
                    <a:xfrm>
                      <a:off x="0" y="0"/>
                      <a:ext cx="5485765" cy="3763010"/>
                    </a:xfrm>
                    <a:prstGeom prst="rect">
                      <a:avLst/>
                    </a:prstGeom>
                  </pic:spPr>
                </pic:pic>
              </a:graphicData>
            </a:graphic>
          </wp:inline>
        </w:drawing>
      </w:r>
    </w:p>
    <w:p>
      <w:pPr>
        <w:widowControl/>
        <w:spacing w:before="0" w:beforeLines="0" w:beforeAutospacing="0" w:after="0" w:afterLines="0" w:afterAutospacing="0" w:line="240" w:lineRule="auto"/>
        <w:jc w:val="left"/>
        <w:outlineLvl w:val="1"/>
        <w:rPr>
          <w:rFonts w:hint="eastAsia"/>
          <w:lang w:eastAsia="zh-CN"/>
        </w:rPr>
        <w:sectPr>
          <w:pgSz w:w="12240" w:h="15840"/>
          <w:pgMar w:top="1440" w:right="1800" w:bottom="1440" w:left="1800" w:header="720" w:footer="720" w:gutter="0"/>
          <w:cols w:space="720" w:num="1"/>
        </w:sectPr>
      </w:pPr>
      <w:r>
        <w:drawing>
          <wp:inline distT="0" distB="0" distL="114300" distR="114300">
            <wp:extent cx="5480685" cy="5927090"/>
            <wp:effectExtent l="0" t="0" r="5715" b="1651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8">
                      <a:grayscl/>
                    </a:blip>
                    <a:stretch>
                      <a:fillRect/>
                    </a:stretch>
                  </pic:blipFill>
                  <pic:spPr>
                    <a:xfrm>
                      <a:off x="0" y="0"/>
                      <a:ext cx="5480685" cy="5927090"/>
                    </a:xfrm>
                    <a:prstGeom prst="rect">
                      <a:avLst/>
                    </a:prstGeom>
                    <a:noFill/>
                    <a:ln w="9525">
                      <a:noFill/>
                    </a:ln>
                  </pic:spPr>
                </pic:pic>
              </a:graphicData>
            </a:graphic>
          </wp:inline>
        </w:drawing>
      </w:r>
    </w:p>
    <w:p>
      <w:pPr>
        <w:widowControl/>
        <w:spacing w:before="0" w:beforeLines="0" w:beforeAutospacing="0" w:after="0" w:afterLines="0" w:afterAutospacing="0" w:line="240" w:lineRule="auto"/>
        <w:jc w:val="left"/>
        <w:outlineLvl w:val="1"/>
        <w:rPr>
          <w:rFonts w:hint="eastAsia" w:eastAsia="宋体"/>
          <w:lang w:eastAsia="zh-CN"/>
        </w:rPr>
        <w:sectPr>
          <w:pgSz w:w="12240" w:h="15840"/>
          <w:pgMar w:top="1440" w:right="1800" w:bottom="1440" w:left="1800" w:header="720" w:footer="720" w:gutter="0"/>
          <w:cols w:space="720" w:num="1"/>
        </w:sectPr>
      </w:pPr>
      <w:r>
        <w:rPr>
          <w:rFonts w:hint="eastAsia" w:eastAsia="宋体"/>
          <w:lang w:eastAsia="zh-CN"/>
        </w:rPr>
        <w:drawing>
          <wp:inline distT="0" distB="0" distL="114300" distR="114300">
            <wp:extent cx="5480050" cy="4642485"/>
            <wp:effectExtent l="0" t="0" r="6350" b="5715"/>
            <wp:docPr id="9" name="图片 9" descr="e1f9ac70e3d91b62c8859fa660036c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e1f9ac70e3d91b62c8859fa660036ca6"/>
                    <pic:cNvPicPr>
                      <a:picLocks noChangeAspect="1"/>
                    </pic:cNvPicPr>
                  </pic:nvPicPr>
                  <pic:blipFill>
                    <a:blip r:embed="rId9"/>
                    <a:stretch>
                      <a:fillRect/>
                    </a:stretch>
                  </pic:blipFill>
                  <pic:spPr>
                    <a:xfrm>
                      <a:off x="0" y="0"/>
                      <a:ext cx="5480050" cy="4642485"/>
                    </a:xfrm>
                    <a:prstGeom prst="rect">
                      <a:avLst/>
                    </a:prstGeom>
                  </pic:spPr>
                </pic:pic>
              </a:graphicData>
            </a:graphic>
          </wp:inline>
        </w:drawing>
      </w:r>
    </w:p>
    <w:p>
      <w:pPr>
        <w:widowControl/>
        <w:spacing w:before="0" w:beforeLines="0" w:beforeAutospacing="0" w:after="0" w:afterLines="0" w:afterAutospacing="0" w:line="240" w:lineRule="auto"/>
        <w:jc w:val="left"/>
        <w:outlineLvl w:val="1"/>
        <w:rPr>
          <w:rFonts w:hint="eastAsia" w:eastAsia="宋体"/>
          <w:lang w:eastAsia="zh-CN"/>
        </w:rPr>
        <w:sectPr>
          <w:pgSz w:w="12240" w:h="15840"/>
          <w:pgMar w:top="1440" w:right="1800" w:bottom="1440" w:left="1800" w:header="720" w:footer="720" w:gutter="0"/>
          <w:cols w:space="720" w:num="1"/>
        </w:sectPr>
      </w:pPr>
      <w:bookmarkStart w:id="0" w:name="_GoBack"/>
      <w:r>
        <w:drawing>
          <wp:inline distT="0" distB="0" distL="114300" distR="114300">
            <wp:extent cx="5483225" cy="1821180"/>
            <wp:effectExtent l="0" t="0" r="3175" b="762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0">
                      <a:grayscl/>
                    </a:blip>
                    <a:stretch>
                      <a:fillRect/>
                    </a:stretch>
                  </pic:blipFill>
                  <pic:spPr>
                    <a:xfrm>
                      <a:off x="0" y="0"/>
                      <a:ext cx="5483225" cy="1821180"/>
                    </a:xfrm>
                    <a:prstGeom prst="rect">
                      <a:avLst/>
                    </a:prstGeom>
                    <a:noFill/>
                    <a:ln w="9525">
                      <a:noFill/>
                    </a:ln>
                  </pic:spPr>
                </pic:pic>
              </a:graphicData>
            </a:graphic>
          </wp:inline>
        </w:drawing>
      </w:r>
      <w:bookmarkEnd w:id="0"/>
    </w:p>
    <w:p>
      <w:pPr>
        <w:widowControl/>
        <w:spacing w:before="0" w:beforeLines="0" w:beforeAutospacing="0" w:after="0" w:afterLines="0" w:afterAutospacing="0" w:line="240" w:lineRule="auto"/>
        <w:jc w:val="left"/>
        <w:outlineLvl w:val="1"/>
      </w:pPr>
      <w:r>
        <w:drawing>
          <wp:inline distT="0" distB="0" distL="114300" distR="114300">
            <wp:extent cx="5482590" cy="2131060"/>
            <wp:effectExtent l="0" t="0" r="3810" b="254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1"/>
                    <a:stretch>
                      <a:fillRect/>
                    </a:stretch>
                  </pic:blipFill>
                  <pic:spPr>
                    <a:xfrm>
                      <a:off x="0" y="0"/>
                      <a:ext cx="5482590" cy="2131060"/>
                    </a:xfrm>
                    <a:prstGeom prst="rect">
                      <a:avLst/>
                    </a:prstGeom>
                    <a:noFill/>
                    <a:ln w="9525">
                      <a:noFill/>
                    </a:ln>
                  </pic:spPr>
                </pic:pic>
              </a:graphicData>
            </a:graphic>
          </wp:inline>
        </w:drawing>
      </w:r>
    </w:p>
    <w:p>
      <w:pPr>
        <w:widowControl/>
        <w:spacing w:before="0" w:beforeLines="0" w:beforeAutospacing="0" w:after="0" w:afterLines="0" w:afterAutospacing="0" w:line="240" w:lineRule="auto"/>
        <w:jc w:val="left"/>
        <w:outlineLvl w:val="1"/>
        <w:rPr>
          <w:rFonts w:hint="eastAsia" w:eastAsia="宋体"/>
          <w:lang w:eastAsia="zh-CN"/>
        </w:rPr>
        <w:sectPr>
          <w:pgSz w:w="12240" w:h="15840"/>
          <w:pgMar w:top="1440" w:right="1800" w:bottom="1440" w:left="1800" w:header="720" w:footer="720" w:gutter="0"/>
          <w:cols w:space="720" w:num="1"/>
        </w:sectPr>
      </w:pPr>
    </w:p>
    <w:p>
      <w:pPr>
        <w:widowControl/>
        <w:spacing w:before="0" w:beforeLines="0" w:beforeAutospacing="0" w:after="0" w:afterLines="0" w:afterAutospacing="0" w:line="240" w:lineRule="auto"/>
        <w:jc w:val="left"/>
        <w:outlineLvl w:val="1"/>
        <w:rPr>
          <w:rFonts w:hint="eastAsia"/>
          <w:lang w:eastAsia="zh-CN"/>
        </w:rPr>
      </w:pPr>
      <w:r>
        <w:drawing>
          <wp:inline distT="0" distB="0" distL="114300" distR="114300">
            <wp:extent cx="5478780" cy="875665"/>
            <wp:effectExtent l="0" t="0" r="7620" b="63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2"/>
                    <a:stretch>
                      <a:fillRect/>
                    </a:stretch>
                  </pic:blipFill>
                  <pic:spPr>
                    <a:xfrm>
                      <a:off x="0" y="0"/>
                      <a:ext cx="5478780" cy="875665"/>
                    </a:xfrm>
                    <a:prstGeom prst="rect">
                      <a:avLst/>
                    </a:prstGeom>
                    <a:noFill/>
                    <a:ln w="9525">
                      <a:noFill/>
                    </a:ln>
                  </pic:spPr>
                </pic:pic>
              </a:graphicData>
            </a:graphic>
          </wp:inline>
        </w:drawing>
      </w:r>
    </w:p>
    <w:sectPr>
      <w:pgSz w:w="12240" w:h="15840"/>
      <w:pgMar w:top="1440" w:right="1800" w:bottom="1440" w:left="180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auto"/>
    <w:pitch w:val="default"/>
    <w:sig w:usb0="00000001" w:usb1="080E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isplayHorizontalDrawingGridEvery w:val="1"/>
  <w:displayVerticalDrawingGridEvery w:val="1"/>
  <w:noPunctuationKerning w:val="1"/>
  <w:compat>
    <w:doNotExpandShiftReturn/>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8A6164"/>
    <w:rsid w:val="0791149A"/>
    <w:rsid w:val="194C7BCE"/>
    <w:rsid w:val="1B774D70"/>
    <w:rsid w:val="676B7139"/>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sz w:val="21"/>
      <w:szCs w:val="22"/>
    </w:rPr>
  </w:style>
  <w:style w:type="character" w:default="1" w:styleId="3">
    <w:name w:val="Default Paragraph Font"/>
    <w:semiHidden/>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emf"/><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9.emf"/><Relationship Id="rId11" Type="http://schemas.openxmlformats.org/officeDocument/2006/relationships/image" Target="media/image8.emf"/><Relationship Id="rId10" Type="http://schemas.openxmlformats.org/officeDocument/2006/relationships/image" Target="media/image7.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otalTime>42</TotalTime>
  <ScaleCrop>false</ScaleCrop>
  <LinksUpToDate>false</LinksUpToDate>
  <Application>WPS Office_11.8.2.10154_F1E327BC-269C-435d-A152-05C5408002CA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2025-08-15T03:52:00Z</dcterms:created>
  <dc:creator>cws</dc:creator>
  <cp:lastModifiedBy>Administrator</cp:lastModifiedBy>
  <dcterms:modified xsi:type="dcterms:W3CDTF">2025-08-19T08:16:54Z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2052-11.8.2.10154</vt:lpwstr>
  </property>
</Properties>
</file>