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库尔勒市工商业联合会</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widowControl/>
        <w:spacing w:before="0" w:beforeLines="0" w:beforeAutospacing="0" w:after="0" w:afterLines="0" w:afterAutospacing="0" w:line="240" w:lineRule="auto"/>
        <w:ind w:firstLine="640" w:firstLineChars="200"/>
        <w:jc w:val="both"/>
        <w:rPr>
          <w:rFonts w:hint="eastAsia" w:ascii="仿宋_GB2312" w:hAnsi="宋体" w:eastAsia="仿宋_GB2312"/>
          <w:bCs/>
          <w:sz w:val="32"/>
          <w:szCs w:val="32"/>
        </w:rPr>
      </w:pPr>
      <w:r>
        <w:rPr>
          <w:rFonts w:hint="eastAsia" w:ascii="仿宋_GB2312" w:hAnsi="宋体" w:eastAsia="仿宋_GB2312"/>
          <w:bCs/>
          <w:sz w:val="32"/>
          <w:szCs w:val="32"/>
        </w:rPr>
        <w:t>团结、服务、引导、教育非公有制经济人士爱国、敬业、诚信、守法、贡献、培养拥护党的领导、走中国特色社会主义道路的非公有制经济人士队伍。做好非公有制经济代表人士政治安排的推荐工作,参与政治协商,发挥民主监督作用,积极参政议政。参与政府相关的经济活动,广泛联系全市工商界人士,开展民间外交,推动经贸交流和协作,促进经济社会发展。参与协调劳动关系,促进和谐社会建设。</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hAnsi="宋体" w:eastAsia="仿宋_GB2312"/>
          <w:bCs/>
          <w:sz w:val="32"/>
          <w:szCs w:val="32"/>
        </w:rPr>
        <w:t>指导工商联直属商会工作,积极参与社会组织建设工作,促进行业协会间会改革发展。反映非公有制企业和非公有制经济人士利益诉求,维护其合法权益。为会员提供政策信息、人才交流培训等服务。组织会员企业参加各类经贸活动,外出参观考察,帮助会员企业拓展市场。积极引导非公有制企业及其非公有制经济人士承担社会责任,大力支持慈善公益事业发展,积极投身光彩事业。承办市委、市政府和上级工商联交办的其它任务</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库尔勒市工商业联合会2024年度，实有人数8人，其中：在职人员2人，较上年无变化；离休人员0人，较上年无变化；退休人员6人，较上年无变化；</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库尔勒市工商业联合会无下属预算单位，下设</w:t>
      </w:r>
      <w:r>
        <w:rPr>
          <w:rFonts w:hint="eastAsia" w:ascii="仿宋_GB2312" w:eastAsia="仿宋_GB2312"/>
          <w:b w:val="0"/>
          <w:sz w:val="32"/>
          <w:szCs w:val="32"/>
          <w:lang w:val="en-US" w:eastAsia="zh-CN"/>
        </w:rPr>
        <w:t>2</w:t>
      </w:r>
      <w:r>
        <w:rPr>
          <w:rFonts w:ascii="仿宋_GB2312" w:eastAsia="仿宋_GB2312"/>
          <w:b w:val="0"/>
          <w:sz w:val="32"/>
          <w:szCs w:val="32"/>
        </w:rPr>
        <w:t>个</w:t>
      </w:r>
      <w:r>
        <w:rPr>
          <w:rFonts w:hint="eastAsia" w:ascii="仿宋_GB2312" w:eastAsia="仿宋_GB2312"/>
          <w:b w:val="0"/>
          <w:sz w:val="32"/>
          <w:szCs w:val="32"/>
          <w:lang w:val="en-US" w:eastAsia="zh-CN"/>
        </w:rPr>
        <w:t>科室</w:t>
      </w:r>
      <w:r>
        <w:rPr>
          <w:rFonts w:ascii="仿宋_GB2312" w:eastAsia="仿宋_GB2312"/>
          <w:b w:val="0"/>
          <w:sz w:val="32"/>
          <w:szCs w:val="32"/>
        </w:rPr>
        <w:t>，分别是：</w:t>
      </w:r>
      <w:r>
        <w:rPr>
          <w:rFonts w:hint="eastAsia" w:ascii="仿宋_GB2312" w:eastAsia="仿宋_GB2312"/>
          <w:b w:val="0"/>
          <w:sz w:val="32"/>
          <w:szCs w:val="32"/>
          <w:lang w:val="en-US" w:eastAsia="zh-CN"/>
        </w:rPr>
        <w:t>工商联综合办公室、工商联档案资料室</w:t>
      </w:r>
      <w:r>
        <w:rPr>
          <w:rFonts w:ascii="仿宋_GB2312" w:eastAsia="仿宋_GB2312"/>
          <w:b w:val="0"/>
          <w:sz w:val="32"/>
          <w:szCs w:val="32"/>
        </w:rPr>
        <w:t>。</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2024年度收入总计55.42万元，其中：本年收入合计55.42万元，使用非财政拨款结余（含专用结余）0.00万元，年初结转和结余0.00万元。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2024年度支出总计55.42万元，其中：本年支出合计55.42万元，结余分配0.00万元，年末结转和结余0.00万元。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收入支出总体与上年相比，增加3.21万元，增长6.15%，主要原因是：</w:t>
      </w:r>
      <w:r>
        <w:rPr>
          <w:rFonts w:hint="eastAsia" w:ascii="仿宋_GB2312" w:eastAsia="仿宋_GB2312"/>
          <w:b w:val="0"/>
          <w:sz w:val="32"/>
          <w:szCs w:val="32"/>
          <w:lang w:val="en-US" w:eastAsia="zh-CN"/>
        </w:rPr>
        <w:t>财政预算调整</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本年收入55.42万元，其中：财政拨款收入55.42万元,占100.00%；上级补助收入0.00万元,占0.00%；事业收入0.00万元，占0.00%；经营收入0.00万元,占0.00%；附属单位上缴收入0.00万元，占0.00%；其他收入0.00万元，占0.00%。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本年支出55.42万元，其中：基本支出48.56万元，占87.62%；项目支出6.87万元，占12.40%；上缴上级支出0.00万元，占0.00%；经营支出0.00万元，占0.00%；对附属单位补助支出0.00万元，占0.00%。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2024年度财政拨款收入总计55.42万元，其中：年初财政拨款结转和结余0.00万元，本年财政拨款收入55.42万元。财政拨款支出总计55.42万元，其中：年末财政拨款结转和结余0.00万元，本年财政拨款支出55.42万元。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财政拨款收入支出总体与上年相比，增加3.21万元，增长6.15%，主要原因是：</w:t>
      </w:r>
      <w:r>
        <w:rPr>
          <w:rFonts w:hint="default" w:ascii="仿宋_GB2312" w:eastAsia="仿宋_GB2312"/>
          <w:b w:val="0"/>
          <w:sz w:val="32"/>
          <w:szCs w:val="32"/>
        </w:rPr>
        <w:t>财政预算调整</w:t>
      </w:r>
      <w:r>
        <w:rPr>
          <w:rFonts w:ascii="仿宋_GB2312" w:eastAsia="仿宋_GB2312"/>
          <w:b w:val="0"/>
          <w:sz w:val="32"/>
          <w:szCs w:val="32"/>
        </w:rPr>
        <w:t>。与年初预算相比，年初预算数88.13万元，决算数55.42万元，预决算差异率-37.12%，主要原因是：年中因一名工作人员调往其他单位，其人员类经费和公用经费一同转入调入单位，导致预算调整。</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2024年度一般公共预算财政拨款支出55.42万元，占本年支出合计的100.00%。与上年相比，增加3.21万元，增长6.15%，主要原因是：</w:t>
      </w:r>
      <w:r>
        <w:rPr>
          <w:rFonts w:hint="eastAsia" w:ascii="仿宋_GB2312" w:eastAsia="仿宋_GB2312"/>
          <w:b w:val="0"/>
          <w:sz w:val="32"/>
          <w:szCs w:val="32"/>
          <w:lang w:val="en-US" w:eastAsia="zh-CN"/>
        </w:rPr>
        <w:t>财政预算调整，本年度新增培训支出及社会保障和就业、住房保障等支出有所增加</w:t>
      </w:r>
      <w:r>
        <w:rPr>
          <w:rFonts w:ascii="仿宋_GB2312" w:eastAsia="仿宋_GB2312"/>
          <w:b w:val="0"/>
          <w:sz w:val="32"/>
          <w:szCs w:val="32"/>
        </w:rPr>
        <w:t>。与年初预算相比，年初预算数88.13万元，决算数55.42万元，预决算差异率-37.12%，主要原因是年中因一名工作人员调往其他单位，其人员类经费和公用经费一同转入调入单位，导致预算调整：。</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一般公共服务支出（类）40.25万元，占72.63%。</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教育支出（类）0.25万元，占0.45%。</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社会保障和就业支出（类）9.20万元，占16.60%。</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卫生健康支出（类）2.38万元，占4.29%。</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住房保障支出（类）3.34万元，占6.03%。</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（三）一般公共预算财政拨款支出决算具体情况</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一般公共服务支出（类）民主党派及工商联事务（款）行政运行（项）：支出决算数为33.38万元，比上年决算减少2.09万元，下降5.89%，主要原因是：2023 年因补发 2020 年绩效导致上年基数较高，本年度无相关补发事项</w:t>
      </w:r>
      <w:r>
        <w:rPr>
          <w:rFonts w:hint="default" w:ascii="仿宋_GB2312" w:eastAsia="仿宋_GB2312"/>
          <w:b w:val="0"/>
          <w:sz w:val="32"/>
          <w:szCs w:val="32"/>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民主党派及工商联事务（款）其他民主党派及工商联事务支出（项）：支出决算数为6.87万元，比上年决算增加4.20万元，增长157.30%，主要原因是：本年度增加招商引资、贸易洽谈会及理想信念教育等专项活动支出</w:t>
      </w:r>
      <w:r>
        <w:rPr>
          <w:rFonts w:hint="default" w:ascii="仿宋_GB2312" w:eastAsia="仿宋_GB2312"/>
          <w:b w:val="0"/>
          <w:sz w:val="32"/>
          <w:szCs w:val="32"/>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教育支出（类）进修及培训（款）培训支出（项）：支出决算数为0.25万元，比上年决算增加0.25万元，增长100.00%，主要原因是：上年度未安排该预算，本年度新增此项目。</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社会保障和就业支出（类）行政事业单位养老支出（款）行政单位离退休（项）：支出决算数为5.10万元，比上年决算增加1.31万元，增长34.56%，主要原因是：离退休人员相关补助标准调整及补发部分款项</w:t>
      </w:r>
      <w:r>
        <w:rPr>
          <w:rFonts w:hint="default" w:ascii="仿宋_GB2312" w:eastAsia="仿宋_GB2312"/>
          <w:b w:val="0"/>
          <w:sz w:val="32"/>
          <w:szCs w:val="32"/>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社会保障和就业支出（类）行政事业单位养老支出（款）机关事业单位基本养老保险缴费支出（项）：支出决算数为4.10万元，比上年决算增加0.24万元，增长6.22%，主要原因是：</w:t>
      </w:r>
      <w:r>
        <w:rPr>
          <w:rFonts w:hint="eastAsia" w:ascii="仿宋_GB2312" w:eastAsia="仿宋_GB2312"/>
          <w:b w:val="0"/>
          <w:sz w:val="32"/>
          <w:szCs w:val="32"/>
          <w:lang w:val="en-US" w:eastAsia="zh-CN"/>
        </w:rPr>
        <w:t>基数调整，导致</w:t>
      </w:r>
      <w:r>
        <w:rPr>
          <w:rFonts w:ascii="仿宋_GB2312" w:eastAsia="仿宋_GB2312"/>
          <w:b w:val="0"/>
          <w:sz w:val="32"/>
          <w:szCs w:val="32"/>
        </w:rPr>
        <w:t>关事业单位基本养老保险缴费支出</w:t>
      </w:r>
      <w:r>
        <w:rPr>
          <w:rFonts w:hint="eastAsia" w:ascii="仿宋_GB2312" w:eastAsia="仿宋_GB2312"/>
          <w:b w:val="0"/>
          <w:sz w:val="32"/>
          <w:szCs w:val="32"/>
          <w:lang w:val="en-US" w:eastAsia="zh-CN"/>
        </w:rPr>
        <w:t>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卫生健康支出（类）行政事业单位医疗（款）行政单位医疗（项）：支出决算数为1.87万元，比上年决算减少0.73万元，下降28.08%，主要原因是：人员变动及缴费基数调整</w:t>
      </w:r>
      <w:r>
        <w:rPr>
          <w:rFonts w:hint="default" w:ascii="仿宋_GB2312" w:eastAsia="仿宋_GB2312"/>
          <w:b w:val="0"/>
          <w:sz w:val="32"/>
          <w:szCs w:val="32"/>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卫生健康支出（类）行政事业单位医疗（款）公务员医疗补助（项）：支出决算数为0.51万元，比上年决算减少0.36万元，下降41.38%，主要原因是：人员变动及缴费基数调整</w:t>
      </w:r>
      <w:r>
        <w:rPr>
          <w:rFonts w:hint="default" w:ascii="仿宋_GB2312" w:eastAsia="仿宋_GB2312"/>
          <w:b w:val="0"/>
          <w:sz w:val="32"/>
          <w:szCs w:val="32"/>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住房保障支出（类）住房改革支出（款）住房公积金（项）：支出决算数为3.34万元，比上年决算增加0.39万元，增长13.22%，主要原因是：</w:t>
      </w:r>
      <w:r>
        <w:rPr>
          <w:rFonts w:hint="eastAsia" w:ascii="仿宋_GB2312" w:eastAsia="仿宋_GB2312"/>
          <w:b w:val="0"/>
          <w:sz w:val="32"/>
          <w:szCs w:val="32"/>
          <w:lang w:val="en-US" w:eastAsia="zh-CN"/>
        </w:rPr>
        <w:t>基数调整，增加了住房公积金支出。</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48.56万元，其中：人员经费44.40万元，包括：基本工资、津贴补贴、奖金、机关事业单位基本养老保险缴费、职工基本医疗保险缴费、公务员医疗补助缴费、其他社会保障缴费、住房公积金、退休费和生活补助。</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公用经费4.16万元，包括：办公费、邮电费、培训费、工会经费、福利费和公务用车运行维护费。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2024年度财政拨款“三公”经费支出2.21万元，比上年减少0.14万元，下降5.96%，主要原因：</w:t>
      </w:r>
      <w:r>
        <w:rPr>
          <w:rFonts w:hint="eastAsia" w:ascii="仿宋_GB2312" w:eastAsia="仿宋_GB2312"/>
          <w:b w:val="0"/>
          <w:sz w:val="32"/>
          <w:szCs w:val="32"/>
          <w:lang w:val="en-US" w:eastAsia="zh-CN"/>
        </w:rPr>
        <w:t>上年度单位车辆进行大型保养，导致今年较上年减少</w:t>
      </w:r>
      <w:r>
        <w:rPr>
          <w:rFonts w:ascii="仿宋_GB2312" w:eastAsia="仿宋_GB2312"/>
          <w:b w:val="0"/>
          <w:sz w:val="32"/>
          <w:szCs w:val="32"/>
        </w:rPr>
        <w:t>。其中：因公出国（境）费支出0.00万元,占0.00%，与上年相比无变化，主要原因是：</w:t>
      </w:r>
      <w:r>
        <w:rPr>
          <w:rFonts w:hint="eastAsia" w:ascii="仿宋_GB2312" w:eastAsia="仿宋_GB2312"/>
          <w:b w:val="0"/>
          <w:sz w:val="32"/>
          <w:szCs w:val="32"/>
          <w:lang w:val="en-US" w:eastAsia="zh-CN"/>
        </w:rPr>
        <w:t>本单位本年度没有</w:t>
      </w:r>
      <w:r>
        <w:rPr>
          <w:rFonts w:ascii="仿宋_GB2312" w:eastAsia="仿宋_GB2312"/>
          <w:b w:val="0"/>
          <w:sz w:val="32"/>
          <w:szCs w:val="32"/>
        </w:rPr>
        <w:t>因公出国（境）费支出；公务用车购置及运行维护费支出2.21万元，占100.00%，比上年减少0.14万元，下降5.96%，主要原因是：</w:t>
      </w:r>
      <w:r>
        <w:rPr>
          <w:rFonts w:hint="eastAsia" w:ascii="仿宋_GB2312" w:eastAsia="仿宋_GB2312"/>
          <w:b w:val="0"/>
          <w:sz w:val="32"/>
          <w:szCs w:val="32"/>
          <w:lang w:val="en-US" w:eastAsia="zh-CN"/>
        </w:rPr>
        <w:t>上年度单位车辆进行大型保养，导致今年较上年减少</w:t>
      </w:r>
      <w:r>
        <w:rPr>
          <w:rFonts w:ascii="仿宋_GB2312" w:eastAsia="仿宋_GB2312"/>
          <w:b w:val="0"/>
          <w:sz w:val="32"/>
          <w:szCs w:val="32"/>
        </w:rPr>
        <w:t>；公务接待费支出0.00万元，占0.00%，与上年相比无变化，主要原因是：</w:t>
      </w:r>
      <w:r>
        <w:rPr>
          <w:rFonts w:hint="eastAsia" w:ascii="仿宋_GB2312" w:eastAsia="仿宋_GB2312"/>
          <w:b w:val="0"/>
          <w:sz w:val="32"/>
          <w:szCs w:val="32"/>
          <w:lang w:val="en-US" w:eastAsia="zh-CN"/>
        </w:rPr>
        <w:t>本单位本年度没有</w:t>
      </w:r>
      <w:r>
        <w:rPr>
          <w:rFonts w:ascii="仿宋_GB2312" w:eastAsia="仿宋_GB2312"/>
          <w:b w:val="0"/>
          <w:sz w:val="32"/>
          <w:szCs w:val="32"/>
        </w:rPr>
        <w:t>公务接待费支出。</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2.21万元，其中：公务用车购置费0.00万元，公务用车运行维护费2.21万元。公务用车运行维护费开支内容包括保险费、日常维修费等。公务用车购置数0辆，公务用车保有量1辆。国有资产占用情况中固定资产车辆1辆，与公务用车保有量差异原因是：</w:t>
      </w:r>
      <w:r>
        <w:rPr>
          <w:rFonts w:hint="eastAsia" w:ascii="仿宋_GB2312" w:eastAsia="仿宋_GB2312"/>
          <w:b w:val="0"/>
          <w:sz w:val="32"/>
          <w:szCs w:val="32"/>
          <w:lang w:val="en-US" w:eastAsia="zh-CN"/>
        </w:rPr>
        <w:t>无差异</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与全年预算相比，财政拨款“三公”经费支出全年预算数2.21万元，决算数2.21万元，预决算差异率0.00%，主要原因是</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严格按照预算内控制支出，无差异</w:t>
      </w:r>
      <w:r>
        <w:rPr>
          <w:rFonts w:ascii="仿宋_GB2312" w:eastAsia="仿宋_GB2312"/>
          <w:b w:val="0"/>
          <w:sz w:val="32"/>
          <w:szCs w:val="32"/>
        </w:rPr>
        <w:t>。其中：因公出国（境）费全年预算数0.00万元，决算数0.00万元，预决算差异率0.00%，主要原因是：</w:t>
      </w:r>
      <w:r>
        <w:rPr>
          <w:rFonts w:hint="eastAsia" w:ascii="仿宋_GB2312" w:eastAsia="仿宋_GB2312"/>
          <w:b w:val="0"/>
          <w:sz w:val="32"/>
          <w:szCs w:val="32"/>
          <w:lang w:val="en-US" w:eastAsia="zh-CN"/>
        </w:rPr>
        <w:t>本单位2024年没有因公出差（境）费用支出</w:t>
      </w:r>
      <w:r>
        <w:rPr>
          <w:rFonts w:ascii="仿宋_GB2312" w:eastAsia="仿宋_GB2312"/>
          <w:b w:val="0"/>
          <w:sz w:val="32"/>
          <w:szCs w:val="32"/>
        </w:rPr>
        <w:t>。公务用车购置费全年预算数0.00万元，决算数0.00万元，预决算差异率0.00%，主要原因是：</w:t>
      </w:r>
      <w:r>
        <w:rPr>
          <w:rFonts w:hint="eastAsia" w:ascii="仿宋_GB2312" w:eastAsia="仿宋_GB2312"/>
          <w:b w:val="0"/>
          <w:sz w:val="32"/>
          <w:szCs w:val="32"/>
          <w:lang w:val="en-US" w:eastAsia="zh-CN"/>
        </w:rPr>
        <w:t>本单位2024年没有公务用车购置费支出</w:t>
      </w:r>
      <w:r>
        <w:rPr>
          <w:rFonts w:ascii="仿宋_GB2312" w:eastAsia="仿宋_GB2312"/>
          <w:b w:val="0"/>
          <w:sz w:val="32"/>
          <w:szCs w:val="32"/>
        </w:rPr>
        <w:t>。公务用车运行维护费全年预算数2.21万元，决算数2.21万元，预决算差异率0.00%，主要原因是：</w:t>
      </w:r>
      <w:r>
        <w:rPr>
          <w:rFonts w:hint="eastAsia" w:ascii="仿宋_GB2312" w:eastAsia="仿宋_GB2312"/>
          <w:b w:val="0"/>
          <w:sz w:val="32"/>
          <w:szCs w:val="32"/>
          <w:lang w:val="en-US" w:eastAsia="zh-CN"/>
        </w:rPr>
        <w:t>严格按照预算内控制支出，无差异</w:t>
      </w:r>
      <w:r>
        <w:rPr>
          <w:rFonts w:ascii="仿宋_GB2312" w:eastAsia="仿宋_GB2312"/>
          <w:b w:val="0"/>
          <w:sz w:val="32"/>
          <w:szCs w:val="32"/>
        </w:rPr>
        <w:t>。公务接待费全年预算数0.00万元，决算数0.00万元，预决算差异率0.00%，主要原因是：</w:t>
      </w:r>
      <w:r>
        <w:rPr>
          <w:rFonts w:hint="eastAsia" w:ascii="仿宋_GB2312" w:eastAsia="仿宋_GB2312"/>
          <w:b w:val="0"/>
          <w:sz w:val="32"/>
          <w:szCs w:val="32"/>
          <w:lang w:val="en-US" w:eastAsia="zh-CN"/>
        </w:rPr>
        <w:t>本单位2024年没有公务接待费用支出</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2024年度库尔勒市工商业联合会单位机关运行经费支出4.16万元，比上年增加0.39万元，增长10.34%，主要原因是：</w:t>
      </w:r>
      <w:r>
        <w:rPr>
          <w:rFonts w:hint="eastAsia" w:ascii="仿宋_GB2312" w:eastAsia="仿宋_GB2312"/>
          <w:b w:val="0"/>
          <w:sz w:val="32"/>
          <w:szCs w:val="32"/>
          <w:lang w:val="en-US" w:eastAsia="zh-CN"/>
        </w:rPr>
        <w:t>差费支出增加</w:t>
      </w:r>
      <w:r>
        <w:rPr>
          <w:rFonts w:ascii="仿宋_GB2312" w:eastAsia="仿宋_GB2312"/>
          <w:b w:val="0"/>
          <w:sz w:val="32"/>
          <w:szCs w:val="32"/>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2024年度政府采购支出总额2.25万元，其中：政府采购货物支出0.05万元、政府采购工程支出0.00万元、政府采购服务支出2.21万元。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授予中小企业合同金额2.25万元，占政府采购支出总额的100.00%，其中：授予小微企业合同金额2.25万元，占政府采购支出总额的100.00%。</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0.00平方米，价值0.00万元。车辆1辆，价值10.00万元，其中：副部（省）级及以上领导用车0辆、主要负责人用车0辆、机要通信用车0辆、应急保障用车0辆、执法执勤用车0辆、特种专业技术用车0辆、离退休干部服务用车0辆、其他用车1辆，其他用车主要是：用于日常公务出行、招商引资出差及参加各类会议培训等活动;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hint="default" w:ascii="仿宋_GB2312" w:eastAsia="仿宋_GB2312"/>
          <w:b w:val="0"/>
          <w:sz w:val="32"/>
          <w:szCs w:val="32"/>
        </w:rPr>
      </w:pPr>
      <w:r>
        <w:rPr>
          <w:rFonts w:ascii="仿宋_GB2312" w:eastAsia="仿宋_GB2312"/>
          <w:b w:val="0"/>
          <w:sz w:val="32"/>
          <w:szCs w:val="32"/>
        </w:rPr>
        <w:t>根据预算绩效管理要求，本单位 2024 年度预算绩效管理形成整体支出绩效自评表 1 个，全年预算总额</w:t>
      </w:r>
      <w:r>
        <w:rPr>
          <w:rFonts w:hint="default" w:ascii="仿宋_GB2312" w:eastAsia="仿宋_GB2312"/>
          <w:b w:val="0"/>
          <w:sz w:val="32"/>
          <w:szCs w:val="32"/>
        </w:rPr>
        <w:t>55.42万元，实际执行总额55.42万元；预算绩效评价项目1个（部门专项 - 专项业务费），全年预算数11万元，全年执行数6.87万元。预算绩效管理取得的成效：完成招商引资出差、参加各类贸易洽谈会、产品交易会、博览会活动 2 次，参加全国区、州工商联组织的会议、业务培训及各类理想信念教育工作 8 次，活动开展成功率 100%，参加活动的民营企业家满意度达 96.2%，有效推动了民营经济交流与发展。发现的问题及原因：一是预算执行率不高，主要因绩效目标分配不精准；二是财务人员专业能力不足，预算绩效管理水平有待提升；三是企业参与绩效评价意愿较低。下一步改进措施：一是优化绩效目标设定，提高预算执行精准度；二是加强财务人员专项培训，提升绩效管理能力；三是建立更有效的企业沟通机制，提高参与度。具体附部门整体支出绩效自评表，项目支出绩效自评表和部门评价报告。</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r>
        <w:rPr>
          <w:rFonts w:ascii="仿宋_GB2312" w:eastAsia="仿宋_GB2312"/>
          <w:b w:val="0"/>
          <w:sz w:val="32"/>
          <w:szCs w:val="32"/>
        </w:rPr>
        <w:t>九、《财政拨款“三公”经费支出决算表》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jc w:val="left"/>
        <w:outlineLvl w:val="1"/>
        <w:rPr>
          <w:rFonts w:ascii="仿宋_GB2312" w:eastAsia="仿宋_GB2312"/>
          <w:b w:val="0"/>
          <w:sz w:val="32"/>
          <w:szCs w:val="32"/>
        </w:rPr>
        <w:sectPr>
          <w:pgSz w:w="12240" w:h="15840"/>
          <w:pgMar w:top="1440" w:right="1800" w:bottom="1440" w:left="1800" w:header="720" w:footer="720" w:gutter="0"/>
          <w:cols w:space="720" w:num="1"/>
        </w:sectPr>
      </w:pPr>
    </w:p>
    <w:p>
      <w:pPr>
        <w:widowControl/>
        <w:spacing w:before="0" w:beforeLines="0" w:beforeAutospacing="0" w:after="0" w:afterLines="0" w:afterAutospacing="0" w:line="240" w:lineRule="auto"/>
        <w:jc w:val="left"/>
        <w:outlineLvl w:val="1"/>
        <w:rPr>
          <w:rFonts w:ascii="仿宋_GB2312" w:eastAsia="仿宋_GB2312"/>
          <w:b w:val="0"/>
          <w:sz w:val="32"/>
          <w:szCs w:val="32"/>
        </w:rPr>
        <w:sectPr>
          <w:pgSz w:w="12240" w:h="15840"/>
          <w:pgMar w:top="1440" w:right="1800" w:bottom="1440" w:left="1800" w:header="720" w:footer="720" w:gutter="0"/>
          <w:cols w:space="720" w:num="1"/>
        </w:sectPr>
      </w:pPr>
      <w:r>
        <w:drawing>
          <wp:inline distT="0" distB="0" distL="114300" distR="114300">
            <wp:extent cx="5478780" cy="7907020"/>
            <wp:effectExtent l="0" t="0" r="7620" b="17780"/>
            <wp:docPr id="2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4"/>
                    <pic:cNvPicPr>
                      <a:picLocks noChangeAspect="1"/>
                    </pic:cNvPicPr>
                  </pic:nvPicPr>
                  <pic:blipFill>
                    <a:blip r:embed="rId4"/>
                    <a:stretch>
                      <a:fillRect/>
                    </a:stretch>
                  </pic:blipFill>
                  <pic:spPr>
                    <a:xfrm>
                      <a:off x="0" y="0"/>
                      <a:ext cx="5478780" cy="7907020"/>
                    </a:xfrm>
                    <a:prstGeom prst="rect">
                      <a:avLst/>
                    </a:prstGeom>
                    <a:noFill/>
                    <a:ln w="9525">
                      <a:noFill/>
                    </a:ln>
                  </pic:spPr>
                </pic:pic>
              </a:graphicData>
            </a:graphic>
          </wp:inline>
        </w:drawing>
      </w:r>
    </w:p>
    <w:p>
      <w:pPr>
        <w:widowControl/>
        <w:spacing w:before="0" w:beforeLines="0" w:beforeAutospacing="0" w:after="0" w:afterLines="0" w:afterAutospacing="0" w:line="240" w:lineRule="auto"/>
        <w:jc w:val="left"/>
        <w:outlineLvl w:val="1"/>
        <w:rPr>
          <w:rFonts w:ascii="仿宋_GB2312" w:eastAsia="仿宋_GB2312"/>
          <w:b w:val="0"/>
          <w:sz w:val="32"/>
          <w:szCs w:val="32"/>
        </w:rPr>
        <w:sectPr>
          <w:pgSz w:w="12240" w:h="15840"/>
          <w:pgMar w:top="1440" w:right="1800" w:bottom="1440" w:left="1800" w:header="720" w:footer="720" w:gutter="0"/>
          <w:cols w:space="720" w:num="1"/>
        </w:sectPr>
      </w:pPr>
      <w:r>
        <w:drawing>
          <wp:inline distT="0" distB="0" distL="114300" distR="114300">
            <wp:extent cx="5476875" cy="7536815"/>
            <wp:effectExtent l="0" t="0" r="9525" b="6985"/>
            <wp:docPr id="2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5"/>
                    <pic:cNvPicPr>
                      <a:picLocks noChangeAspect="1"/>
                    </pic:cNvPicPr>
                  </pic:nvPicPr>
                  <pic:blipFill>
                    <a:blip r:embed="rId5">
                      <a:grayscl/>
                    </a:blip>
                    <a:stretch>
                      <a:fillRect/>
                    </a:stretch>
                  </pic:blipFill>
                  <pic:spPr>
                    <a:xfrm>
                      <a:off x="0" y="0"/>
                      <a:ext cx="5476875" cy="7536815"/>
                    </a:xfrm>
                    <a:prstGeom prst="rect">
                      <a:avLst/>
                    </a:prstGeom>
                    <a:noFill/>
                    <a:ln w="9525">
                      <a:noFill/>
                    </a:ln>
                  </pic:spPr>
                </pic:pic>
              </a:graphicData>
            </a:graphic>
          </wp:inline>
        </w:drawing>
      </w:r>
    </w:p>
    <w:p>
      <w:pPr>
        <w:widowControl/>
        <w:spacing w:before="0" w:beforeLines="0" w:beforeAutospacing="0" w:after="0" w:afterLines="0" w:afterAutospacing="0" w:line="240" w:lineRule="auto"/>
        <w:jc w:val="left"/>
        <w:outlineLvl w:val="1"/>
        <w:rPr>
          <w:rFonts w:ascii="仿宋_GB2312" w:eastAsia="仿宋_GB2312"/>
          <w:b w:val="0"/>
          <w:sz w:val="32"/>
          <w:szCs w:val="32"/>
        </w:rPr>
        <w:sectPr>
          <w:pgSz w:w="12240" w:h="15840"/>
          <w:pgMar w:top="1440" w:right="1800" w:bottom="1440" w:left="1800" w:header="720" w:footer="720" w:gutter="0"/>
          <w:cols w:space="720" w:num="1"/>
        </w:sectPr>
      </w:pPr>
      <w:r>
        <w:drawing>
          <wp:inline distT="0" distB="0" distL="114300" distR="114300">
            <wp:extent cx="5477510" cy="8037830"/>
            <wp:effectExtent l="0" t="0" r="8890" b="1270"/>
            <wp:docPr id="24"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6"/>
                    <pic:cNvPicPr>
                      <a:picLocks noChangeAspect="1"/>
                    </pic:cNvPicPr>
                  </pic:nvPicPr>
                  <pic:blipFill>
                    <a:blip r:embed="rId6">
                      <a:grayscl/>
                    </a:blip>
                    <a:stretch>
                      <a:fillRect/>
                    </a:stretch>
                  </pic:blipFill>
                  <pic:spPr>
                    <a:xfrm>
                      <a:off x="0" y="0"/>
                      <a:ext cx="5477510" cy="8037830"/>
                    </a:xfrm>
                    <a:prstGeom prst="rect">
                      <a:avLst/>
                    </a:prstGeom>
                    <a:noFill/>
                    <a:ln w="9525">
                      <a:noFill/>
                    </a:ln>
                  </pic:spPr>
                </pic:pic>
              </a:graphicData>
            </a:graphic>
          </wp:inline>
        </w:drawing>
      </w:r>
    </w:p>
    <w:p>
      <w:pPr>
        <w:widowControl/>
        <w:spacing w:before="0" w:beforeLines="0" w:beforeAutospacing="0" w:after="0" w:afterLines="0" w:afterAutospacing="0" w:line="240" w:lineRule="auto"/>
        <w:jc w:val="left"/>
        <w:outlineLvl w:val="1"/>
        <w:rPr>
          <w:rFonts w:ascii="仿宋_GB2312" w:eastAsia="仿宋_GB2312"/>
          <w:b w:val="0"/>
          <w:sz w:val="32"/>
          <w:szCs w:val="32"/>
        </w:rPr>
        <w:sectPr>
          <w:pgSz w:w="12240" w:h="15840"/>
          <w:pgMar w:top="1440" w:right="1800" w:bottom="1440" w:left="1800" w:header="720" w:footer="720" w:gutter="0"/>
          <w:cols w:space="720" w:num="1"/>
        </w:sectPr>
      </w:pPr>
      <w:r>
        <w:drawing>
          <wp:inline distT="0" distB="0" distL="114300" distR="114300">
            <wp:extent cx="5478145" cy="8045450"/>
            <wp:effectExtent l="0" t="0" r="8255" b="12700"/>
            <wp:docPr id="25"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7"/>
                    <pic:cNvPicPr>
                      <a:picLocks noChangeAspect="1"/>
                    </pic:cNvPicPr>
                  </pic:nvPicPr>
                  <pic:blipFill>
                    <a:blip r:embed="rId7"/>
                    <a:stretch>
                      <a:fillRect/>
                    </a:stretch>
                  </pic:blipFill>
                  <pic:spPr>
                    <a:xfrm>
                      <a:off x="0" y="0"/>
                      <a:ext cx="5478145" cy="8045450"/>
                    </a:xfrm>
                    <a:prstGeom prst="rect">
                      <a:avLst/>
                    </a:prstGeom>
                    <a:noFill/>
                    <a:ln w="9525">
                      <a:noFill/>
                    </a:ln>
                  </pic:spPr>
                </pic:pic>
              </a:graphicData>
            </a:graphic>
          </wp:inline>
        </w:drawing>
      </w:r>
    </w:p>
    <w:p>
      <w:pPr>
        <w:widowControl/>
        <w:spacing w:before="0" w:beforeLines="0" w:beforeAutospacing="0" w:after="0" w:afterLines="0" w:afterAutospacing="0" w:line="240" w:lineRule="auto"/>
        <w:jc w:val="left"/>
        <w:outlineLvl w:val="1"/>
        <w:rPr>
          <w:rFonts w:ascii="仿宋_GB2312" w:eastAsia="仿宋_GB2312"/>
          <w:b w:val="0"/>
          <w:sz w:val="32"/>
          <w:szCs w:val="32"/>
        </w:rPr>
        <w:sectPr>
          <w:pgSz w:w="12240" w:h="15840"/>
          <w:pgMar w:top="1440" w:right="1800" w:bottom="1440" w:left="1800" w:header="720" w:footer="720" w:gutter="0"/>
          <w:cols w:space="720" w:num="1"/>
        </w:sectPr>
      </w:pPr>
      <w:bookmarkStart w:id="0" w:name="_GoBack"/>
      <w:r>
        <w:drawing>
          <wp:inline distT="0" distB="0" distL="114300" distR="114300">
            <wp:extent cx="5479415" cy="8002270"/>
            <wp:effectExtent l="0" t="0" r="6985" b="17780"/>
            <wp:docPr id="26"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8"/>
                    <pic:cNvPicPr>
                      <a:picLocks noChangeAspect="1"/>
                    </pic:cNvPicPr>
                  </pic:nvPicPr>
                  <pic:blipFill>
                    <a:blip r:embed="rId8">
                      <a:grayscl/>
                    </a:blip>
                    <a:stretch>
                      <a:fillRect/>
                    </a:stretch>
                  </pic:blipFill>
                  <pic:spPr>
                    <a:xfrm>
                      <a:off x="0" y="0"/>
                      <a:ext cx="5479415" cy="8002270"/>
                    </a:xfrm>
                    <a:prstGeom prst="rect">
                      <a:avLst/>
                    </a:prstGeom>
                    <a:noFill/>
                    <a:ln w="9525">
                      <a:noFill/>
                    </a:ln>
                  </pic:spPr>
                </pic:pic>
              </a:graphicData>
            </a:graphic>
          </wp:inline>
        </w:drawing>
      </w:r>
      <w:bookmarkEnd w:id="0"/>
    </w:p>
    <w:p>
      <w:pPr>
        <w:widowControl/>
        <w:spacing w:before="0" w:beforeLines="0" w:beforeAutospacing="0" w:after="0" w:afterLines="0" w:afterAutospacing="0" w:line="240" w:lineRule="auto"/>
        <w:jc w:val="left"/>
        <w:outlineLvl w:val="1"/>
        <w:rPr>
          <w:rFonts w:ascii="仿宋_GB2312" w:eastAsia="仿宋_GB2312"/>
          <w:b w:val="0"/>
          <w:sz w:val="32"/>
          <w:szCs w:val="32"/>
        </w:rPr>
        <w:sectPr>
          <w:pgSz w:w="12240" w:h="15840"/>
          <w:pgMar w:top="1440" w:right="1800" w:bottom="1440" w:left="1800" w:header="720" w:footer="720" w:gutter="0"/>
          <w:cols w:space="720" w:num="1"/>
        </w:sectPr>
      </w:pPr>
      <w:r>
        <w:drawing>
          <wp:inline distT="0" distB="0" distL="114300" distR="114300">
            <wp:extent cx="5481320" cy="8159750"/>
            <wp:effectExtent l="0" t="0" r="5080" b="12700"/>
            <wp:docPr id="27"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9"/>
                    <pic:cNvPicPr>
                      <a:picLocks noChangeAspect="1"/>
                    </pic:cNvPicPr>
                  </pic:nvPicPr>
                  <pic:blipFill>
                    <a:blip r:embed="rId9"/>
                    <a:stretch>
                      <a:fillRect/>
                    </a:stretch>
                  </pic:blipFill>
                  <pic:spPr>
                    <a:xfrm>
                      <a:off x="0" y="0"/>
                      <a:ext cx="5481320" cy="8159750"/>
                    </a:xfrm>
                    <a:prstGeom prst="rect">
                      <a:avLst/>
                    </a:prstGeom>
                    <a:noFill/>
                    <a:ln w="9525">
                      <a:noFill/>
                    </a:ln>
                  </pic:spPr>
                </pic:pic>
              </a:graphicData>
            </a:graphic>
          </wp:inline>
        </w:drawing>
      </w:r>
    </w:p>
    <w:p>
      <w:pPr>
        <w:widowControl/>
        <w:spacing w:before="0" w:beforeLines="0" w:beforeAutospacing="0" w:after="0" w:afterLines="0" w:afterAutospacing="0" w:line="240" w:lineRule="auto"/>
        <w:jc w:val="left"/>
        <w:outlineLvl w:val="1"/>
      </w:pPr>
      <w:r>
        <w:drawing>
          <wp:inline distT="0" distB="0" distL="114300" distR="114300">
            <wp:extent cx="5482590" cy="2589530"/>
            <wp:effectExtent l="0" t="0" r="381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5482590" cy="2589530"/>
                    </a:xfrm>
                    <a:prstGeom prst="rect">
                      <a:avLst/>
                    </a:prstGeom>
                    <a:noFill/>
                    <a:ln w="9525">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5483860" cy="2653030"/>
            <wp:effectExtent l="0" t="0" r="2540" b="139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5483860" cy="2653030"/>
                    </a:xfrm>
                    <a:prstGeom prst="rect">
                      <a:avLst/>
                    </a:prstGeom>
                    <a:noFill/>
                    <a:ln w="9525">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5482590" cy="2232025"/>
            <wp:effectExtent l="0" t="0" r="3810" b="15875"/>
            <wp:docPr id="30"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2"/>
                    <pic:cNvPicPr>
                      <a:picLocks noChangeAspect="1"/>
                    </pic:cNvPicPr>
                  </pic:nvPicPr>
                  <pic:blipFill>
                    <a:blip r:embed="rId12"/>
                    <a:stretch>
                      <a:fillRect/>
                    </a:stretch>
                  </pic:blipFill>
                  <pic:spPr>
                    <a:xfrm>
                      <a:off x="0" y="0"/>
                      <a:ext cx="5482590" cy="2232025"/>
                    </a:xfrm>
                    <a:prstGeom prst="rect">
                      <a:avLst/>
                    </a:prstGeom>
                    <a:noFill/>
                    <a:ln w="9525">
                      <a:noFill/>
                    </a:ln>
                  </pic:spPr>
                </pic:pic>
              </a:graphicData>
            </a:graphic>
          </wp:inline>
        </w:drawing>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885C9F"/>
    <w:rsid w:val="0EC92318"/>
    <w:rsid w:val="12BC016A"/>
    <w:rsid w:val="1EA15B16"/>
    <w:rsid w:val="26F71D4D"/>
    <w:rsid w:val="288000C6"/>
    <w:rsid w:val="2F7C3F9D"/>
    <w:rsid w:val="3E2E071B"/>
    <w:rsid w:val="3E716CE9"/>
    <w:rsid w:val="5D431A61"/>
    <w:rsid w:val="73DB2C4A"/>
    <w:rsid w:val="7ADE79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25</Pages>
  <Words>5757</Words>
  <Characters>6547</Characters>
  <TotalTime>5</TotalTime>
  <ScaleCrop>false</ScaleCrop>
  <LinksUpToDate>false</LinksUpToDate>
  <CharactersWithSpaces>6563</CharactersWithSpaces>
  <Application>WPS Office_11.8.2.10972_F1E327BC-269C-435d-A152-05C5408002CA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2025-08-13T02:50:00Z</dcterms:created>
  <dc:creator>Administrator</dc:creator>
  <cp:lastModifiedBy>lenovo</cp:lastModifiedBy>
  <dcterms:modified xsi:type="dcterms:W3CDTF">2025-08-20T03:42:46Z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KSOTemplateDocerSaveRecord">
    <vt:lpwstr>eyJoZGlkIjoiYTE0NWVhZWZhNTQwNjc1YWIxMGEzMWQ5MDQ1NTZlN2QifQ==</vt:lpwstr>
  </property>
  <property fmtid="{D5CDD505-2E9C-101B-9397-08002B2CF9AE}" pid="4" name="ICV">
    <vt:lpwstr>1380896B09984223AF95220F146B2ED3_12</vt:lpwstr>
  </property>
</Properties>
</file>