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库尔勒市工商业联合会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库尔勒市工商业联合会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张林</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围绕社会稳定和长治久安总目标，认真履行服务经济发展、依法维护民营企业权益。参与政府相关的经济活动，广泛联系全市工商界人士，开展民间外交，推动经贸交流和协作，促进经济社会发展。指导工商联直属商会工作，积极参与社会组织建设工作。指导市工商联直属商协会日常工作，为会员提供政策信息等服务及其他日常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项目主要内容：招商引资出差、参加各类贸易洽谈会、产品交易会、博览会活动，参加全国区、州工商联组织的会议、业务培训及各类理想信念教育工作，及保障工商联日常工作开展。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本年度完成招商引资出差、参加各类贸易洽谈会、产品交易会、博览会活动2次，参加全国区、州工商联组织的会议、业务培训及各类理想信念教育工作8次。通过项目实施使各类活动成功开展，提升了民营企业家的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该项目年初预算数11万元，全年预算数11万元，该项目资金已全部落实到位，资金来源为财政拨款。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11万元，全年预算数11万元，全年执行数6.87万元，预算执行率为62.45%，主要用于：招商引资出差、参加各类贸易洽谈会、产品交易会、博览会活动共1.86万元，参加全国区、州工商联组织的会议、业务培训及各类理想信念教育工作共4.07万元，及保障工商联日常工作开展共0.94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招商引资出差、参加各类贸易洽谈会、产品交易会、博览会活动2次，参加全国区、州工商联组织的会议、业务培训及各类理想信念教育工作4次。通过项目实施使各类活动成功率提高至100%。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上半年计划开展招商引资出差、参加各类贸易洽谈会、产品交易会、博览会活动1次，计划参加全国区、州工商联组织的会议、业务培训及各类理想信念教育工作2次。下半年计划开展招商引资出差、参加各类贸易洽谈会、产品交易会、博览会活动1次，计划参加全国区、州工商联组织的会议、业务培训及各类理想信念教育工作6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专项业务费项目预算绩效评价报告在编制过程中，严格遵循法规，确保评价内容的完整性与准确性。报告包含了项目从预算编制、执行到完成的全过程，涵盖了部门专项-专项业务费项目的所有关键环节（如资金管理、产出效果、社会效益等）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在构建工商联项目的评价指标体系时结合项目目标、实施过程、成果产出及社会效益等核心要素，形成系统性、可量化的评估框架。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在数据收集与分析环节，采用了科学合理的方法，如走访企业调研、问卷调查、现场反馈等，共收集了共收集民营企业家活动满意度调查问卷79份，其中满意76 份，不满意3份，满意度为96.2%， 广泛收集相关的数据，并对数据进行深入挖掘，以确保评价结论的科学性和可靠性。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党政机关公文格式》编排。首先根据政策依据、行业需要列明项目背景，分条列明量化目标，为后续的绩效评价提供了必要的背景信息；接着详细阐述了绩效评价的指标体系、评价方法和数据来源，为评价过程的透明性和可复现性奠定了基础；然后对各项绩效指标的完成情况进行了逐一分析和评价，确保“问题分析”与“改进建议”前后呼应，数据与结论紧密关联；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验证项目是否按计划实现预期目标，确保“投入-产出-成果”逻辑链的完整，为项目后续的改进与优化提供科学依据。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通过绩效评价提升资源利用效率，需聚焦“精准投入、动态优化、技术赋能”三大原则，将评价结果转化为资源配置的决策依据。最终实现“少花钱、多办事、办好事”的目标，推动民营经济的高质量发展。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以“权责对等、透明监督、刚性约束”为核心原则，将评价结果转化为责任落实的驱动力，最终实现“人人有责、事事有账、优劣有据”的管理目标，提升公共服务效能和民营经济服务质量。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为项目主管部门、财政部门及相关决策层提供详实、准确的绩效评价信息，通过构建科学的评价体系，将结果转化为可操作的决策建议，可显著提升公共资源使用效能与政策精准性。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通过绩效评价促进项目持续改进，将“问题精准化、措施结构化”为原则，将改进行动纳入常态化管理。最终实现“评价一次、优化一次、提升一阶”的螺旋上升，推动民营经济服务质效的持续突破。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部门专项-专项业务费及其预算执行情况。该项目由库尔勒市工商业联合会负责实施，旨在招商引资出差、参加各类贸易洽谈会、产品交易会、博览会活动2次，参加全国区、州工商联组织的会议、业务培训及各类理想信念教育工作4次。通过项目实施使各类活动成功率提高至100%。项目预算涵盖从2024年1月1日至2024年12月31日的全部资金投入与支出，涉及资金总额为11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（1）项目预算编制与执行：全面审视工商联项目预算的编制是否符合相关要求以及实际执行情况是否合理高效。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（2）资金管理：深入分析项目资金的分配、使用和监管情况，确保资金使用的合规、高效、及时和透明。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（3）项目实施进度与产出：评估项目是否按照既定计划顺利推进，各项活动是否保质保量完成，以及项目产出的数量、质量和时效性是否符合预期。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（4）社会影响：考察项目是否增强民营企业家理想信念教育，提升民营企业家社会责任；是否保障工商联组织会议与参加培训，提升领导干部为企业家服务水平；是否优化工商联办公服务效能，提升工作效率。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本次项目支出绩效自评采用成本效益分析法，原因是：将投入与产出、效益进行关联性分析的方法。 工商联采用成本效益法，本质是以数据驱动决策、以效率服务企业，提升资源配置、提升管理服务效能。通过全年参加会议、业务培训及各类理想信念教育8次，达到参加活动的民营企业家满意度96.2%；通过活动运转经费拨付率和资金支付及时率保障了活动开展成功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绩效评价标准通常包括计划标准，用于对绩效指标完成情况进行比较、分析、评价。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评价主要采用了计划标准，原因是：根据年初制定的目标计划，开展工商联本年度工作，以“目标-结果”为导向的闭环管理，确保项目按既定方向推进，减少资源浪费；通过偏差分析优化后续项目，最终实现“计划引领执行、评价驱动改进”的良性循环。使资金使用效率提高，活动保质保量开展，参加活动的民营企业家满意。</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成立绩效评价工作小组，明确工作职责，制定现场评价方案，确定实施时间。同时，明确了评价工作的目标、范围、重点及时间安排，制定了详细的工作计划，为评价工作的顺利开展奠定了坚实的基础。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活动组织开展、会计数据、民营企业家反馈等。在数据收集过程中，注重数据的质量与完整性。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本次考核根据活动开展情况、民营企业家调查问卷，结合分析收集的资料及征求民营企业家意见情况进行综合分析，按照项目考核评价指标量化评分表，形成评价结果。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小组采用科学合理的方法对走访调研收集的数据进行整理和分析。对数据进行分类和验证，在数据进行反复论证的基础上，最终确定用于绩效分析和评价的数据。评价小组对资金投入和使用情况、实施成效和绩效目标完成情况进行综合绩效评价。提炼亮点，找出问题，同时提出改进意见和建议，最终经过反复论证形成评价结论，出具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落实情况，定期对项目绩效进行复查，确保项目能够根据评价结果及时调整与优化。同时，根据项目实施过程中出现的新情况、新问题，适时调整绩效评价指标体系与方法，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部门专项-专项业务费在招商引资出差、参加各类贸易洽谈会、产品交易会、博览会活动，参加全国区、州工商联组织的会议、业务培训及各类理想信念教育工作等方面表现出色，达到了预期的标准与要求。同时，项目也在增强企业家社会责任取得了显著的成效，如民营企业家更有社会责任感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在项目管理方面，库尔勒市工商业联合会通过有效的规划、组织与协调，项目得以顺利实施，并在预算与时间上保持了良好的控制。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不仅实现了预期的社会效益方面产生了积极的影响。具体而言，通过项目实施增强民营企业家理想信念教育，提升民营企业家社会责任；保障工商联组织会议与参加培训，提升领导干部为企业家服务水平；优化工商联办公服务效能，提升工作效率，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综上所述，部门专项-专项业务费在绩效评价中表现出色，达到了项目的预期目标。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87.96分，属于“良”。其中，项目决策类指标权重为20分，得分为 20分，得分率为 100%。项目过程类指标权重为20分，得分为16.5分，得分率为 82.5%。项目产出类指标权重为40分，得分为31.46分，得分率为 78.65%。项目效益类指标权重为20分，得分为20分，得分率为100%。具体打分情况详见：附件1综合评分表。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该项目立项旨在扎实推动民营经济人士深入学习贯彻习近平</w:t>
      </w:r>
      <w:r>
        <w:rPr>
          <w:rStyle w:val="18"/>
          <w:rFonts w:hint="eastAsia" w:ascii="楷体" w:hAnsi="楷体" w:eastAsia="楷体"/>
          <w:spacing w:val="-4"/>
          <w:sz w:val="32"/>
          <w:szCs w:val="32"/>
          <w:lang w:val="en-US" w:eastAsia="zh-CN"/>
        </w:rPr>
        <w:t>新</w:t>
      </w:r>
      <w:bookmarkStart w:id="0" w:name="_GoBack"/>
      <w:bookmarkEnd w:id="0"/>
      <w:r>
        <w:rPr>
          <w:rStyle w:val="18"/>
          <w:rFonts w:hint="eastAsia" w:ascii="楷体" w:hAnsi="楷体" w:eastAsia="楷体"/>
          <w:spacing w:val="-4"/>
          <w:sz w:val="32"/>
          <w:szCs w:val="32"/>
        </w:rPr>
        <w:t>时代中国特色社会主义思想，教育引导民营经纪人士坚定理想信念，团结民营经济人士筑牢共同体意识，持续引领民营经济人士听党话、感党恩、跟党走。将铸牢中华民族共同体意识、牢固树立共同体意识，加强民营企业家思想政治引领的首要任务。项目符合相关法律法规及发展政策，符合工商联职责范围，围绕本年度工作重点和工作计划制定经费预算，属于公共财政支持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项目申请、设立过程符合相关要求，严格按照审批流程准备符合要求的文件、材料。项目事前经过工商联党组会议研究，制定预算计划与实施金额，最终确定预算方案，保障了程序的规范性。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工商联实际工作内容设定绩效目标，绩效目标依据充分，符合实际，能反映和考核项目绩效目标与项目实施的相符情况，依据绩效目标设定的绩效指标清晰、细化、可衡量，能反映和考核项目绩效目标的明细化情况。绩效目标表经过工商联班子审核，绩效目标与实际工作内容具有相关性，预算与项目计划金额相匹配，将项目宏观目标拆解为可落地的目标。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项目设置了明确的预期产出效益和效果，杜绝模糊表述，替换为可量化的目标，每项指标对应具体措施，绩效目标设定的绩效指标清晰、细化、可衡量。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预估本年度工商联开展几次业务培训、会议；组织企业家参加几次坚定理想信念教育活动；几次招商引资，参加贸易博览会、洽谈会出差，进行了全面的成本估算，确保资金得到合理的预估与分配。同时，预算编制还紧密结合了项目的特点与实际情况，对不同阶段、不同活动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控制成本与效益最大化的原则。优化资源配置、提高资金使用率，确保项目在有限的预算内取得最大的社会效益。此外，预算编制还充分考虑了风险因素，预留机动资金应对突发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参加组织会议、培训、开展各类坚定理想信念教育这一项重点工作给予了支持。同时，我们也注重了资金的均衡分配，避免了资源浪费与资金闲置。此外，资金分配还充分考虑了风险因素，预留机动资金应对突发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项目过程类指标包括资金管理和组织实施两方面的内容，由5个三级指标构成，权重分值为20分，实际得分16.5分，得分率为82.5%。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本项目总投资11万元，财政资金及时足额到位，到位率100%，预算资金按计划进度执行。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预算编制较为详细，项目资金支出总体能够按照预算执行，预算资金支出6.87万元，预算执行率为62.45%。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此项权重分值为4分，得分为2.50分。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法律法规与《工商联项目经费使用规范》，确保了资金的合规性与安全性。在资金使用过程中，我们建立了完善的财务管理体系，采用经办人、负责人、分管领导逐级签字，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在制度设计上，我们注重了制度的科学性与可操作性，确保制度能够切实指导项目的执行与管理。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项目产出类指标包括产出数量、产出质量、产出时效、产出成本四方面的内容，由8个三级指标构成，权重分为40分，实际得分31.46分，得分率为78.65%。具体产出指标完成情况如下：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指标1：招商引资出差、参加各类贸易洽谈会、产品交易会、博览会活动次数，指标值：&gt;=2次，实际完成值：2次，指标完成率100%，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参加全国区、州工商联组织会议、业务培训及开展各类理想信念教育次数，指标值：&gt;=4次，实际完成值：8次，指标完成率200%，偏差原因：活动质量好，企业家满意度高，为更好开展工作，为企业家服务导致活动开展次数超过目标值。改进措施：后期开展活动更有计划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指标1：活动运转经费拨付保障率，指标值：=100%，实际完成值62.45%，指标完成率62.45%，偏差原因：绩效目标分配不精准，因此有偏差。改进措施：后期资金支付更加及时有效。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此项权重分值为10分，得分为6.25分。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指标1：各类活动开展、走访入户及时率，指标值：=100%，实际完成值100%，指标完成率100%。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指标2：资金支付及时率，指标值：=100%，实际完成值62.45%，指标完成率62.45%，偏差原因：绩效目标分配不精准，因此有偏差。改进措施：后期资金支付更加及时有效。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此项权重分值为10分，得分为8.12分。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招商引资出差、参与各类贸易洽谈会、产品交易会、博览会活动成本，指标值：&lt;=5万元，实际完成值1.86万元，指标完成率37.2%。偏差原因：此项活动已开展完成，因节约开支，导致此项资金支付没有完成。改进措施：后期活动申请资金支付更加准确，资金支付更及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参加全国、区、州工商联组织的会议和业务培训及开展各类坚定理想信念教育工作活动成本，指标值：&lt;=5万元，实际完成值4.07万元，指标完成率81.4%。偏差原因：开展活动节约资金同时注重活动质量，导致此项资金支付实际值未达到目标值。改进措施：后期活动开展申请资金更加科学准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指标3：保障工商联日常工作开展成本，指标值：&lt;=1万元，实际完成值0.94万元，指标完成率94%。偏差原因：市工商联压缩办公成本，节省工作经费。改进措施：以后工作资金支付更加及时准确。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此项权重分值为10分，得分为7.09分。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指标1：活动开展成功率，指标值：=100%，实际完成值100%，指标完成率100%。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指标1：参加活动的民营企业家满意度，指标值：&gt;=96%，实际完成值96.2%，指标完成率100%.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1、强化目标导向。在项目立项阶段，明确绩效目标与工商联职能的契合度，确保目标可量化、可考核。构建“经济性、效率性、效果性、可持续性”四维评价框架，结合工商联项目特点设置差异化指标。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2、突出结果应用与改进。针对评价中发现的问题，提出具体整改建议，并追踪整改成效。将评价结果作为下一年度预算安排的依据，对绩效优秀的项目优先保障资金，对低效项目进行整合或终止。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加强学习。进一步明确如何参照考核体系，科学合理设定绩效目标，充分发挥预算绩效管理工作效用。财务上，会计核算要更加详细，为本单位各项工作的开展、总结、评估提供有效数据支撑，为各项业务工作更好的开展帮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1、专业能力不足。基层财务工作基础还需进一步夯实财务人员少，工作压力大，财务工作水平需进一步提高。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2、评价标准缺失。缺乏统一的工商联项目绩效评价操作指南，不同地区、项目评价尺度差异大。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3、经费保障有限。第三方评价、企业调研等环节因资金不足被简化或忽略。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4、企业参与意愿低。民营企业忙于经营，对评价配合度不高，或担心负面反馈影响企业经营。</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（一）、制定专项实施细则。出台《工商联项目支出绩效评价操作指南》，明确评价流程、指标权重、数据采集标准及结果应用规则，减少主观性和随意性。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（二）、加强专业队伍建设。开展“绩效管理能力提升”专项培训，重点教授指标量化、数据可视化、成本核算等技能。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（三）、建立分权制衡机制。分离项目执行、监督与评价职能，引入独立第三方机构（如会计师事务所）负责数据核查与效果验证，确保评价客观性。</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AC81B70"/>
    <w:rsid w:val="4C3D1751"/>
    <w:rsid w:val="4D2606A1"/>
    <w:rsid w:val="5E5C6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2025-09-01T12:42:06Z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