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44"/>
          <w:szCs w:val="44"/>
        </w:rPr>
        <w:t>库尔勒市工商业联合会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（1）团结、服务、引导、教育非公有制经济人士爱国、敬业、诚信、守法、贡献、培养拥护党的领导、走中国特色社会主义道路的非公有制经济人士队伍。</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（2）做好非公有制经济代表人士政治安排的推荐工作,参与政治协商,发挥民主监督作用,积极参政议政。</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（3）参与政府相关的经济活动,广泛联系全市工商界人士,开展民间外交,推动经贸交流和协作,促进经济社会发展。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（4）参与协调劳动关系,促进和谐社会建设。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（5）指导工商联直属商会工作,积极参与社会组织建设工作,促进行业协会间会改革发展。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（6）反映非公有制企业和非公有制经济人士利益诉求,维护其合法权益。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（7）为会员提供政策信息、人才交流培训等服务。组织会员企业参加各类经贸活动,外出参观考察,帮助会员企业拓展市场。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（8）积极引导非公有制企业及其非公有制经济人士承担社会责任,大力支持慈善公益事业发展,积极投身光彩事业。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（9）承办市委、市政府和上级工商联交办的其它任务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库尔勒市工商业联合会编制数4人，实有人数8人，其中：在职2人，减少1人；退休6人；离休0人。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保证市工商联围绕中心，服务大局，服务会员企业，落实区州工商联工作部署，调研走访会员企业；目标2，促进民营企业政企联络，增进民营企业家社会责任感；目标3，落实新疆社会稳定总目标，引导民营企业家发挥责任和担当；目标4，参加区州工商联组织的会议和业务培训；目标5，反映非公有制企业和非公有制经济人士利益诉求，维护其合法权益；目标6，为会员提供政策信息、人才交流培训等服务；目标7，组织会员企业参加各类经贸活动，外出参观考察，帮助会员企业拓展市场；目标8，配合有关部门开展非公有制会员企业党建工作，积极引导非公有制企业及其非公有制经济人士承担社会责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加强非公经济人士理想信念教育素质提升，组织民营企业家赴河北等地考察培训、邀请对口援疆省市及国内先进发达城市工商联及企业家来库尔勒市走访调研，积极推动非公有制经济和非公有制经济人士健康成长，同时积极号召会员企业家积极履行社会责任。二是进一步发挥工商联及商协会组织广泛联系业内企业的优势，发挥“以商招商”“亲情招商”作用，搭建资源融合平台，持续推动“民营企业进边疆”行动，与疆内疆外工商联及行业领域优强民营企业和本地全方位、多领域、深层次合作。三是进一步加强和规范轮值主席制度，做到早沟通、早谋划、早提醒，确保好制度落实好。四是进一步加大“万企兴万村”工作力度，鼓励民营企业与乡镇、村形成合作取得共赢，同时组织动员会员企业出资出力助力乡村振兴。五是进一步巩固全国五好标杆工商联的创建成果，积极拓展“五好”标杆工商联的内涵和外延。六是进一步加大会员企业实地走访力度，搭建“政企面对面”沟通平台，促进政企沟通常态化、制度化和规范化形成优化营商环境，为企业排忧解难的工作合力。七是进一步加大行业协会和街道商会建设力度和会员发展力度，逐步壮大工商联会员企业队伍。八是进一步加强工商联党组建设，扩大非公经济党组织覆盖面，确实发挥好政治引领和政治核心作用。引领和促进工商联所属商协会为我市民营经济高质量发展作出应有贡献。</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工商业联合会年初预算安排88.13万元，其中财政拨款88.13万元，其他资金0万元，主要用于确保了2名在职人员的工资、津贴、补贴、社保、绩效、公积金等以及6名离退休人员的工资等。年中调整32.71万元，调整后全年预算55.42万元，预算调整率62.88%，调整预算的主要原因为一名工作人员调往其他单位，其人员类经费和公用经费的资金一同转入调入单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工商联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市工商联按要求及时制定并报批部门预算支出计划，在资金支出过程中严格按批复的预算科目、金额和用途执行。资金使用与工作目标相匹配，“确保花钱必问效”。实时监控资金流向，及时纠正执行偏差。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工商联严格按照财政要求，落实预算绩效管理全过程，包括①注重绩效目标编制，结合工商联核心职能，设定可量化、可考核的绩效目标，并严格按照财政统一要求，规范编制事前绩效报告，为财政资金发挥效益夯实基础。②落实绩效“双监控”，预算执行过程中，每季度跟踪项目进度与资金使用情况，对比绩效目标完成度与预算执行率。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48.56万元，包括工资福利支出38.50万元，商品和服务支出4.16万元，对个人和家庭的补助5.90万元，资本性支出0万元。其中：“三公”经费支出2.21万元，比上年减少0.15万元，主要原因是工商联倡导过“紧日子”，节省公务用车运行维护的费用；会议费支出0万元，比上年减少0.78万元，主要原因是工商联倡导过“紧日子”，节省会议费用；培训费支出0.25万元，比上年增加0.25万元，主要原因是为提高工商联干部业务水平与工作能力，参加自治区工商联组织的业务培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6.87万元，占总支出的12.39％，主要用于1.招商引资出差、参加各类贸易洽谈会、产品交易会、博览会活动；2.参加全国区、州工商联组织的会议、业务培训及各类理想信念教育工作；3.工商联补充办公经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市工商联下发的部门专项—专项业务费专项工作计划，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单位主要采取四项措施。一是完善制度建设，筑牢管理基础；二是强化过程管控，规范资金使用；三是实施绩效评价，强化结果导向；四是加强监督问责，严肃财经纪律。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（2）项目申报提交详细实施方案和绩效目标经党组会审批通过。严格执行“转款专用”，资金支付需附合同发票、验收单等凭证，对大额资金（超过2000元）党组会研究。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（3）制定了部门专项—专项业务费项目实施方案，确保项目开展顺利，保障各项活动顺利进展，提升民营企业家满意度。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（4）形成常态化监督检查，严格责任追究机制，公开透明接受监督。</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2024年库尔勒市工商业联合会单位总支出55.42万元，预算执行率100%，一般公共服务支出40.25万元，教育支出0.25万元，社会保障和就业支出9.2万元，卫生健康支出2.38万元，住房保障支出3.34万元。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2024年，库尔勒市工商业联合会单位基本支出48.56万元，占总支出的87.62％，其中：一般公共服务支出33.38万元，教育支出0.25万元，社会保障和就业支出9.2万元，卫生健康支出2.38万元，住房保障支出3.34万元。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2024年，市工商联项目支出6.87万元，占总支出的12.4％。其中：一般公共服务支出6.87万元。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开展各类政企联络活动、会议次数，指标值：&gt;=6次，年中监控完成值：&gt;=4次，自评完成值：&gt;=6次，指标完成率100%偏差0%，指标成效分析：通过单位正常运转，提高了开展各类政企联络活动、会议次数，更好发挥工商联桥梁和纽带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指标2：走访会员企业家次数，指标值：&gt;=25次，年中监控完成值：&gt;=14次，自评完成值：&gt;=25次，指标完成率100%偏差0%，指标成效分析：通过单位正常运转，提高了沟通了解会员企业家的能力。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走访会员企业经营状况次数，指标值：&gt;=25次，年中监控完成值：&gt;=14次，自评完成值：&gt;=25次，指标完成率100%偏差0%，指标成效分析：通过单位正常运转，增强了解会员企业家经营状况水平和经营过程中遇到的困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完善民营企业信息资料库和民营企业家人才资源库数量，指标值：&gt;=35次，年中监控完成值：&gt;=18次，自评完成值：&gt;=355次，指标完成率100%偏差0%，指标成效分析：通过单位正常运转，提高了完善民营企业信息资料库和民营企业家人才资源库数量的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深入预算绩效观念。强化理念认识形成“用钱必问效、无效必问责”的导向。从“重分配”转向“重效果”，将绩效理念贯穿预算编制、执行、监督全链条。聚焦绩效与业务深度融合，以结果为导向优化资源配置。</w:t>
      </w:r>
      <w:r>
        <w:rPr>
          <w:rFonts w:hint="eastAsia" w:ascii="仿宋_GB2312" w:hAnsi="宋体" w:eastAsia="仿宋_GB2312"/>
          <w:bCs/>
          <w:sz w:val="32"/>
          <w:szCs w:val="32"/>
        </w:rPr>
        <w:br w:type="textWrapping"/>
      </w:r>
      <w:r>
        <w:rPr>
          <w:rFonts w:hint="eastAsia" w:ascii="仿宋_GB2312" w:hAnsi="宋体" w:eastAsia="仿宋_GB2312"/>
          <w:bCs/>
          <w:sz w:val="32"/>
          <w:szCs w:val="32"/>
        </w:rPr>
        <w:t>（2）财务人员积极学习预算绩效规范管理。积极参加预算绩效管理专题培训，重点学习政策文件、评价标准与实操案例，强化理论运用能力。明确预算编制、执行监控、绩效评估各环节规范，减少执行偏差。</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0F4A01A6"/>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0</TotalTime>
  <ScaleCrop>false</ScaleCrop>
  <LinksUpToDate>false</LinksUpToDate>
  <CharactersWithSpaces>384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2025-08-14T08:09:09Z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ICV">
    <vt:lpwstr>4E2A216151A24EE5A190066F518526B7</vt:lpwstr>
  </property>
</Properties>
</file>