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Times New Roman" w:hAnsi="Times New Roman" w:eastAsia="华文中宋" w:cs="Times New Roman"/>
          <w:b/>
          <w:kern w:val="0"/>
          <w:sz w:val="52"/>
          <w:szCs w:val="52"/>
          <w:lang w:eastAsia="zh-CN"/>
        </w:rPr>
      </w:pPr>
      <w:bookmarkStart w:id="3" w:name="_GoBack"/>
      <w:bookmarkEnd w:id="3"/>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eastAsia" w:ascii="Times New Roman" w:hAnsi="Times New Roman" w:eastAsia="方正小标宋_GBK" w:cs="Times New Roman"/>
          <w:kern w:val="0"/>
          <w:sz w:val="48"/>
          <w:szCs w:val="48"/>
        </w:rPr>
        <w:t>固定资产投资审计经费</w:t>
      </w:r>
      <w:r>
        <w:rPr>
          <w:rFonts w:hint="default" w:ascii="Times New Roman" w:hAnsi="Times New Roman" w:eastAsia="方正小标宋_GBK" w:cs="Times New Roman"/>
          <w:kern w:val="0"/>
          <w:sz w:val="48"/>
          <w:szCs w:val="48"/>
        </w:rPr>
        <w:t>项目</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支出绩效评价报告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0"/>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eastAsia"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eastAsia" w:ascii="Times New Roman" w:hAnsi="Times New Roman" w:eastAsia="仿宋_GB2312" w:cs="Times New Roman"/>
          <w:kern w:val="0"/>
          <w:sz w:val="36"/>
          <w:szCs w:val="36"/>
        </w:rPr>
        <w:t>固定资产投资审计经费</w:t>
      </w:r>
    </w:p>
    <w:p>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库尔勒市审计局</w:t>
      </w:r>
    </w:p>
    <w:p>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库尔勒市审计局</w:t>
      </w:r>
    </w:p>
    <w:p>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孙志强</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8</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6"/>
          <w:rFonts w:hint="default" w:ascii="Times New Roman" w:hAnsi="Times New Roman" w:eastAsia="黑体" w:cs="Times New Roman"/>
          <w:b w:val="0"/>
          <w:spacing w:val="-4"/>
          <w:sz w:val="32"/>
          <w:szCs w:val="32"/>
        </w:rPr>
      </w:pPr>
    </w:p>
    <w:p>
      <w:pPr>
        <w:spacing w:line="540" w:lineRule="exact"/>
        <w:ind w:firstLine="640"/>
        <w:rPr>
          <w:rStyle w:val="16"/>
          <w:rFonts w:hint="default" w:ascii="Times New Roman" w:hAnsi="Times New Roman" w:eastAsia="黑体" w:cs="Times New Roman"/>
          <w:b w:val="0"/>
          <w:spacing w:val="-4"/>
          <w:sz w:val="32"/>
          <w:szCs w:val="32"/>
        </w:rPr>
      </w:pPr>
    </w:p>
    <w:p>
      <w:pPr>
        <w:spacing w:line="540" w:lineRule="exact"/>
        <w:rPr>
          <w:rStyle w:val="16"/>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坚持以习近平新时代中国特色社会主义思想为指导，全面贯彻落实党的二十大精神，深入贯彻落实中央经济工作会议和中央农村工作会议精神，贯彻落实习近平总书记视察新疆重要讲话、重要指示精神，完整准确贯彻新时代党的治疆方略，认真落实习近平总书记关于审计工作的重要讲话和重要指示批示精神，围绕自治州“十四五”规划和自治州党委十一届五次、六次全会及库尔勒市“十四五”规划、库尔勒市委九届七次全会等各项部署要求，完整、准确、全面把握扎实推进中国式现代化对审计工作提出的新要求、新任务，坚持稳中求进工作总基调，聚焦财政财务收支真实合法效益审计主责主业，充分发挥审计“查病、治已病、防未病”职能作用，推动经济运行实现质的有效提升和量的合理增长。</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 xml:space="preserve">主要内容：根据市党委审计委员会批准的审计计划，2024年度库尔勒市审计局组织19名专业人员执行政府投资审计项目。审计计划政府投资审计项目数不低于3项，库尔勒市审计局对2022年库尔勒市优质棉基地项目、库尔勒市教育提升二期项目、英下乡喀尔巴格村排水管网项目进行审计，平均项目审计费用66.67万元/个。具体目标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（一）通过对工程管理方面的审计，进一步规范建设单位对项目的管理，提高投资效益。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（二）通过对项目资金管理方面的审计，摸清项目的投资规模、建设资金性质、资金到位、完成投资等情况；反映建设资金拨付、使用的真实情况。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（三）通过对工程结算的审计，核实结算的真实性。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（四）通过对项目完工后的绩效进行评估，审计项目的进展和结果是否符合预期。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（五）针对审计发现的重点和带有普遍性的问题，认真分析原因，提出建议，促进建立健全建设项目的管理体制。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实施情况：项目开展前期，为保障2022年库尔勒市优质棉基地项目、库尔勒市教育提升二期项目、英下乡喀尔巴格村排水管网项目的顺利实施，库尔勒市审计局单位及财政局分别建立了《固定资产投资审计项目资金使用方案》及《固定资产投资审计项目资金管理使用暂行办法》</w:t>
      </w:r>
      <w:r>
        <w:rPr>
          <w:rFonts w:hint="default" w:ascii="Times New Roman" w:hAnsi="Times New Roman" w:eastAsia="仿宋_GB2312" w:cs="Times New Roman"/>
          <w:sz w:val="32"/>
          <w:szCs w:val="32"/>
          <w:highlight w:val="none"/>
          <w:lang w:val="en" w:eastAsia="zh-CN"/>
        </w:rPr>
        <w:t>,</w:t>
      </w:r>
      <w:r>
        <w:rPr>
          <w:rFonts w:hint="eastAsia" w:ascii="Times New Roman" w:hAnsi="Times New Roman" w:eastAsia="仿宋_GB2312" w:cs="Times New Roman"/>
          <w:sz w:val="32"/>
          <w:szCs w:val="32"/>
          <w:highlight w:val="none"/>
          <w:lang w:val="en-US" w:eastAsia="zh-CN"/>
        </w:rPr>
        <w:t>项目的实施遵守相关法律法规和业务管理规定。另外，根据已建立的《固定资产投资审计项目资金使用全过程合规性跟踪监管工作实施细则》。通过竞争性磋商的方式对第三方中介机构进行招标。项目开展过程中，审查建设项目相关审查项目各类批复资料是否齐全，是否存在违规审批、擅自调整投资计划、未批先建等问题。对建设项目相关的施工、采购等的招标、投标和工程承发包情况进行审计。审查项目是否按规定履行了基本建设程序。对项目资金来源、管理及使用情况进行审计，检查建设资金到位情况和资金管理使用的真实性和合法性。检查项目合同的订立及履约情况，履约单位是否与合同单位一致，审查项目的绩效情况，特别是收款单位与合同单位是否一致。监督建设项目的进度、质量和投资，发现项目建设过程的问题，为政府节约投资，规范项目建设各环节的程序。项目完成后，对检查过程中发现的问题及时督促整改，有效对建设项目实行全面监督。</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资金投入情况：该项目年初预算数200万元，全年预算数200万元，该项目资金落实到位50万元，资金来源为年初预算资金。</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资金使用情况：该项目年初预算数200万元，全年预算数200万元，全年执行数50万元，预算执行率为25%，用于：项目审计费用50万元。</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目标1：2024年度执行政府投资审计项目数不低于3项，审计报告不少于3项，平均项目审计费用66.67万元/个。 目标2：通过项目实施，有效对建设项目实行全面监督，让群众知晓党的方针、政策及重点工作。</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前期准备阶段，库尔勒市审计局制定《固定资产投资审计项目资金使用方案》《固定资产投资审计项目资金管理使用暂行办法》，并依据《固定资产投资审计项目资金使用全过程合规性跟踪监管工作实施细则》，通过竞争性磋商引入第三方中介机构对2022年库尔勒市优质棉基地项目、库尔勒市教育提升二期项目、英下乡喀尔巴格村排水管网项目进行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中期实施阶段，重点审计项目2022年库尔勒市优质棉基地项目、库尔勒市教育提升二期项目、英下乡喀尔巴格村排水管网项目审批合规性，核查批复资料是否齐全，杜绝违规审批、未批先建等问题；审查工程招投标、承发包情况，确保基建程序规范；监督资金来源、管理及使用，保障资金真实合法；检查合同订立与履约情况，核实收款单位与合同单位一致性，对项目绩效、建设进度、质量和投资进行动态监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后期跟踪阶段，针对审计发现问题及时督促整改，实现建设项目全流程闭环监督，有效规范项目建设管理，节约财政资金。</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1.绩效评价完整性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2024年度政府投资审计项目</w:t>
      </w:r>
      <w:r>
        <w:rPr>
          <w:rFonts w:hint="default" w:ascii="Times New Roman" w:hAnsi="Times New Roman" w:eastAsia="仿宋_GB2312" w:cs="Times New Roman"/>
          <w:sz w:val="32"/>
          <w:szCs w:val="32"/>
          <w:highlight w:val="none"/>
          <w:lang w:val="en-US" w:eastAsia="zh-CN"/>
        </w:rPr>
        <w:t>绩效评价报告严格遵循</w:t>
      </w:r>
      <w:r>
        <w:rPr>
          <w:rFonts w:hint="eastAsia" w:ascii="Times New Roman" w:hAnsi="Times New Roman" w:eastAsia="仿宋_GB2312" w:cs="Times New Roman"/>
          <w:sz w:val="32"/>
          <w:szCs w:val="32"/>
          <w:highlight w:val="none"/>
          <w:lang w:val="en-US" w:eastAsia="zh-CN"/>
        </w:rPr>
        <w:t>《固定资产投资审计项目资金管理使用暂行办法》、《中华人民共和国审计法》等</w:t>
      </w:r>
      <w:r>
        <w:rPr>
          <w:rFonts w:hint="default" w:ascii="Times New Roman" w:hAnsi="Times New Roman" w:eastAsia="仿宋_GB2312" w:cs="Times New Roman"/>
          <w:sz w:val="32"/>
          <w:szCs w:val="32"/>
          <w:highlight w:val="none"/>
          <w:lang w:val="en-US" w:eastAsia="zh-CN"/>
        </w:rPr>
        <w:t>相关法规及行业标准，以系统化、全流程的视角构建评价体系，全面覆盖</w:t>
      </w:r>
      <w:r>
        <w:rPr>
          <w:rFonts w:hint="eastAsia" w:ascii="Times New Roman" w:hAnsi="Times New Roman" w:eastAsia="仿宋_GB2312" w:cs="Times New Roman"/>
          <w:sz w:val="32"/>
          <w:szCs w:val="32"/>
          <w:highlight w:val="none"/>
          <w:lang w:val="en-US" w:eastAsia="zh-CN"/>
        </w:rPr>
        <w:t>政府投资审计</w:t>
      </w:r>
      <w:r>
        <w:rPr>
          <w:rFonts w:hint="default" w:ascii="Times New Roman" w:hAnsi="Times New Roman" w:eastAsia="仿宋_GB2312" w:cs="Times New Roman"/>
          <w:sz w:val="32"/>
          <w:szCs w:val="32"/>
          <w:highlight w:val="none"/>
          <w:lang w:val="en-US" w:eastAsia="zh-CN"/>
        </w:rPr>
        <w:t>项目预算编制、执行及收尾的全生命周期，实现对项目各环节绩效的精准度量与深度剖析。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指标体系构建方面，紧扣项目战略定位与核心目标，构建起涵盖经济效益、社会效益等多维度的评价框架。通过筛选兼具代表性与可量化特征的关键指标，形成科学完备的指标库，并对每项指标的定义、评价标准及数据采集路径进行标准化说明，确保评价体系逻辑严密、可操作性强，能够全方位、立体化呈现项目绩效全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数据采集与分析环节采用"多源验证、交叉复核"机制，综合运用实地勘察、抽样调查、大数据分析等技术手段，构建多维度数据采集网络。依托专业统计模型与数据分析工具，对原始数据进行深度挖掘与清洗处理，针对数据缺失、异常值等问题建立标准化处理流程，并详细记录数据处理过程，从源头上保障数据质量，为评价结论提供坚实的数据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报告采用结构化撰写范式，遵循"背景导入-方法阐述-结果分析-问题诊断-建议输出"的逻辑脉络。通过项目背景与目标的系统介绍搭建评价基础，运用对比分析</w:t>
      </w:r>
      <w:r>
        <w:rPr>
          <w:rFonts w:hint="eastAsia" w:ascii="Times New Roman" w:hAnsi="Times New Roman" w:eastAsia="仿宋_GB2312" w:cs="Times New Roman"/>
          <w:sz w:val="32"/>
          <w:szCs w:val="32"/>
          <w:highlight w:val="none"/>
          <w:lang w:val="en-US" w:eastAsia="zh-CN"/>
        </w:rPr>
        <w:t>、公众评判发</w:t>
      </w:r>
      <w:r>
        <w:rPr>
          <w:rFonts w:hint="default" w:ascii="Times New Roman" w:hAnsi="Times New Roman" w:eastAsia="仿宋_GB2312" w:cs="Times New Roman"/>
          <w:sz w:val="32"/>
          <w:szCs w:val="32"/>
          <w:highlight w:val="none"/>
          <w:lang w:val="en-US" w:eastAsia="zh-CN"/>
        </w:rPr>
        <w:t>等方式直观展现绩效指标达成情况，深入剖析实施过程中的薄弱环节，提出具有针对性、可操作性的改进方案。最终形成集过程追溯、结果呈现、问题诊断、对策建议于一体的闭环报告体系，为项目优化决策提供专业、可靠的参考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报告通过系统化的评价体系、严谨的数据处理流程和结构化的成果输出，充分彰显了绩效评价工作的完整性与专业性。后续将持续优化评价体系，不断提升绩效评价的科学性与有效性，为</w:t>
      </w:r>
      <w:r>
        <w:rPr>
          <w:rFonts w:hint="eastAsia" w:ascii="Times New Roman" w:hAnsi="Times New Roman" w:eastAsia="仿宋_GB2312" w:cs="Times New Roman"/>
          <w:sz w:val="32"/>
          <w:szCs w:val="32"/>
          <w:highlight w:val="none"/>
          <w:lang w:val="en-US" w:eastAsia="zh-CN"/>
        </w:rPr>
        <w:t>政府投资</w:t>
      </w:r>
      <w:r>
        <w:rPr>
          <w:rFonts w:hint="default" w:ascii="Times New Roman" w:hAnsi="Times New Roman" w:eastAsia="仿宋_GB2312" w:cs="Times New Roman"/>
          <w:sz w:val="32"/>
          <w:szCs w:val="32"/>
          <w:highlight w:val="none"/>
          <w:lang w:val="en-US" w:eastAsia="zh-CN"/>
        </w:rPr>
        <w:t>项目高质量发展提供更强有力的决策支持。</w:t>
      </w:r>
    </w:p>
    <w:p>
      <w:pPr>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本项目预算绩效评价报告的评价对象是固定资产投资审计经费</w:t>
      </w:r>
      <w:r>
        <w:rPr>
          <w:rFonts w:hint="eastAsia" w:ascii="Times New Roman" w:hAnsi="Times New Roman" w:eastAsia="仿宋_GB2312" w:cs="Times New Roman"/>
          <w:b w:val="0"/>
          <w:bCs w:val="0"/>
          <w:highlight w:val="none"/>
          <w:lang w:val="en-US" w:eastAsia="zh-CN"/>
        </w:rPr>
        <w:t>项目</w:t>
      </w:r>
      <w:r>
        <w:rPr>
          <w:rFonts w:hint="default" w:ascii="Times New Roman" w:hAnsi="Times New Roman" w:eastAsia="仿宋_GB2312" w:cs="Times New Roman"/>
          <w:b w:val="0"/>
          <w:bCs w:val="0"/>
          <w:highlight w:val="none"/>
        </w:rPr>
        <w:t>及其预算执行情况。该项目由</w:t>
      </w:r>
      <w:r>
        <w:rPr>
          <w:rFonts w:hint="eastAsia" w:ascii="Times New Roman" w:hAnsi="Times New Roman" w:eastAsia="仿宋_GB2312" w:cs="Times New Roman"/>
          <w:b w:val="0"/>
          <w:bCs w:val="0"/>
          <w:highlight w:val="none"/>
          <w:lang w:val="en-US" w:eastAsia="zh-CN"/>
        </w:rPr>
        <w:t>库尔勒市审计局</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kern w:val="2"/>
          <w:sz w:val="32"/>
          <w:szCs w:val="32"/>
          <w:highlight w:val="none"/>
          <w:lang w:val="en-US" w:eastAsia="zh-CN" w:bidi="ar-SA"/>
        </w:rPr>
        <w:t>通过项目实施，有效对建设项目实行全面监督，让群众知晓党的方针、政策及重点工作</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200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满意度</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rPr>
        <w:t>、经济等方面的综合影响。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r>
        <w:rPr>
          <w:rFonts w:hint="eastAsia" w:eastAsia="仿宋_GB2312" w:cs="Times New Roman"/>
          <w:color w:val="000000"/>
          <w:spacing w:val="17"/>
          <w:sz w:val="32"/>
          <w:szCs w:val="32"/>
          <w:highlight w:val="none"/>
          <w:lang w:val="en-US" w:eastAsia="zh-CN"/>
        </w:rPr>
        <w:t>原因是</w:t>
      </w:r>
      <w:r>
        <w:rPr>
          <w:rFonts w:hint="eastAsia" w:eastAsia="仿宋_GB2312" w:cs="Times New Roman"/>
          <w:color w:val="000000"/>
          <w:spacing w:val="17"/>
          <w:sz w:val="32"/>
          <w:szCs w:val="32"/>
          <w:highlight w:val="none"/>
          <w:lang w:eastAsia="zh-CN"/>
        </w:rPr>
        <w:t>政府投资审计项目</w:t>
      </w:r>
      <w:r>
        <w:rPr>
          <w:rFonts w:hint="default" w:ascii="Times New Roman" w:hAnsi="Times New Roman" w:eastAsia="仿宋_GB2312" w:cs="Times New Roman"/>
          <w:color w:val="000000"/>
          <w:spacing w:val="17"/>
          <w:sz w:val="32"/>
          <w:szCs w:val="32"/>
          <w:highlight w:val="none"/>
        </w:rPr>
        <w:t>通常涉及巨额资金，通过对比实际成本效益与可研报告的预测值，审计可验证项目是否达到预期目标，避免资源浪费或低效投资</w:t>
      </w:r>
      <w:r>
        <w:rPr>
          <w:rFonts w:hint="eastAsia"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问责决策失误或管理漏洞。</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r>
        <w:rPr>
          <w:rFonts w:hint="eastAsia" w:eastAsia="仿宋_GB2312" w:cs="Times New Roman"/>
          <w:color w:val="000000"/>
          <w:spacing w:val="17"/>
          <w:sz w:val="32"/>
          <w:szCs w:val="32"/>
          <w:highlight w:val="none"/>
          <w:lang w:val="en-US" w:eastAsia="zh-CN"/>
        </w:rPr>
        <w:t>原因是</w:t>
      </w:r>
      <w:r>
        <w:rPr>
          <w:rFonts w:hint="eastAsia" w:eastAsia="仿宋_GB2312" w:cs="Times New Roman"/>
          <w:color w:val="000000"/>
          <w:spacing w:val="17"/>
          <w:sz w:val="32"/>
          <w:szCs w:val="32"/>
          <w:highlight w:val="none"/>
          <w:lang w:eastAsia="zh-CN"/>
        </w:rPr>
        <w:t>政府投资审计项目</w:t>
      </w:r>
      <w:r>
        <w:rPr>
          <w:rFonts w:hint="default" w:ascii="Times New Roman" w:hAnsi="Times New Roman" w:eastAsia="仿宋_GB2312" w:cs="Times New Roman"/>
          <w:color w:val="000000"/>
          <w:spacing w:val="17"/>
          <w:sz w:val="32"/>
          <w:szCs w:val="32"/>
          <w:highlight w:val="none"/>
        </w:rPr>
        <w:t>通过量化对比</w:t>
      </w:r>
      <w:r>
        <w:rPr>
          <w:rFonts w:hint="eastAsia" w:eastAsia="仿宋_GB2312" w:cs="Times New Roman"/>
          <w:color w:val="000000"/>
          <w:spacing w:val="17"/>
          <w:sz w:val="32"/>
          <w:szCs w:val="32"/>
          <w:highlight w:val="none"/>
          <w:lang w:eastAsia="zh-CN"/>
        </w:rPr>
        <w:t>可</w:t>
      </w:r>
      <w:r>
        <w:rPr>
          <w:rFonts w:hint="default" w:ascii="Times New Roman" w:hAnsi="Times New Roman" w:eastAsia="仿宋_GB2312" w:cs="Times New Roman"/>
          <w:color w:val="000000"/>
          <w:spacing w:val="17"/>
          <w:sz w:val="32"/>
          <w:szCs w:val="32"/>
          <w:highlight w:val="none"/>
        </w:rPr>
        <w:t>减少主观判断，增强审计结论的说服力。将项目实际投资额、工期、质量等与可行性研究报告、预算或合同计划进行对比，识别是否存在超预算、进度滞后或未达预期效益等问题。</w:t>
      </w:r>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r>
        <w:rPr>
          <w:rFonts w:hint="eastAsia" w:eastAsia="仿宋_GB2312" w:cs="Times New Roman"/>
          <w:color w:val="000000"/>
          <w:spacing w:val="17"/>
          <w:sz w:val="32"/>
          <w:szCs w:val="32"/>
          <w:highlight w:val="none"/>
          <w:lang w:val="en-US" w:eastAsia="zh-CN"/>
        </w:rPr>
        <w:t>原因是</w:t>
      </w:r>
      <w:r>
        <w:rPr>
          <w:rFonts w:hint="eastAsia" w:eastAsia="仿宋_GB2312" w:cs="Times New Roman"/>
          <w:color w:val="000000"/>
          <w:spacing w:val="17"/>
          <w:sz w:val="32"/>
          <w:szCs w:val="32"/>
          <w:highlight w:val="none"/>
          <w:lang w:eastAsia="zh-CN"/>
        </w:rPr>
        <w:t>政府投资审计项目</w:t>
      </w:r>
      <w:r>
        <w:rPr>
          <w:rFonts w:hint="default" w:ascii="Times New Roman" w:hAnsi="Times New Roman" w:eastAsia="仿宋_GB2312" w:cs="Times New Roman"/>
          <w:color w:val="000000"/>
          <w:spacing w:val="17"/>
          <w:sz w:val="32"/>
          <w:szCs w:val="32"/>
          <w:highlight w:val="none"/>
        </w:rPr>
        <w:t>固定资产投资涉及建设成本、工期、质量、市场环境、政策变化等多个变量，因素分析法可系统分解这些变量，通过因素分解，验证被审计单位提供的解释是否合理</w:t>
      </w:r>
      <w:r>
        <w:rPr>
          <w:rFonts w:hint="eastAsia" w:eastAsia="仿宋_GB2312" w:cs="Times New Roman"/>
          <w:color w:val="000000"/>
          <w:spacing w:val="17"/>
          <w:sz w:val="32"/>
          <w:szCs w:val="32"/>
          <w:highlight w:val="none"/>
          <w:lang w:eastAsia="zh-CN"/>
        </w:rPr>
        <w:t>，需确保各因素无交叉影响。</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（四）公众评判法。是指通过专家评估、公众问卷及抽样调查等方式进行评判的方法。</w:t>
      </w:r>
      <w:r>
        <w:rPr>
          <w:rFonts w:hint="eastAsia" w:eastAsia="仿宋_GB2312" w:cs="Times New Roman"/>
          <w:color w:val="000000"/>
          <w:spacing w:val="17"/>
          <w:sz w:val="32"/>
          <w:szCs w:val="32"/>
          <w:highlight w:val="none"/>
          <w:lang w:val="en-US" w:eastAsia="zh-CN"/>
        </w:rPr>
        <w:t>原因是</w:t>
      </w:r>
      <w:r>
        <w:rPr>
          <w:rFonts w:hint="default" w:ascii="Times New Roman" w:hAnsi="Times New Roman" w:eastAsia="仿宋_GB2312" w:cs="Times New Roman"/>
          <w:color w:val="000000"/>
          <w:spacing w:val="17"/>
          <w:sz w:val="32"/>
          <w:szCs w:val="32"/>
          <w:highlight w:val="none"/>
        </w:rPr>
        <w:t>公众评判法在</w:t>
      </w:r>
      <w:r>
        <w:rPr>
          <w:rFonts w:hint="eastAsia" w:eastAsia="仿宋_GB2312" w:cs="Times New Roman"/>
          <w:color w:val="000000"/>
          <w:spacing w:val="17"/>
          <w:sz w:val="32"/>
          <w:szCs w:val="32"/>
          <w:highlight w:val="none"/>
          <w:lang w:eastAsia="zh-CN"/>
        </w:rPr>
        <w:t>政府投资审计项目</w:t>
      </w:r>
      <w:r>
        <w:rPr>
          <w:rFonts w:hint="default" w:ascii="Times New Roman" w:hAnsi="Times New Roman" w:eastAsia="仿宋_GB2312" w:cs="Times New Roman"/>
          <w:color w:val="000000"/>
          <w:spacing w:val="17"/>
          <w:sz w:val="32"/>
          <w:szCs w:val="32"/>
          <w:highlight w:val="none"/>
        </w:rPr>
        <w:t>中的应用，体现了从“政府主导”到“公众参与”的治理转型，体现了从“政府主导”到“公众参与”的治理转型。</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pPr>
        <w:pStyle w:val="10"/>
        <w:widowControl w:val="0"/>
        <w:spacing w:before="0" w:after="0" w:line="560" w:lineRule="exact"/>
        <w:ind w:firstLine="640" w:firstLineChars="200"/>
        <w:jc w:val="both"/>
        <w:outlineLvl w:val="9"/>
        <w:rPr>
          <w:rFonts w:hint="eastAsia"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绩效评价标准通常包括计划标准、行业标准、历史标准等，用于对绩效指标完成情况进行比较、分析、评价。本次评价主要采用了行业标准。</w:t>
      </w:r>
      <w:r>
        <w:rPr>
          <w:rFonts w:hint="eastAsia" w:eastAsia="仿宋_GB2312" w:cs="Times New Roman"/>
          <w:color w:val="000000"/>
          <w:spacing w:val="17"/>
          <w:sz w:val="32"/>
          <w:szCs w:val="32"/>
          <w:highlight w:val="none"/>
          <w:lang w:val="en-US" w:eastAsia="zh-CN"/>
        </w:rPr>
        <w:t>原因是被审计单位若对审计结果有异议，行业标准可作为第三方权威依据，降低争议。</w:t>
      </w:r>
      <w:r>
        <w:rPr>
          <w:rFonts w:hint="default" w:ascii="Times New Roman" w:hAnsi="Times New Roman" w:eastAsia="仿宋_GB2312" w:cs="Times New Roman"/>
          <w:b w:val="0"/>
          <w:bCs w:val="0"/>
          <w:highlight w:val="none"/>
        </w:rPr>
        <w:t>行业标准</w:t>
      </w:r>
      <w:r>
        <w:rPr>
          <w:rFonts w:hint="eastAsia" w:ascii="Times New Roman" w:hAnsi="Times New Roman" w:eastAsia="仿宋_GB2312" w:cs="Times New Roman"/>
          <w:b w:val="0"/>
          <w:bCs w:val="0"/>
          <w:highlight w:val="none"/>
          <w:lang w:eastAsia="zh-CN"/>
        </w:rPr>
        <w:t>是固定资产投资审计的“标尺”，检具权威性、专业性、适应性，能有效提升评价的精准度和说服力。</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w:t>
      </w:r>
      <w:r>
        <w:rPr>
          <w:rFonts w:hint="eastAsia" w:eastAsia="仿宋_GB2312" w:cs="Times New Roman"/>
          <w:sz w:val="32"/>
          <w:szCs w:val="32"/>
          <w:highlight w:val="none"/>
          <w:lang w:eastAsia="zh-CN"/>
        </w:rPr>
        <w:t>审计评价结果，</w:t>
      </w:r>
      <w:r>
        <w:rPr>
          <w:rFonts w:hint="default" w:ascii="Times New Roman" w:hAnsi="Times New Roman" w:eastAsia="仿宋_GB2312" w:cs="Times New Roman"/>
          <w:sz w:val="32"/>
          <w:szCs w:val="32"/>
          <w:highlight w:val="none"/>
          <w:lang w:eastAsia="zh-CN"/>
        </w:rPr>
        <w:t>遵循统一规范格式撰写项目预算绩效评价报告。报告涵盖项目背景、评价目的、指标体系构建、数据采集分析方法、绩效评价结论、问题诊断及改进建议等核心板块，秉持逻辑严谨、重点突出、表述规范的原则，确保内容层次清晰、数据支撑充分、结论客观可溯。报告编制完成后，建立多主体反馈机制，及时向项目实施主体、监管机构及相关利益方送达报告初稿，广泛吸纳专业建议与实践反馈。针对反馈意见逐条论证，对报告内容进行合规性、准确性及实用性优化，重点完善数据来源说明、指标权重设定及建议可行性分析，确保评价报告质量达标、成果可用，为项目管理决策提供可靠参考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在评价报告提交后，我们将构建“全周期闭环管理体系”，通过动态跟踪、持续评估与适应性调整，推动项目绩效管理形成“反馈—改进—提升”的良性循环</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同时，根据项目实施过程中出现的新情况、新问题，适时调整绩效评价指标体系与方法，保持评价工作的适应性与前瞻性，为</w:t>
      </w:r>
      <w:r>
        <w:rPr>
          <w:rFonts w:hint="eastAsia" w:eastAsia="仿宋_GB2312" w:cs="Times New Roman"/>
          <w:sz w:val="32"/>
          <w:szCs w:val="32"/>
          <w:highlight w:val="none"/>
          <w:lang w:eastAsia="zh-CN"/>
        </w:rPr>
        <w:t>政府投资审计</w:t>
      </w:r>
      <w:r>
        <w:rPr>
          <w:rFonts w:hint="default" w:ascii="Times New Roman" w:hAnsi="Times New Roman" w:eastAsia="仿宋_GB2312" w:cs="Times New Roman"/>
          <w:sz w:val="32"/>
          <w:szCs w:val="32"/>
          <w:highlight w:val="none"/>
          <w:lang w:eastAsia="zh-CN"/>
        </w:rPr>
        <w:t>项目的长期稳定发展提供有力保障。</w:t>
      </w:r>
    </w:p>
    <w:p>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sz w:val="32"/>
          <w:szCs w:val="32"/>
          <w:highlight w:val="none"/>
        </w:rPr>
        <w:t>固定资产投资审计经费</w:t>
      </w:r>
      <w:r>
        <w:rPr>
          <w:rFonts w:hint="eastAsia" w:ascii="Times New Roman" w:hAnsi="Times New Roman"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rPr>
        <w:t>在</w:t>
      </w:r>
      <w:r>
        <w:rPr>
          <w:rFonts w:hint="eastAsia" w:ascii="Times New Roman" w:hAnsi="Times New Roman" w:eastAsia="仿宋_GB2312" w:cs="Times New Roman"/>
          <w:sz w:val="32"/>
          <w:szCs w:val="32"/>
          <w:highlight w:val="none"/>
        </w:rPr>
        <w:t>执行政府投资审计项目</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rPr>
        <w:t>对建设项目实行全面监</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ascii="Times New Roman" w:hAnsi="Times New Roman" w:eastAsia="仿宋_GB2312" w:cs="Times New Roman"/>
          <w:sz w:val="32"/>
          <w:szCs w:val="32"/>
          <w:highlight w:val="none"/>
          <w:lang w:val="en-US" w:eastAsia="zh-CN"/>
        </w:rPr>
        <w:t>固定资产投资审计</w:t>
      </w:r>
      <w:r>
        <w:rPr>
          <w:rFonts w:hint="default" w:ascii="Times New Roman" w:hAnsi="Times New Roman" w:eastAsia="仿宋_GB2312" w:cs="Times New Roman"/>
          <w:sz w:val="32"/>
          <w:szCs w:val="32"/>
          <w:highlight w:val="none"/>
        </w:rPr>
        <w:t>领域取得了显著的成效，如</w:t>
      </w:r>
      <w:r>
        <w:rPr>
          <w:rFonts w:hint="eastAsia" w:ascii="Times New Roman" w:hAnsi="Times New Roman" w:eastAsia="仿宋_GB2312" w:cs="Times New Roman"/>
          <w:sz w:val="32"/>
          <w:szCs w:val="32"/>
          <w:highlight w:val="none"/>
          <w:lang w:val="en-US" w:eastAsia="zh-CN"/>
        </w:rPr>
        <w:t>规范被审计单位</w:t>
      </w:r>
      <w:r>
        <w:rPr>
          <w:rFonts w:hint="default" w:ascii="Times New Roman" w:hAnsi="Times New Roman" w:eastAsia="仿宋_GB2312" w:cs="Times New Roman"/>
          <w:sz w:val="32"/>
          <w:szCs w:val="32"/>
          <w:highlight w:val="none"/>
        </w:rPr>
        <w:t>严格按照合同约定和工程建设进度支付资金，每笔工程款的支付均按照施工单位申请、监理审核、项目管理部门确认、财务部门审查、领导审批等程序等。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库尔勒市审计局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从项目效益的角度来看，本项目实现了预期的社会效益。具体而言，</w:t>
      </w:r>
      <w:r>
        <w:rPr>
          <w:rFonts w:hint="eastAsia" w:ascii="Times New Roman" w:hAnsi="Times New Roman" w:eastAsia="仿宋_GB2312" w:cs="Times New Roman"/>
          <w:sz w:val="32"/>
          <w:szCs w:val="32"/>
          <w:highlight w:val="none"/>
        </w:rPr>
        <w:t>有效对建设项目实行全面监督，让群众知晓党的方针、政策及重点工作</w:t>
      </w:r>
      <w:r>
        <w:rPr>
          <w:rFonts w:hint="default" w:ascii="Times New Roman" w:hAnsi="Times New Roman" w:eastAsia="仿宋_GB2312" w:cs="Times New Roman"/>
          <w:sz w:val="32"/>
          <w:szCs w:val="32"/>
          <w:highlight w:val="none"/>
        </w:rPr>
        <w:t>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sz w:val="32"/>
          <w:szCs w:val="32"/>
          <w:highlight w:val="none"/>
        </w:rPr>
        <w:t>固定资产投资审计经费</w:t>
      </w:r>
      <w:r>
        <w:rPr>
          <w:rFonts w:hint="eastAsia" w:ascii="Times New Roman" w:hAnsi="Times New Roman"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89.5</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17</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85</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32.5</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81.25</w:t>
      </w:r>
      <w:r>
        <w:rPr>
          <w:rFonts w:hint="default" w:ascii="Times New Roman" w:hAnsi="Times New Roman" w:eastAsia="仿宋_GB2312" w:cs="Times New Roman"/>
          <w:b w:val="0"/>
          <w:bCs w:val="0"/>
          <w:highlight w:val="none"/>
          <w:lang w:val="en-US" w:eastAsia="zh-CN"/>
        </w:rPr>
        <w:t>%。</w:t>
      </w:r>
    </w:p>
    <w:p>
      <w:pPr>
        <w:pStyle w:val="10"/>
        <w:widowControl w:val="0"/>
        <w:spacing w:before="0" w:after="0" w:line="560" w:lineRule="exact"/>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17</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89.5</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固定资产投资审计项目资金管理使用暂行办法》</w:t>
      </w:r>
      <w:r>
        <w:rPr>
          <w:rFonts w:hint="eastAsia" w:eastAsia="仿宋_GB2312" w:cs="Times New Roman"/>
          <w:sz w:val="32"/>
          <w:szCs w:val="32"/>
          <w:lang w:val="en-US" w:eastAsia="zh-CN"/>
        </w:rPr>
        <w:t>、《中华人民共和国审计法》等</w:t>
      </w:r>
      <w:r>
        <w:rPr>
          <w:rFonts w:hint="default" w:ascii="Times New Roman" w:hAnsi="Times New Roman" w:eastAsia="仿宋_GB2312" w:cs="Times New Roman"/>
          <w:sz w:val="32"/>
          <w:szCs w:val="32"/>
          <w:lang w:val="en-US" w:eastAsia="zh-CN"/>
        </w:rPr>
        <w:t>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严格按照审批流程准备符合要求的《固定资产投资审计项目资金使用方案》；</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年初</w:t>
      </w:r>
      <w:r>
        <w:rPr>
          <w:rFonts w:hint="eastAsia" w:ascii="仿宋" w:hAnsi="仿宋" w:eastAsia="仿宋" w:cs="仿宋"/>
          <w:color w:val="auto"/>
          <w:sz w:val="30"/>
          <w:szCs w:val="30"/>
          <w:highlight w:val="none"/>
          <w:lang w:eastAsia="zh-CN"/>
        </w:rPr>
        <w:t>根据市党委审计委员会批准的审计计及历年政府投资审计项目经验划</w:t>
      </w:r>
      <w:r>
        <w:rPr>
          <w:rFonts w:hint="default" w:ascii="Times New Roman" w:hAnsi="Times New Roman" w:eastAsia="仿宋_GB2312" w:cs="Times New Roman"/>
          <w:sz w:val="32"/>
          <w:szCs w:val="32"/>
          <w:lang w:val="en-US" w:eastAsia="zh-CN"/>
        </w:rPr>
        <w:t>科学设定绩效目标，遵循“依据充分、客观务实、精准关联”原则，确保目标与项目实施内容高度契合。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2"/>
          <w:szCs w:val="32"/>
          <w:highlight w:val="none"/>
          <w:lang w:eastAsia="zh-CN"/>
        </w:rPr>
      </w:pPr>
      <w:r>
        <w:rPr>
          <w:rFonts w:hint="eastAsia" w:ascii="仿宋" w:hAnsi="仿宋" w:eastAsia="仿宋" w:cs="仿宋"/>
          <w:color w:val="auto"/>
          <w:sz w:val="30"/>
          <w:szCs w:val="30"/>
          <w:highlight w:val="none"/>
          <w:lang w:val="en-US" w:eastAsia="zh-CN"/>
        </w:rPr>
        <w:t>2022年库尔勒市优质棉基地项目、库尔勒市教育提升二期项目、英下乡喀尔巴格村排水管网</w:t>
      </w:r>
      <w:r>
        <w:rPr>
          <w:rFonts w:hint="default" w:ascii="Times New Roman" w:hAnsi="Times New Roman" w:eastAsia="仿宋_GB2312" w:cs="Times New Roman"/>
          <w:sz w:val="32"/>
          <w:szCs w:val="32"/>
          <w:highlight w:val="none"/>
          <w:lang w:eastAsia="zh-CN"/>
        </w:rPr>
        <w:t>项目的预算编制严格遵循《预算法》《政府投资条例》等法规</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预算编制过程严谨、科学，充分体现了精细化管理的要求。预算编制之初，</w:t>
      </w:r>
      <w:r>
        <w:rPr>
          <w:rFonts w:hint="eastAsia" w:eastAsia="仿宋_GB2312" w:cs="Times New Roman"/>
          <w:sz w:val="32"/>
          <w:szCs w:val="32"/>
          <w:highlight w:val="none"/>
          <w:lang w:eastAsia="zh-CN"/>
        </w:rPr>
        <w:t>对项目</w:t>
      </w:r>
      <w:r>
        <w:rPr>
          <w:rFonts w:hint="default" w:ascii="Times New Roman" w:hAnsi="Times New Roman" w:eastAsia="仿宋_GB2312" w:cs="Times New Roman"/>
          <w:sz w:val="32"/>
          <w:szCs w:val="32"/>
          <w:highlight w:val="none"/>
          <w:lang w:eastAsia="zh-CN"/>
        </w:rPr>
        <w:t>进行了全面的成本估算，</w:t>
      </w:r>
      <w:r>
        <w:rPr>
          <w:rFonts w:hint="eastAsia" w:eastAsia="仿宋_GB2312" w:cs="Times New Roman"/>
          <w:sz w:val="32"/>
          <w:szCs w:val="32"/>
          <w:highlight w:val="none"/>
          <w:lang w:eastAsia="zh-CN"/>
        </w:rPr>
        <w:t>详细核查项目可行性研究报告、初步设计及概算批复内容，</w:t>
      </w:r>
      <w:r>
        <w:rPr>
          <w:rFonts w:hint="default" w:ascii="Times New Roman" w:hAnsi="Times New Roman" w:eastAsia="仿宋_GB2312" w:cs="Times New Roman"/>
          <w:sz w:val="32"/>
          <w:szCs w:val="32"/>
          <w:highlight w:val="none"/>
          <w:lang w:eastAsia="zh-CN"/>
        </w:rPr>
        <w:t>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eastAsia" w:eastAsia="仿宋_GB2312" w:cs="Times New Roman"/>
          <w:sz w:val="32"/>
          <w:szCs w:val="32"/>
          <w:highlight w:val="none"/>
          <w:lang w:eastAsia="zh-CN"/>
        </w:rPr>
        <w:t>通过</w:t>
      </w:r>
      <w:r>
        <w:rPr>
          <w:rFonts w:hint="default" w:ascii="Times New Roman" w:hAnsi="Times New Roman" w:eastAsia="仿宋_GB2312" w:cs="Times New Roman"/>
          <w:sz w:val="32"/>
          <w:szCs w:val="32"/>
          <w:highlight w:val="none"/>
          <w:lang w:eastAsia="zh-CN"/>
        </w:rPr>
        <w:t>成本效益分析法</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比较法</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因素分析法对比</w:t>
      </w:r>
      <w:r>
        <w:rPr>
          <w:rFonts w:hint="eastAsia" w:eastAsia="仿宋_GB2312" w:cs="Times New Roman"/>
          <w:sz w:val="32"/>
          <w:szCs w:val="32"/>
          <w:highlight w:val="none"/>
          <w:lang w:eastAsia="zh-CN"/>
        </w:rPr>
        <w:t>项目</w:t>
      </w:r>
      <w:r>
        <w:rPr>
          <w:rFonts w:hint="default" w:ascii="Times New Roman" w:hAnsi="Times New Roman" w:eastAsia="仿宋_GB2312" w:cs="Times New Roman"/>
          <w:sz w:val="32"/>
          <w:szCs w:val="32"/>
          <w:highlight w:val="none"/>
          <w:lang w:eastAsia="zh-CN"/>
        </w:rPr>
        <w:t>实际成本效益与可研报告的预测值，审计可验证项目是否达到预期目标，避免资源浪费或低效投资，问责决策失误或管理漏洞。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2"/>
          <w:szCs w:val="32"/>
          <w:highlight w:val="none"/>
          <w:lang w:eastAsia="zh-CN"/>
        </w:rPr>
      </w:pPr>
      <w:r>
        <w:rPr>
          <w:rFonts w:hint="eastAsia" w:ascii="仿宋" w:hAnsi="仿宋" w:eastAsia="仿宋" w:cs="仿宋"/>
          <w:color w:val="auto"/>
          <w:sz w:val="30"/>
          <w:szCs w:val="30"/>
          <w:highlight w:val="none"/>
          <w:lang w:val="en-US" w:eastAsia="zh-CN"/>
        </w:rPr>
        <w:t>2022年库尔勒市优质棉基地项目、库尔勒市教育提升二期项目、英下乡喀尔巴格村排水管网</w:t>
      </w:r>
      <w:r>
        <w:rPr>
          <w:rFonts w:hint="default" w:ascii="Times New Roman" w:hAnsi="Times New Roman" w:eastAsia="仿宋_GB2312" w:cs="Times New Roman"/>
          <w:sz w:val="32"/>
          <w:szCs w:val="32"/>
          <w:highlight w:val="none"/>
          <w:lang w:eastAsia="zh-CN"/>
        </w:rPr>
        <w:t>项目的资金分配遵循了公平、公正、透明的原则，确保了项目资源的合理配置与高效利用。在资金分配过程中，我们</w:t>
      </w:r>
      <w:r>
        <w:rPr>
          <w:rFonts w:hint="eastAsia" w:eastAsia="仿宋_GB2312" w:cs="Times New Roman"/>
          <w:sz w:val="32"/>
          <w:szCs w:val="32"/>
          <w:highlight w:val="none"/>
          <w:lang w:eastAsia="zh-CN"/>
        </w:rPr>
        <w:t>依据</w:t>
      </w:r>
      <w:r>
        <w:rPr>
          <w:rFonts w:hint="default" w:ascii="Times New Roman" w:hAnsi="Times New Roman" w:eastAsia="仿宋_GB2312" w:cs="Times New Roman"/>
          <w:sz w:val="32"/>
          <w:szCs w:val="32"/>
          <w:highlight w:val="none"/>
          <w:lang w:eastAsia="zh-CN"/>
        </w:rPr>
        <w:t>项目实际</w:t>
      </w:r>
      <w:r>
        <w:rPr>
          <w:rFonts w:hint="eastAsia" w:eastAsia="仿宋_GB2312" w:cs="Times New Roman"/>
          <w:sz w:val="32"/>
          <w:szCs w:val="32"/>
          <w:highlight w:val="none"/>
          <w:lang w:eastAsia="zh-CN"/>
        </w:rPr>
        <w:t>工程量</w:t>
      </w:r>
      <w:r>
        <w:rPr>
          <w:rFonts w:hint="default" w:ascii="Times New Roman" w:hAnsi="Times New Roman" w:eastAsia="仿宋_GB2312" w:cs="Times New Roman"/>
          <w:sz w:val="32"/>
          <w:szCs w:val="32"/>
          <w:highlight w:val="none"/>
          <w:lang w:eastAsia="zh-CN"/>
        </w:rPr>
        <w:t>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pStyle w:val="10"/>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w:t>
      </w:r>
      <w:r>
        <w:rPr>
          <w:rFonts w:hint="default" w:ascii="Times New Roman" w:hAnsi="Times New Roman" w:eastAsia="仿宋_GB2312" w:cs="Times New Roman"/>
          <w:sz w:val="32"/>
          <w:szCs w:val="32"/>
          <w:highlight w:val="none"/>
          <w:lang w:val="en-US" w:eastAsia="zh-CN"/>
        </w:rPr>
        <w:t>织实施两方面的内容，由5个三级指标构成，权重分值为20分，实际得分</w:t>
      </w:r>
      <w:r>
        <w:rPr>
          <w:rFonts w:hint="eastAsia" w:eastAsia="仿宋_GB2312" w:cs="Times New Roman"/>
          <w:sz w:val="32"/>
          <w:szCs w:val="32"/>
          <w:highlight w:val="none"/>
          <w:lang w:val="en-US" w:eastAsia="zh-CN"/>
        </w:rPr>
        <w:t>17</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85</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本项</w:t>
      </w:r>
      <w:r>
        <w:rPr>
          <w:rFonts w:hint="default" w:ascii="Times New Roman" w:hAnsi="Times New Roman" w:eastAsia="仿宋_GB2312" w:cs="Times New Roman"/>
          <w:sz w:val="32"/>
          <w:szCs w:val="32"/>
          <w:highlight w:val="none"/>
          <w:lang w:val="en-US" w:eastAsia="zh-CN"/>
        </w:rPr>
        <w:t>目总投资</w:t>
      </w:r>
      <w:r>
        <w:rPr>
          <w:rFonts w:hint="eastAsia" w:eastAsia="仿宋_GB2312" w:cs="Times New Roman"/>
          <w:sz w:val="32"/>
          <w:szCs w:val="32"/>
          <w:highlight w:val="none"/>
          <w:lang w:val="en-US" w:eastAsia="zh-CN"/>
        </w:rPr>
        <w:t>200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25</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此项权重分值为4分，得分为1分。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w:t>
      </w:r>
      <w:r>
        <w:rPr>
          <w:rFonts w:hint="eastAsia" w:eastAsia="仿宋_GB2312" w:cs="Times New Roman"/>
          <w:sz w:val="32"/>
          <w:szCs w:val="32"/>
          <w:highlight w:val="none"/>
          <w:lang w:eastAsia="zh-CN"/>
        </w:rPr>
        <w:t>《中华人民共和国预算法》、《中华人民共和国审计法》、</w:t>
      </w:r>
      <w:r>
        <w:rPr>
          <w:rFonts w:hint="eastAsia" w:ascii="仿宋" w:hAnsi="仿宋" w:eastAsia="仿宋" w:cs="仿宋"/>
          <w:color w:val="auto"/>
          <w:sz w:val="30"/>
          <w:szCs w:val="30"/>
          <w:highlight w:val="none"/>
        </w:rPr>
        <w:t>《固定资产投资审计项目资金管理使用暂行办法</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w:t>
      </w:r>
      <w:r>
        <w:rPr>
          <w:rFonts w:hint="eastAsia" w:eastAsia="仿宋_GB2312" w:cs="Times New Roman"/>
          <w:sz w:val="32"/>
          <w:szCs w:val="32"/>
          <w:highlight w:val="none"/>
          <w:lang w:eastAsia="zh-CN"/>
        </w:rPr>
        <w:t>项目</w:t>
      </w:r>
      <w:r>
        <w:rPr>
          <w:rFonts w:hint="default" w:ascii="Times New Roman" w:hAnsi="Times New Roman" w:eastAsia="仿宋_GB2312" w:cs="Times New Roman"/>
          <w:sz w:val="32"/>
          <w:szCs w:val="32"/>
          <w:highlight w:val="none"/>
          <w:lang w:eastAsia="zh-CN"/>
        </w:rPr>
        <w:t>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2"/>
          <w:szCs w:val="32"/>
          <w:highlight w:val="none"/>
          <w:lang w:eastAsia="zh-CN"/>
        </w:rPr>
      </w:pPr>
      <w:r>
        <w:rPr>
          <w:rFonts w:hint="eastAsia" w:ascii="仿宋" w:hAnsi="仿宋" w:eastAsia="仿宋" w:cs="仿宋"/>
          <w:color w:val="auto"/>
          <w:sz w:val="30"/>
          <w:szCs w:val="30"/>
          <w:highlight w:val="none"/>
          <w:lang w:val="en-US" w:eastAsia="zh-CN"/>
        </w:rPr>
        <w:t>2022年库尔勒市优质棉基地项目、库尔勒市教育提升二期项目、英下乡喀尔巴格村排水管网</w:t>
      </w:r>
      <w:r>
        <w:rPr>
          <w:rFonts w:hint="default" w:ascii="Times New Roman" w:hAnsi="Times New Roman" w:eastAsia="仿宋_GB2312" w:cs="Times New Roman"/>
          <w:sz w:val="32"/>
          <w:szCs w:val="32"/>
          <w:highlight w:val="none"/>
          <w:lang w:eastAsia="zh-CN"/>
        </w:rPr>
        <w:t>项目以“全生命周期精细化管理”为核心目标，构建了覆盖策划、执行、监控、收尾四大阶段的立体化制度体系，通过“制度设计科学化、风险应对前置化、执行监督动态化”的三维管理架构，为项目高效实施提供系统性保障。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32.5</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81.25</w:t>
      </w:r>
      <w:r>
        <w:rPr>
          <w:rFonts w:hint="default" w:ascii="Times New Roman" w:hAnsi="Times New Roman" w:eastAsia="仿宋_GB2312" w:cs="Times New Roman"/>
          <w:sz w:val="32"/>
          <w:szCs w:val="32"/>
          <w:highlight w:val="none"/>
          <w:lang w:val="en-US" w:eastAsia="zh-CN"/>
        </w:rPr>
        <w:t>%。具体产出指</w:t>
      </w:r>
      <w:r>
        <w:rPr>
          <w:rFonts w:hint="default" w:ascii="Times New Roman" w:hAnsi="Times New Roman" w:eastAsia="仿宋_GB2312" w:cs="Times New Roman"/>
          <w:sz w:val="32"/>
          <w:szCs w:val="32"/>
          <w:lang w:val="en-US" w:eastAsia="zh-CN"/>
        </w:rPr>
        <w:t>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eastAsia="zh-CN"/>
        </w:rPr>
        <w:t>参与审计人数</w:t>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lang w:eastAsia="zh-CN"/>
        </w:rPr>
        <w:t>&gt;=17人</w:t>
      </w:r>
      <w:r>
        <w:rPr>
          <w:rFonts w:hint="default" w:ascii="Times New Roman" w:hAnsi="Times New Roman" w:eastAsia="仿宋_GB2312" w:cs="Times New Roman"/>
          <w:sz w:val="32"/>
          <w:szCs w:val="32"/>
          <w:highlight w:val="none"/>
        </w:rPr>
        <w:t xml:space="preserve">，实际完成值： </w:t>
      </w:r>
      <w:r>
        <w:rPr>
          <w:rFonts w:hint="default" w:ascii="Times New Roman" w:hAnsi="Times New Roman" w:eastAsia="仿宋_GB2312" w:cs="Times New Roman"/>
          <w:sz w:val="32"/>
          <w:szCs w:val="32"/>
          <w:highlight w:val="none"/>
          <w:lang w:eastAsia="zh-CN"/>
        </w:rPr>
        <w:t>=19人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111.76</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执行审计项目数量</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lang w:eastAsia="zh-CN"/>
        </w:rPr>
        <w:t>&gt;=3个</w:t>
      </w:r>
      <w:r>
        <w:rPr>
          <w:rFonts w:hint="default" w:ascii="Times New Roman" w:hAnsi="Times New Roman" w:eastAsia="仿宋_GB2312" w:cs="Times New Roman"/>
          <w:sz w:val="32"/>
          <w:szCs w:val="32"/>
          <w:highlight w:val="none"/>
        </w:rPr>
        <w:t>，实际完成值：</w:t>
      </w:r>
      <w:r>
        <w:rPr>
          <w:rFonts w:hint="default" w:ascii="Times New Roman" w:hAnsi="Times New Roman" w:eastAsia="仿宋_GB2312" w:cs="Times New Roman"/>
          <w:sz w:val="32"/>
          <w:szCs w:val="32"/>
          <w:highlight w:val="none"/>
          <w:lang w:eastAsia="zh-CN"/>
        </w:rPr>
        <w:tab/>
      </w:r>
      <w:r>
        <w:rPr>
          <w:rFonts w:hint="default" w:ascii="Times New Roman" w:hAnsi="Times New Roman" w:eastAsia="仿宋_GB2312" w:cs="Times New Roman"/>
          <w:sz w:val="32"/>
          <w:szCs w:val="32"/>
          <w:highlight w:val="none"/>
          <w:lang w:eastAsia="zh-CN"/>
        </w:rPr>
        <w:t>3个</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eastAsia="zh-CN"/>
        </w:rPr>
        <w:t>100%</w:t>
      </w:r>
      <w:r>
        <w:rPr>
          <w:rFonts w:hint="default" w:ascii="Times New Roman" w:hAnsi="Times New Roman" w:eastAsia="仿宋_GB2312" w:cs="Times New Roman"/>
          <w:sz w:val="32"/>
          <w:szCs w:val="32"/>
          <w:highlight w:val="none"/>
          <w:lang w:eastAsia="zh-CN"/>
        </w:rPr>
        <w:tab/>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形成审计报告数量</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lang w:eastAsia="zh-CN"/>
        </w:rPr>
        <w:t>&gt;=3份</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default" w:ascii="Times New Roman" w:hAnsi="Times New Roman" w:eastAsia="仿宋_GB2312" w:cs="Times New Roman"/>
          <w:sz w:val="32"/>
          <w:szCs w:val="32"/>
          <w:highlight w:val="none"/>
          <w:lang w:eastAsia="zh-CN"/>
        </w:rPr>
        <w:tab/>
      </w:r>
      <w:r>
        <w:rPr>
          <w:rFonts w:hint="default" w:ascii="Times New Roman" w:hAnsi="Times New Roman" w:eastAsia="仿宋_GB2312" w:cs="Times New Roman"/>
          <w:sz w:val="32"/>
          <w:szCs w:val="32"/>
          <w:highlight w:val="none"/>
          <w:lang w:eastAsia="zh-CN"/>
        </w:rPr>
        <w:t>3个</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eastAsia="zh-CN"/>
        </w:rPr>
        <w:t>100%</w:t>
      </w:r>
      <w:r>
        <w:rPr>
          <w:rFonts w:hint="default" w:ascii="Times New Roman" w:hAnsi="Times New Roman" w:eastAsia="仿宋_GB2312" w:cs="Times New Roman"/>
          <w:sz w:val="32"/>
          <w:szCs w:val="32"/>
          <w:highlight w:val="none"/>
          <w:lang w:eastAsia="zh-CN"/>
        </w:rPr>
        <w:tab/>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被审单位采用审计建议率</w:t>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lang w:val="en-US" w:eastAsia="zh-CN"/>
        </w:rPr>
        <w:t>&gt;=90%</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ab/>
      </w:r>
      <w:r>
        <w:rPr>
          <w:rFonts w:hint="default" w:ascii="Times New Roman" w:hAnsi="Times New Roman" w:eastAsia="仿宋_GB2312" w:cs="Times New Roman"/>
          <w:sz w:val="32"/>
          <w:szCs w:val="32"/>
          <w:highlight w:val="none"/>
        </w:rPr>
        <w:t>实际完成值：</w:t>
      </w:r>
      <w:r>
        <w:rPr>
          <w:rFonts w:hint="default" w:ascii="Times New Roman" w:hAnsi="Times New Roman"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lang w:val="en-US" w:eastAsia="zh-CN"/>
        </w:rPr>
        <w:tab/>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ab/>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审计计划按期完成率</w:t>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lang w:val="en-US" w:eastAsia="zh-CN"/>
        </w:rPr>
        <w:t>=100%</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实际完成值：</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ab/>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ab/>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平均项目审计费用</w:t>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lang w:val="en-US" w:eastAsia="zh-CN"/>
        </w:rPr>
        <w:t>&lt;=66.67万元/个</w:t>
      </w:r>
      <w:r>
        <w:rPr>
          <w:rFonts w:hint="default" w:ascii="Times New Roman" w:hAnsi="Times New Roman" w:eastAsia="仿宋_GB2312" w:cs="Times New Roman"/>
          <w:sz w:val="32"/>
          <w:szCs w:val="32"/>
          <w:highlight w:val="none"/>
          <w:lang w:val="en-US" w:eastAsia="zh-CN"/>
        </w:rPr>
        <w:tab/>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ab/>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16.6</w:t>
      </w:r>
      <w:r>
        <w:rPr>
          <w:rFonts w:hint="default" w:ascii="Times New Roman" w:hAnsi="Times New Roman" w:eastAsia="仿宋_GB2312" w:cs="Times New Roman"/>
          <w:sz w:val="32"/>
          <w:szCs w:val="32"/>
          <w:highlight w:val="none"/>
          <w:lang w:val="en-US" w:eastAsia="zh-CN"/>
        </w:rPr>
        <w:t>万元/个</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25</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ab/>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此项权重分值为40分，得分为32.5分。</w:t>
      </w:r>
    </w:p>
    <w:p>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w:t>
      </w:r>
      <w:r>
        <w:rPr>
          <w:rFonts w:hint="default" w:ascii="Times New Roman" w:hAnsi="Times New Roman" w:eastAsia="仿宋_GB2312" w:cs="Times New Roman"/>
          <w:sz w:val="32"/>
          <w:szCs w:val="32"/>
          <w:lang w:val="en-US" w:eastAsia="zh-CN"/>
        </w:rPr>
        <w:t>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加强对建设项目实行全面监督，受益单位数量</w:t>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lang w:val="en-US" w:eastAsia="zh-CN"/>
        </w:rPr>
        <w:t>&gt;=3个</w:t>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lang w:val="en-US" w:eastAsia="zh-CN"/>
        </w:rPr>
        <w:t>=3个</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ab/>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ab/>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指标1：受益单位满意度</w:t>
      </w:r>
      <w:r>
        <w:rPr>
          <w:rFonts w:hint="default" w:ascii="Times New Roman" w:hAnsi="Times New Roman" w:eastAsia="仿宋_GB2312" w:cs="Times New Roman"/>
          <w:sz w:val="32"/>
          <w:szCs w:val="32"/>
          <w:highlight w:val="none"/>
        </w:rPr>
        <w:tab/>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rPr>
        <w:tab/>
      </w:r>
      <w:r>
        <w:rPr>
          <w:rFonts w:hint="default" w:ascii="Times New Roman" w:hAnsi="Times New Roman" w:eastAsia="仿宋_GB2312" w:cs="Times New Roman"/>
          <w:sz w:val="32"/>
          <w:szCs w:val="32"/>
          <w:highlight w:val="none"/>
        </w:rPr>
        <w:t>&gt;=95%，指标值：</w:t>
      </w:r>
      <w:r>
        <w:rPr>
          <w:rFonts w:hint="default" w:ascii="Times New Roman" w:hAnsi="Times New Roman" w:eastAsia="仿宋_GB2312" w:cs="Times New Roman"/>
          <w:sz w:val="32"/>
          <w:szCs w:val="32"/>
          <w:highlight w:val="none"/>
        </w:rPr>
        <w:tab/>
      </w:r>
      <w:r>
        <w:rPr>
          <w:rFonts w:hint="default" w:ascii="Times New Roman" w:hAnsi="Times New Roman" w:eastAsia="仿宋_GB2312" w:cs="Times New Roman"/>
          <w:sz w:val="32"/>
          <w:szCs w:val="32"/>
          <w:highlight w:val="none"/>
        </w:rPr>
        <w:t>&gt;=95%</w:t>
      </w:r>
      <w:r>
        <w:rPr>
          <w:rFonts w:hint="default" w:ascii="Times New Roman" w:hAnsi="Times New Roman" w:eastAsia="仿宋_GB2312" w:cs="Times New Roman"/>
          <w:sz w:val="32"/>
          <w:szCs w:val="32"/>
          <w:highlight w:val="none"/>
        </w:rPr>
        <w:tab/>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指标完成率100%</w:t>
      </w:r>
      <w:r>
        <w:rPr>
          <w:rFonts w:hint="default" w:ascii="Times New Roman" w:hAnsi="Times New Roman" w:eastAsia="仿宋_GB2312" w:cs="Times New Roman"/>
          <w:sz w:val="32"/>
          <w:szCs w:val="32"/>
          <w:highlight w:val="none"/>
        </w:rPr>
        <w:tab/>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此项权重分值为20分，得分为20分。</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Style w:val="19"/>
        <w:spacing w:line="560" w:lineRule="exact"/>
        <w:ind w:firstLine="640"/>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rPr>
        <w:t>固定资产投资审计经费</w:t>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200</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200</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50</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25</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75</w:t>
      </w:r>
      <w:r>
        <w:rPr>
          <w:rFonts w:hint="default" w:ascii="Times New Roman" w:hAnsi="Times New Roman" w:eastAsia="方正仿宋_GBK" w:cs="Times New Roman"/>
          <w:sz w:val="32"/>
          <w:szCs w:val="32"/>
          <w:highlight w:val="none"/>
        </w:rPr>
        <w:t>%</w:t>
      </w:r>
      <w:r>
        <w:rPr>
          <w:rFonts w:hint="eastAsia" w:ascii="Times New Roman" w:hAnsi="Times New Roman" w:cs="Times New Roman"/>
          <w:highlight w:val="none"/>
          <w:lang w:eastAsia="zh-CN"/>
        </w:rPr>
        <w:t>，</w:t>
      </w:r>
      <w:r>
        <w:rPr>
          <w:rFonts w:hint="default" w:ascii="Times New Roman" w:hAnsi="Times New Roman" w:eastAsia="方正仿宋_GBK" w:cs="Times New Roman"/>
          <w:sz w:val="32"/>
          <w:szCs w:val="32"/>
          <w:highlight w:val="none"/>
          <w:lang w:eastAsia="zh-Hans"/>
        </w:rPr>
        <w:t>偏差</w:t>
      </w:r>
      <w:r>
        <w:rPr>
          <w:rFonts w:hint="default" w:ascii="Times New Roman" w:hAnsi="Times New Roman" w:eastAsia="方正仿宋_GBK" w:cs="Times New Roman"/>
          <w:sz w:val="32"/>
          <w:szCs w:val="32"/>
          <w:highlight w:val="none"/>
        </w:rPr>
        <w:t>原因</w:t>
      </w:r>
      <w:r>
        <w:rPr>
          <w:rFonts w:hint="eastAsia"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lang w:val="en-US" w:eastAsia="zh-CN"/>
        </w:rPr>
        <w:t>项目实施</w:t>
      </w:r>
      <w:r>
        <w:rPr>
          <w:rFonts w:hint="eastAsia" w:eastAsia="方正仿宋_GBK" w:cs="Times New Roman"/>
          <w:sz w:val="32"/>
          <w:szCs w:val="32"/>
          <w:highlight w:val="none"/>
          <w:lang w:val="en-US" w:eastAsia="zh-CN"/>
        </w:rPr>
        <w:t>缓慢</w:t>
      </w:r>
      <w:r>
        <w:rPr>
          <w:rFonts w:hint="default" w:ascii="Times New Roman" w:hAnsi="Times New Roman" w:eastAsia="方正仿宋_GBK" w:cs="Times New Roman"/>
          <w:sz w:val="32"/>
          <w:szCs w:val="32"/>
          <w:highlight w:val="none"/>
          <w:lang w:val="en-US" w:eastAsia="zh-CN"/>
        </w:rPr>
        <w:t>，审批手续未及时提供，导致财政资金申请困难。</w:t>
      </w:r>
      <w:r>
        <w:rPr>
          <w:rFonts w:hint="default" w:ascii="Times New Roman" w:hAnsi="Times New Roman" w:eastAsia="方正仿宋_GBK" w:cs="Times New Roman"/>
          <w:sz w:val="32"/>
          <w:szCs w:val="32"/>
          <w:highlight w:val="none"/>
          <w:lang w:eastAsia="zh-Hans"/>
        </w:rPr>
        <w:t>改进</w:t>
      </w:r>
      <w:r>
        <w:rPr>
          <w:rFonts w:hint="default" w:ascii="Times New Roman" w:hAnsi="Times New Roman" w:eastAsia="方正仿宋_GBK" w:cs="Times New Roman"/>
          <w:sz w:val="32"/>
          <w:szCs w:val="32"/>
          <w:highlight w:val="none"/>
        </w:rPr>
        <w:t>措施</w:t>
      </w:r>
      <w:r>
        <w:rPr>
          <w:rFonts w:hint="eastAsia"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lang w:val="en-US" w:eastAsia="zh-CN"/>
        </w:rPr>
        <w:t>一是强化支出预算约束。进一步提高年初预算编制的科学性和准确性，完善预算执行动态 约束机制，加强财政预算资金管理，统筹协调推进项目执行，提高财政资金效益和效果。</w:t>
      </w:r>
    </w:p>
    <w:p>
      <w:pPr>
        <w:pStyle w:val="19"/>
        <w:spacing w:line="560" w:lineRule="exact"/>
        <w:ind w:firstLine="640"/>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二是加强政府采购管理。严格履行政府采购程序，规范政府采购行为，加强对政府采购全流程活动的规范管理，推动政府采购相关制度贯彻落实。</w:t>
      </w:r>
    </w:p>
    <w:p>
      <w:pPr>
        <w:pStyle w:val="19"/>
        <w:spacing w:line="560" w:lineRule="exact"/>
        <w:ind w:firstLine="64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CN"/>
        </w:rPr>
        <w:t>三是强化内部控制管理。严格按规定做好绩效目标申报、自评、 公开等相关工作，提高财政资金使用绩效；加强实物资产管理，健全资产管理制度，规范资产清查和核算。</w:t>
      </w:r>
    </w:p>
    <w:p>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eastAsia" w:eastAsia="仿宋_GB2312" w:cs="Times New Roman"/>
          <w:sz w:val="32"/>
          <w:szCs w:val="32"/>
          <w:lang w:eastAsia="zh-CN"/>
        </w:rPr>
        <w:t>政府</w:t>
      </w:r>
      <w:r>
        <w:rPr>
          <w:rFonts w:hint="default" w:ascii="Times New Roman" w:hAnsi="Times New Roman" w:eastAsia="仿宋_GB2312" w:cs="Times New Roman"/>
          <w:sz w:val="32"/>
          <w:szCs w:val="32"/>
        </w:rPr>
        <w:t>资产投资审计项目绩效评价在长期实践中积累了丰富经验，形成了一系列行之有效的做法。这些经验既包括评价方法论的创新，也涵盖具体操作层面的实践智慧，为提升审计监督效能提供了重要参考。深入分析这些经验做法，对于完善绩效评价体系、提高审计质量具有重要意义。</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科学构建评价指标体系是绩效审计成功的关键。一个完善的绩效评价体系应当覆盖经济性、效率性、效果性和公平性等维度，并根据项目类型和特点有所侧重</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确保每个指标都有明确定义、数据来源和评价标准，避免模糊表述导致的评价困难。</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创新数据收集与分析方法大大提升了绩效评价的准确性和效率。传统审计主要依赖被审计单位提供的书面材料，存在信息不对称和证据力不足的问题。现代绩效审计则采用多元化的数据采集方式，包括现场勘查、用户调查、大数据分析等。实现了对项目全过程的动态监控，使审计效率显著提升。对于材料价格等市场波动较大的因素，采用多种数据源交叉验证的方法确定合理价格区间，增强了审计结论的说服力。</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强化过程跟踪与动态评价改变了传统事后审计的局限性。及时发现预算编制不规范</w:t>
      </w:r>
      <w:r>
        <w:rPr>
          <w:rFonts w:hint="eastAsia" w:eastAsia="仿宋_GB2312" w:cs="Times New Roman"/>
          <w:sz w:val="32"/>
          <w:szCs w:val="32"/>
          <w:lang w:eastAsia="zh-CN"/>
        </w:rPr>
        <w:t>、政府投资项目资产闲置浪费等问题</w:t>
      </w:r>
      <w:r>
        <w:rPr>
          <w:rFonts w:hint="default" w:ascii="Times New Roman" w:hAnsi="Times New Roman" w:eastAsia="仿宋_GB2312" w:cs="Times New Roman"/>
          <w:sz w:val="32"/>
          <w:szCs w:val="32"/>
        </w:rPr>
        <w:t>，有效实现了经济监督关口前移。这种"嵌入式"审计模式将评价时点从项目竣工后提前到建设过程中，通过定期或不定期检查，及时发现和纠正问题，避免了损失扩大和整改困难。</w:t>
      </w:r>
    </w:p>
    <w:p>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3"/>
        <w:spacing w:after="0" w:line="560" w:lineRule="exact"/>
        <w:ind w:left="0" w:leftChars="0" w:firstLine="0" w:firstLineChars="0"/>
        <w:rPr>
          <w:rFonts w:hint="eastAsia" w:ascii="Times New Roman" w:hAnsi="Times New Roman" w:eastAsia="仿宋_GB2312" w:cs="Times New Roman"/>
          <w:sz w:val="32"/>
          <w:szCs w:val="32"/>
          <w:lang w:eastAsia="zh-CN"/>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19"/>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rPr>
        <w:t>固定资产投资审计经费项目绩效评价指标体系及综合评分表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7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2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5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3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5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5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wODZjNGM5YzAzNTNhZmE1MjM0YzIxYzRhMzE4ZjMifQ=="/>
  </w:docVars>
  <w:rsids>
    <w:rsidRoot w:val="FF6C4049"/>
    <w:rsid w:val="006F7242"/>
    <w:rsid w:val="007B168A"/>
    <w:rsid w:val="008B2CFE"/>
    <w:rsid w:val="00F26FF6"/>
    <w:rsid w:val="01610122"/>
    <w:rsid w:val="02510197"/>
    <w:rsid w:val="03EC461B"/>
    <w:rsid w:val="0461077D"/>
    <w:rsid w:val="07397B77"/>
    <w:rsid w:val="0AD007F3"/>
    <w:rsid w:val="0E3C619F"/>
    <w:rsid w:val="100F38EC"/>
    <w:rsid w:val="11170296"/>
    <w:rsid w:val="11BF4C1A"/>
    <w:rsid w:val="12C66037"/>
    <w:rsid w:val="12CD1ABC"/>
    <w:rsid w:val="13471461"/>
    <w:rsid w:val="13B90F01"/>
    <w:rsid w:val="155E4C4D"/>
    <w:rsid w:val="181066D2"/>
    <w:rsid w:val="1A9C2F9C"/>
    <w:rsid w:val="1C671E73"/>
    <w:rsid w:val="1D322C47"/>
    <w:rsid w:val="1EE7157A"/>
    <w:rsid w:val="1FD957C0"/>
    <w:rsid w:val="23616034"/>
    <w:rsid w:val="23696C97"/>
    <w:rsid w:val="24480FA2"/>
    <w:rsid w:val="25227A45"/>
    <w:rsid w:val="25AB0A00"/>
    <w:rsid w:val="26AC3A6A"/>
    <w:rsid w:val="26BA5FA8"/>
    <w:rsid w:val="26D23BFD"/>
    <w:rsid w:val="2A8F447A"/>
    <w:rsid w:val="2B9D7E25"/>
    <w:rsid w:val="2C7C7A3B"/>
    <w:rsid w:val="2F364819"/>
    <w:rsid w:val="2FD63906"/>
    <w:rsid w:val="328A2055"/>
    <w:rsid w:val="37215DAE"/>
    <w:rsid w:val="38CA40DD"/>
    <w:rsid w:val="395F2B56"/>
    <w:rsid w:val="396C46E5"/>
    <w:rsid w:val="3A507725"/>
    <w:rsid w:val="3ABA28AC"/>
    <w:rsid w:val="3BBA0580"/>
    <w:rsid w:val="3BECE841"/>
    <w:rsid w:val="3CDE204C"/>
    <w:rsid w:val="3D363C36"/>
    <w:rsid w:val="3E9C3F6D"/>
    <w:rsid w:val="3FF7797D"/>
    <w:rsid w:val="416A4819"/>
    <w:rsid w:val="417B0D01"/>
    <w:rsid w:val="46690BD8"/>
    <w:rsid w:val="46894609"/>
    <w:rsid w:val="49F70BF1"/>
    <w:rsid w:val="4B4340EE"/>
    <w:rsid w:val="503D507A"/>
    <w:rsid w:val="51FA74D0"/>
    <w:rsid w:val="52AA4A52"/>
    <w:rsid w:val="586E3D6B"/>
    <w:rsid w:val="59943D66"/>
    <w:rsid w:val="59E051FD"/>
    <w:rsid w:val="59E6355E"/>
    <w:rsid w:val="5A72571A"/>
    <w:rsid w:val="5B821531"/>
    <w:rsid w:val="5BFF6039"/>
    <w:rsid w:val="5C9A7148"/>
    <w:rsid w:val="5D76A616"/>
    <w:rsid w:val="5D7F20B9"/>
    <w:rsid w:val="5DAC7D0E"/>
    <w:rsid w:val="5E3D949E"/>
    <w:rsid w:val="5F98B5AF"/>
    <w:rsid w:val="5FFE8511"/>
    <w:rsid w:val="5FFEACE2"/>
    <w:rsid w:val="60024841"/>
    <w:rsid w:val="609D5BF6"/>
    <w:rsid w:val="61073070"/>
    <w:rsid w:val="61B9080E"/>
    <w:rsid w:val="61DF3FED"/>
    <w:rsid w:val="623A301B"/>
    <w:rsid w:val="642B176B"/>
    <w:rsid w:val="643EE26D"/>
    <w:rsid w:val="656019A0"/>
    <w:rsid w:val="65F242EE"/>
    <w:rsid w:val="666D7E19"/>
    <w:rsid w:val="68376930"/>
    <w:rsid w:val="68F91E38"/>
    <w:rsid w:val="6B3158B9"/>
    <w:rsid w:val="6BA02A3F"/>
    <w:rsid w:val="6C1E5A53"/>
    <w:rsid w:val="6F5C41AC"/>
    <w:rsid w:val="6FAF6C78"/>
    <w:rsid w:val="716167CC"/>
    <w:rsid w:val="718A7AD1"/>
    <w:rsid w:val="72A44BC2"/>
    <w:rsid w:val="7317C656"/>
    <w:rsid w:val="734ED73F"/>
    <w:rsid w:val="73C82B32"/>
    <w:rsid w:val="73F94DAE"/>
    <w:rsid w:val="74220495"/>
    <w:rsid w:val="747D1B6F"/>
    <w:rsid w:val="749A2D9F"/>
    <w:rsid w:val="749E5641"/>
    <w:rsid w:val="76271066"/>
    <w:rsid w:val="77FD8BE9"/>
    <w:rsid w:val="78000AED"/>
    <w:rsid w:val="79A9BD3F"/>
    <w:rsid w:val="7B776F12"/>
    <w:rsid w:val="7BFFFDD0"/>
    <w:rsid w:val="7C336E5F"/>
    <w:rsid w:val="7C8D4919"/>
    <w:rsid w:val="7D7A5F86"/>
    <w:rsid w:val="7DCF754C"/>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37D384"/>
    <w:rsid w:val="EBFA31C2"/>
    <w:rsid w:val="F3F4A11B"/>
    <w:rsid w:val="F9FD7907"/>
    <w:rsid w:val="FAEF933D"/>
    <w:rsid w:val="FB3A4A6A"/>
    <w:rsid w:val="FB7BA5D3"/>
    <w:rsid w:val="FCCB7E66"/>
    <w:rsid w:val="FF6C4049"/>
    <w:rsid w:val="FF78F63F"/>
    <w:rsid w:val="FF8D2000"/>
    <w:rsid w:val="FFB87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13691</Words>
  <Characters>14002</Characters>
  <Lines>58</Lines>
  <Paragraphs>16</Paragraphs>
  <TotalTime>36</TotalTime>
  <ScaleCrop>false</ScaleCrop>
  <LinksUpToDate>false</LinksUpToDate>
  <CharactersWithSpaces>14047</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2023-03-09T05:13:00Z</dcterms:created>
  <dc:creator>审核人</dc:creator>
  <cp:lastModifiedBy>lenovo</cp:lastModifiedBy>
  <dcterms:modified xsi:type="dcterms:W3CDTF">2025-08-15T05:02:15Z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FDAFAEE0C1C34F31965E87F16618B491_13</vt:lpwstr>
  </property>
  <property fmtid="{D5CDD505-2E9C-101B-9397-08002B2CF9AE}" pid="4" name="KSOTemplateDocerSaveRecord">
    <vt:lpwstr>eyJoZGlkIjoiYTRkOTIwZjc5YmU2ZTY5MjQ2MTljMmZlZWEzNGY0OTAiLCJ1c2VySWQiOiI0MzUzMjU0MzcifQ==</vt:lpwstr>
  </property>
</Properties>
</file>