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lang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库尔勒市审计局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2024年度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ind w:left="0" w:leftChars="0"/>
        <w:jc w:val="center"/>
        <w:textAlignment w:val="auto"/>
        <w:rPr>
          <w:rFonts w:hint="eastAsia" w:ascii="黑体" w:hAnsi="黑体" w:eastAsia="黑体"/>
          <w:sz w:val="32"/>
          <w:szCs w:val="32"/>
          <w:highlight w:val="none"/>
        </w:rPr>
      </w:pPr>
      <w:r>
        <w:rPr>
          <w:rFonts w:hint="eastAsia" w:ascii="仿宋_GB2312" w:hAnsi="仿宋_GB2312" w:eastAsia="仿宋_GB2312" w:cs="仿宋_GB2312"/>
          <w:sz w:val="32"/>
          <w:szCs w:val="32"/>
          <w:highlight w:val="none"/>
        </w:rPr>
        <w:fldChar w:fldCharType="end"/>
      </w:r>
      <w:r>
        <w:rPr>
          <w:rFonts w:hint="eastAsia" w:ascii="仿宋_GB2312" w:eastAsia="仿宋_GB2312"/>
          <w:sz w:val="32"/>
          <w:szCs w:val="32"/>
          <w:highlight w:val="none"/>
        </w:rPr>
        <w:br w:type="page"/>
      </w:r>
      <w:bookmarkStart w:id="0" w:name="_Toc24028"/>
      <w:bookmarkStart w:id="1" w:name="_Toc31918"/>
      <w:r>
        <w:rPr>
          <w:rFonts w:hint="eastAsia" w:ascii="黑体" w:hAnsi="黑体" w:eastAsia="黑体"/>
          <w:sz w:val="32"/>
          <w:szCs w:val="32"/>
          <w:highlight w:val="none"/>
        </w:rPr>
        <w:t>第一部分 部门（单位）概况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kern w:val="0"/>
          <w:sz w:val="32"/>
          <w:szCs w:val="32"/>
          <w:highlight w:val="none"/>
        </w:rPr>
      </w:pPr>
      <w:bookmarkStart w:id="2" w:name="_Toc30738"/>
      <w:bookmarkStart w:id="3" w:name="_Toc2898"/>
      <w:r>
        <w:rPr>
          <w:rFonts w:hint="eastAsia" w:ascii="黑体" w:hAnsi="黑体" w:eastAsia="黑体" w:cs="宋体"/>
          <w:bCs/>
          <w:kern w:val="0"/>
          <w:sz w:val="32"/>
          <w:szCs w:val="32"/>
          <w:highlight w:val="none"/>
        </w:rPr>
        <w:t>一、主要职能</w:t>
      </w:r>
      <w:bookmarkEnd w:id="2"/>
      <w:bookmarkEnd w:id="3"/>
    </w:p>
    <w:p>
      <w:pPr>
        <w:ind w:firstLine="640" w:firstLineChars="200"/>
        <w:outlineLvl w:val="1"/>
        <w:rPr>
          <w:rFonts w:ascii="仿宋_GB2312" w:eastAsia="仿宋_GB2312"/>
          <w:color w:val="auto"/>
          <w:sz w:val="32"/>
          <w:szCs w:val="32"/>
          <w:highlight w:val="none"/>
        </w:rPr>
      </w:pPr>
      <w:bookmarkStart w:id="4" w:name="_Toc31238"/>
      <w:bookmarkStart w:id="5" w:name="_Toc1387"/>
      <w:r>
        <w:rPr>
          <w:rFonts w:hint="eastAsia" w:ascii="仿宋_GB2312" w:eastAsia="仿宋_GB2312"/>
          <w:color w:val="auto"/>
          <w:sz w:val="32"/>
          <w:szCs w:val="32"/>
          <w:highlight w:val="none"/>
        </w:rPr>
        <w:t>（1）负责全市审计工作。负责对全市财政收支和法律法规规定属于审计监督范围的财务收支的真实、合法和效益进行审计监督，对公共资金、国有资产、国有资源和领导干部履行经济责任情况实行审计全覆盖，对领导干部实行自然资源资产离任审计，对国家有关重大政策措施贯彻落实情况进行跟踪审计。对审计、专项审计的调查和核查社会审计机构相关审计报告的结果承担责任，并负有督促被审计单位整改的责任。</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2）起草地方性审计规范性文件，贯彻执行审计法律法规规章、国家审计准则和指南并监督执行。制定并组织实施专业领域审计工作规划。参与起草地方性财政经济及相关的法规和规章草案。对直接审计、调查和核查的事项依法进行审计评价，作出审计决定或提出审计建议。</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3）向市党委审计委员会提出年度预算执行和其他财政支出情况审计报告。向市人民政府提出年度库尔勒市预算执行和其他财政收支情况的审计结果报告。接受市人民政府的委托，向市人大常委会提出库尔勒市本级预算执行和其他财政收支情况的审计工作报告、审计查出问题整改情况报告。向市党委、市人民政府报告对其他事项的审计和专项审计调查情况及结果。依法向社会公布审计结果。向有关部门通报审计情况和审计结果。</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4）直接审计下列事项，出具审计报告，在法定职权范围内作出审计决定，包括国家有关重大政策措施贯彻落实情况；库尔勒市本级预算执行情况和其他财政收支，库尔勒市本级各部门（含直属单位）预算的执行情况、决算草案和其他财政收支，库尔勒市本级财政转移支付资金；使用库尔勒市财政资金的事业单位和社会团体的财务收支；库尔勒市投资和以库尔勒市投资为主的建设项目的预算执行情况和决算；库尔勒市重大公共工程项目的资金管理使用和建设运营情况；库尔勒市自然资源管理、污染防治和生态保护与修复情况；库尔勒市国有企业和金融机构、市人民政府规定的国有资本占控股或占主导地位的企业和金融机构境内外资产、负债和损益；有关社会保障基金、社会捐赠资金及其他基金、资金的财务收支；国际组织和外国政府援助、贷款项目；法律法规规定的其他事项。</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（5）按规定对属于本级审计机关审计监督对象的党政主要领导干部及其他单位主要负责人实施经济责任审计和自然资源资产离任审计。</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（6）组织实施对国家财经法律法规、规章、政策和宏观调控措施执行情况、财政预算管理及国有资产管理使用等与国家财政收支有关的特定事项进行专项审计调查。</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（7）依法检查审计决定执行情况，督促整改审计查出的问题，依法办理被审计单位对审计决定提请行政复议、行政诉讼或市人民政府裁决中的有关事项，协助配合有关部门查处相关重大案件。</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（8）指导和监督内部审计工作，核查社会审计机构对依法属于审计监督对象的单位出具的相关审计报告。</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（9）对与国家财政收支有关的特定事项，向有关地方、部门、单位进行专项审计调查，并向市人民政府和上一级审计机关报告审计调查结果。</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（10）指导和推广信息技术在审计领域的应用。</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（11）承担重大项目稽查、本级预算执行情况和其他财政收支情况的监督检查、国有企业领导干部经济责任审计和国有重点大型企业监事会的职责。</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（12）除《中华人民共和国审计法》规定的审计事项外，对其他法律、行政法规规定应当由审计机关进行审计的事项，依照《中华人民共和国审计法》和有关法律、行政法规的规定进行审计监督。</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（13）承担审计署、自治区审计厅、自治州审计局授权的审计事项。</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（14）完成市党委、市人民政府交办的其他事项。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w:t>
      </w:r>
      <w:r>
        <w:rPr>
          <w:rFonts w:hint="eastAsia" w:ascii="黑体" w:hAnsi="黑体" w:eastAsia="黑体" w:cs="宋体"/>
          <w:bCs/>
          <w:kern w:val="0"/>
          <w:sz w:val="32"/>
          <w:szCs w:val="32"/>
          <w:highlight w:val="none"/>
          <w:lang w:eastAsia="zh-CN"/>
        </w:rPr>
        <w:t>及</w:t>
      </w:r>
      <w:bookmarkEnd w:id="4"/>
      <w:r>
        <w:rPr>
          <w:rFonts w:hint="eastAsia" w:ascii="黑体" w:hAnsi="黑体" w:eastAsia="黑体" w:cs="宋体"/>
          <w:bCs/>
          <w:kern w:val="0"/>
          <w:sz w:val="32"/>
          <w:szCs w:val="32"/>
          <w:highlight w:val="none"/>
          <w:lang w:eastAsia="zh-CN"/>
        </w:rPr>
        <w:t>人员</w:t>
      </w:r>
      <w:r>
        <w:rPr>
          <w:rFonts w:hint="eastAsia" w:ascii="黑体" w:hAnsi="黑体" w:eastAsia="黑体" w:cs="宋体"/>
          <w:bCs/>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库尔勒市审计局</w:t>
      </w: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实有人数</w:t>
      </w:r>
      <w:r>
        <w:rPr>
          <w:rFonts w:hint="eastAsia" w:ascii="仿宋_GB2312" w:eastAsia="仿宋_GB2312"/>
          <w:sz w:val="32"/>
          <w:szCs w:val="32"/>
          <w:highlight w:val="none"/>
          <w:lang w:val="en-US" w:eastAsia="zh-CN"/>
        </w:rPr>
        <w:t>36</w:t>
      </w:r>
      <w:r>
        <w:rPr>
          <w:rFonts w:hint="eastAsia" w:ascii="仿宋_GB2312" w:eastAsia="仿宋_GB2312"/>
          <w:sz w:val="32"/>
          <w:szCs w:val="32"/>
          <w:highlight w:val="none"/>
        </w:rPr>
        <w:t>人，其中：在职人员</w:t>
      </w:r>
      <w:r>
        <w:rPr>
          <w:rFonts w:hint="eastAsia" w:ascii="仿宋_GB2312" w:eastAsia="仿宋_GB2312"/>
          <w:sz w:val="32"/>
          <w:szCs w:val="32"/>
          <w:highlight w:val="none"/>
          <w:lang w:val="en-US" w:eastAsia="zh-CN"/>
        </w:rPr>
        <w:t>19</w:t>
      </w:r>
      <w:r>
        <w:rPr>
          <w:rFonts w:hint="eastAsia" w:ascii="仿宋_GB2312" w:eastAsia="仿宋_GB2312"/>
          <w:sz w:val="32"/>
          <w:szCs w:val="32"/>
          <w:highlight w:val="none"/>
        </w:rPr>
        <w:t>人</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2人</w:t>
      </w:r>
      <w:r>
        <w:rPr>
          <w:rFonts w:hint="eastAsia" w:ascii="仿宋_GB2312" w:hAnsi="宋体" w:eastAsia="仿宋_GB2312" w:cs="宋体"/>
          <w:color w:val="auto"/>
          <w:kern w:val="0"/>
          <w:sz w:val="32"/>
          <w:szCs w:val="32"/>
          <w:highlight w:val="none"/>
        </w:rPr>
        <w:t>；</w:t>
      </w:r>
      <w:r>
        <w:rPr>
          <w:rFonts w:hint="eastAsia" w:ascii="仿宋_GB2312" w:eastAsia="仿宋_GB2312"/>
          <w:sz w:val="32"/>
          <w:szCs w:val="32"/>
          <w:highlight w:val="none"/>
        </w:rPr>
        <w:t>离休人员</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w:t>
      </w:r>
      <w:r>
        <w:rPr>
          <w:rFonts w:hint="eastAsia" w:ascii="仿宋_GB2312" w:hAnsi="宋体" w:eastAsia="仿宋_GB2312" w:cs="宋体"/>
          <w:color w:val="auto"/>
          <w:kern w:val="0"/>
          <w:sz w:val="32"/>
          <w:szCs w:val="32"/>
          <w:highlight w:val="none"/>
        </w:rPr>
        <w:t>；</w:t>
      </w:r>
      <w:r>
        <w:rPr>
          <w:rFonts w:hint="eastAsia" w:ascii="仿宋_GB2312" w:eastAsia="仿宋_GB2312"/>
          <w:sz w:val="32"/>
          <w:szCs w:val="32"/>
          <w:highlight w:val="none"/>
        </w:rPr>
        <w:t>退休人员</w:t>
      </w:r>
      <w:r>
        <w:rPr>
          <w:rFonts w:hint="eastAsia" w:ascii="仿宋_GB2312" w:eastAsia="仿宋_GB2312"/>
          <w:sz w:val="32"/>
          <w:szCs w:val="32"/>
          <w:highlight w:val="none"/>
          <w:lang w:val="en-US" w:eastAsia="zh-CN"/>
        </w:rPr>
        <w:t>17</w:t>
      </w:r>
      <w:r>
        <w:rPr>
          <w:rFonts w:hint="eastAsia" w:ascii="仿宋_GB2312" w:eastAsia="仿宋_GB2312"/>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kern w:val="0"/>
          <w:sz w:val="32"/>
          <w:szCs w:val="32"/>
          <w:highlight w:val="none"/>
        </w:rPr>
      </w:pPr>
      <w:r>
        <w:rPr>
          <w:rFonts w:hint="eastAsia" w:ascii="仿宋_GB2312" w:hAnsi="黑体" w:eastAsia="仿宋_GB2312" w:cs="宋体"/>
          <w:bCs/>
          <w:kern w:val="0"/>
          <w:sz w:val="32"/>
          <w:szCs w:val="32"/>
          <w:highlight w:val="none"/>
          <w:lang w:val="en-US" w:eastAsia="zh-CN"/>
        </w:rPr>
        <w:t>库尔勒市审计局</w:t>
      </w:r>
      <w:r>
        <w:rPr>
          <w:rFonts w:hint="eastAsia" w:ascii="仿宋_GB2312" w:hAnsi="黑体" w:eastAsia="仿宋_GB2312" w:cs="宋体"/>
          <w:bCs/>
          <w:kern w:val="0"/>
          <w:sz w:val="32"/>
          <w:szCs w:val="32"/>
          <w:highlight w:val="none"/>
        </w:rPr>
        <w:t>无下属预算单位，下设</w:t>
      </w:r>
      <w:r>
        <w:rPr>
          <w:rFonts w:hint="eastAsia" w:ascii="仿宋_GB2312" w:eastAsia="仿宋_GB2312"/>
          <w:sz w:val="32"/>
          <w:szCs w:val="32"/>
          <w:highlight w:val="none"/>
          <w:lang w:val="en-US" w:eastAsia="zh-CN"/>
        </w:rPr>
        <w:t>7</w:t>
      </w:r>
      <w:r>
        <w:rPr>
          <w:rFonts w:hint="eastAsia" w:ascii="仿宋_GB2312" w:hAnsi="黑体" w:eastAsia="仿宋_GB2312" w:cs="宋体"/>
          <w:bCs/>
          <w:kern w:val="0"/>
          <w:sz w:val="32"/>
          <w:szCs w:val="32"/>
          <w:highlight w:val="none"/>
        </w:rPr>
        <w:t>个</w:t>
      </w:r>
      <w:r>
        <w:rPr>
          <w:rFonts w:hint="eastAsia" w:ascii="仿宋_GB2312" w:hAnsi="黑体" w:eastAsia="仿宋_GB2312" w:cs="宋体"/>
          <w:bCs/>
          <w:color w:val="auto"/>
          <w:kern w:val="0"/>
          <w:sz w:val="32"/>
          <w:szCs w:val="32"/>
          <w:highlight w:val="none"/>
        </w:rPr>
        <w:t>处室</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lang w:val="en-US" w:eastAsia="zh-CN"/>
        </w:rPr>
        <w:t>科室</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kern w:val="0"/>
          <w:sz w:val="32"/>
          <w:szCs w:val="32"/>
          <w:highlight w:val="none"/>
        </w:rPr>
        <w:t>，分别是：</w:t>
      </w:r>
      <w:r>
        <w:rPr>
          <w:rFonts w:hint="eastAsia" w:ascii="仿宋_GB2312" w:eastAsia="仿宋_GB2312"/>
          <w:color w:val="auto"/>
          <w:sz w:val="32"/>
          <w:szCs w:val="32"/>
          <w:highlight w:val="none"/>
        </w:rPr>
        <w:t>办公室、业务审理室、政策法规督察室、审计业务室、审计委办公室、经济责任审计科、</w:t>
      </w:r>
      <w:r>
        <w:rPr>
          <w:rFonts w:hint="eastAsia" w:ascii="仿宋_GB2312" w:eastAsia="仿宋_GB2312"/>
          <w:color w:val="auto"/>
          <w:sz w:val="32"/>
          <w:szCs w:val="32"/>
          <w:highlight w:val="none"/>
          <w:lang w:eastAsia="zh-CN"/>
        </w:rPr>
        <w:t>财政投资评审中心</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6" w:name="_Toc3092"/>
      <w:bookmarkStart w:id="7" w:name="_Toc7559"/>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二</w:t>
      </w:r>
      <w:r>
        <w:rPr>
          <w:rFonts w:hint="eastAsia" w:ascii="黑体" w:hAnsi="黑体" w:eastAsia="黑体"/>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8" w:name="_Toc12566"/>
      <w:bookmarkStart w:id="9" w:name="_Toc6321"/>
      <w:r>
        <w:rPr>
          <w:rFonts w:hint="eastAsia" w:ascii="黑体" w:hAnsi="黑体" w:eastAsia="黑体" w:cs="宋体"/>
          <w:bCs/>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pacing w:val="0"/>
          <w:sz w:val="32"/>
          <w:szCs w:val="32"/>
          <w:highlight w:val="none"/>
          <w:lang w:val="en-US" w:eastAsia="zh-CN"/>
        </w:rPr>
        <w:t>收入总计</w:t>
      </w:r>
      <w:r>
        <w:rPr>
          <w:rFonts w:hint="eastAsia" w:ascii="仿宋_GB2312" w:eastAsia="仿宋_GB2312"/>
          <w:b/>
          <w:bCs/>
          <w:sz w:val="32"/>
          <w:szCs w:val="32"/>
          <w:highlight w:val="none"/>
        </w:rPr>
        <w:t>348.47万元</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其中：本年收入合计</w:t>
      </w:r>
      <w:r>
        <w:rPr>
          <w:rFonts w:hint="eastAsia" w:ascii="仿宋_GB2312" w:eastAsia="仿宋_GB2312"/>
          <w:sz w:val="32"/>
          <w:szCs w:val="32"/>
          <w:highlight w:val="none"/>
        </w:rPr>
        <w:t>348.47万元</w:t>
      </w:r>
      <w:r>
        <w:rPr>
          <w:rFonts w:hint="eastAsia" w:ascii="仿宋_GB2312" w:eastAsia="仿宋_GB2312"/>
          <w:sz w:val="32"/>
          <w:szCs w:val="32"/>
          <w:highlight w:val="none"/>
          <w:lang w:eastAsia="zh-CN"/>
        </w:rPr>
        <w:t>，使用非财政拨款结余（含专用结余）</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，年初结转和结余</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rPr>
        <w:t>支出</w:t>
      </w:r>
      <w:r>
        <w:rPr>
          <w:rFonts w:hint="eastAsia" w:ascii="仿宋_GB2312" w:eastAsia="仿宋_GB2312"/>
          <w:b/>
          <w:bCs/>
          <w:sz w:val="32"/>
          <w:szCs w:val="32"/>
          <w:highlight w:val="none"/>
          <w:lang w:val="en-US" w:eastAsia="zh-CN"/>
        </w:rPr>
        <w:t>总计</w:t>
      </w:r>
      <w:r>
        <w:rPr>
          <w:rFonts w:hint="eastAsia" w:ascii="仿宋_GB2312" w:eastAsia="仿宋_GB2312"/>
          <w:b/>
          <w:bCs/>
          <w:sz w:val="32"/>
          <w:szCs w:val="32"/>
          <w:highlight w:val="none"/>
        </w:rPr>
        <w:t>348.47万元</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其中：本年支出合计348.47万元，结余分配0.00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，年末结转和结余</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hAnsi="仿宋_GB2312" w:eastAsia="仿宋_GB2312" w:cs="仿宋_GB2312"/>
          <w:b/>
          <w:bCs w:val="0"/>
          <w:kern w:val="0"/>
          <w:sz w:val="32"/>
          <w:szCs w:val="32"/>
          <w:highlight w:val="none"/>
        </w:rPr>
        <w:t>收入支出总体</w:t>
      </w:r>
      <w:r>
        <w:rPr>
          <w:rFonts w:hint="eastAsia" w:ascii="仿宋_GB2312" w:eastAsia="仿宋_GB2312"/>
          <w:b/>
          <w:bCs w:val="0"/>
          <w:sz w:val="32"/>
          <w:szCs w:val="32"/>
          <w:highlight w:val="none"/>
        </w:rPr>
        <w:t>与上年相比</w:t>
      </w:r>
      <w:r>
        <w:rPr>
          <w:rFonts w:hint="eastAsia" w:ascii="仿宋_GB2312" w:eastAsia="仿宋_GB2312"/>
          <w:b/>
          <w:bCs w:val="0"/>
          <w:sz w:val="32"/>
          <w:szCs w:val="32"/>
          <w:highlight w:val="none"/>
          <w:lang w:eastAsia="zh-CN"/>
        </w:rPr>
        <w:t>，</w:t>
      </w:r>
      <w:r>
        <w:rPr>
          <w:rFonts w:hint="eastAsia" w:ascii="仿宋_GB2312" w:eastAsia="仿宋_GB2312"/>
          <w:sz w:val="32"/>
          <w:szCs w:val="32"/>
          <w:highlight w:val="none"/>
        </w:rPr>
        <w:t>减少115.91万元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lang w:val="en-US" w:eastAsia="zh-CN"/>
        </w:rPr>
        <w:t>24.96</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：2024年末端渠系审计项目、高标准农田审计项目资金暂未支付</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2024年5月</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11月分别减少工作人员2名（</w:t>
      </w:r>
      <w:r>
        <w:rPr>
          <w:rFonts w:hint="eastAsia" w:ascii="仿宋_GB2312" w:eastAsia="仿宋_GB2312"/>
          <w:sz w:val="32"/>
          <w:szCs w:val="32"/>
          <w:highlight w:val="none"/>
        </w:rPr>
        <w:t>1名工作人员辞职</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1名工作人员调入库尔勒市财政局</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2</w:t>
      </w:r>
      <w:r>
        <w:rPr>
          <w:rFonts w:hint="eastAsia" w:ascii="仿宋_GB2312" w:eastAsia="仿宋_GB2312"/>
          <w:sz w:val="32"/>
          <w:szCs w:val="32"/>
          <w:highlight w:val="none"/>
          <w:lang w:val="en-US" w:eastAsia="zh-CN"/>
        </w:rPr>
        <w:t>02</w:t>
      </w:r>
      <w:r>
        <w:rPr>
          <w:rFonts w:hint="eastAsia" w:ascii="仿宋_GB2312" w:eastAsia="仿宋_GB2312"/>
          <w:sz w:val="32"/>
          <w:szCs w:val="32"/>
          <w:highlight w:val="none"/>
        </w:rPr>
        <w:t>3年补发2</w:t>
      </w:r>
      <w:r>
        <w:rPr>
          <w:rFonts w:hint="eastAsia" w:ascii="仿宋_GB2312" w:eastAsia="仿宋_GB2312"/>
          <w:sz w:val="32"/>
          <w:szCs w:val="32"/>
          <w:highlight w:val="none"/>
          <w:lang w:val="en-US" w:eastAsia="zh-CN"/>
        </w:rPr>
        <w:t>02</w:t>
      </w:r>
      <w:r>
        <w:rPr>
          <w:rFonts w:hint="eastAsia" w:ascii="仿宋_GB2312" w:eastAsia="仿宋_GB2312"/>
          <w:sz w:val="32"/>
          <w:szCs w:val="32"/>
          <w:highlight w:val="none"/>
        </w:rPr>
        <w:t>2年发绩效考核费用</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10" w:name="_Toc6311"/>
      <w:bookmarkStart w:id="11" w:name="_Toc1979"/>
      <w:r>
        <w:rPr>
          <w:rFonts w:hint="eastAsia" w:ascii="黑体" w:hAnsi="黑体" w:eastAsia="黑体" w:cs="宋体"/>
          <w:bCs/>
          <w:kern w:val="0"/>
          <w:sz w:val="32"/>
          <w:szCs w:val="32"/>
          <w:highlight w:val="none"/>
          <w:lang w:eastAsia="zh-CN"/>
        </w:rPr>
        <w:t>二、</w:t>
      </w:r>
      <w:r>
        <w:rPr>
          <w:rFonts w:hint="eastAsia" w:ascii="黑体" w:hAnsi="黑体" w:eastAsia="黑体" w:cs="宋体"/>
          <w:bCs/>
          <w:kern w:val="0"/>
          <w:sz w:val="32"/>
          <w:szCs w:val="32"/>
          <w:highlight w:val="none"/>
        </w:rPr>
        <w:t>收入</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rPr>
        <w:t>本年收入348.47万元，</w:t>
      </w:r>
      <w:r>
        <w:rPr>
          <w:rFonts w:hint="eastAsia" w:ascii="仿宋_GB2312" w:eastAsia="仿宋_GB2312"/>
          <w:sz w:val="32"/>
          <w:szCs w:val="32"/>
          <w:highlight w:val="none"/>
        </w:rPr>
        <w:t>其中：财政拨款收入348.47万元，占</w:t>
      </w:r>
      <w:r>
        <w:rPr>
          <w:rFonts w:hint="eastAsia" w:ascii="仿宋_GB2312" w:eastAsia="仿宋_GB2312"/>
          <w:sz w:val="32"/>
          <w:szCs w:val="32"/>
          <w:highlight w:val="none"/>
          <w:lang w:val="en-US" w:eastAsia="zh-CN"/>
        </w:rPr>
        <w:t>100.00</w:t>
      </w:r>
      <w:r>
        <w:rPr>
          <w:rFonts w:hint="eastAsia" w:ascii="仿宋_GB2312" w:eastAsia="仿宋_GB2312"/>
          <w:sz w:val="32"/>
          <w:szCs w:val="32"/>
          <w:highlight w:val="none"/>
        </w:rPr>
        <w:t>%；上级补助收入</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%；事业收入</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%；经营收入</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附属单位上缴收入</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%；其他收入</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2" w:name="_Toc20629"/>
      <w:bookmarkStart w:id="13" w:name="_Toc27961"/>
      <w:r>
        <w:rPr>
          <w:rFonts w:hint="eastAsia" w:ascii="黑体" w:hAnsi="黑体" w:eastAsia="黑体" w:cs="宋体"/>
          <w:bCs/>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rPr>
        <w:t>本年支出348.47万元，</w:t>
      </w:r>
      <w:r>
        <w:rPr>
          <w:rFonts w:hint="eastAsia" w:ascii="仿宋_GB2312" w:eastAsia="仿宋_GB2312"/>
          <w:sz w:val="32"/>
          <w:szCs w:val="32"/>
          <w:highlight w:val="none"/>
        </w:rPr>
        <w:t>其中：基本支出291.06万元，占83.5</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%；项目支出57.42万元，占16.4</w:t>
      </w: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rPr>
        <w:t>%；上缴上级支出</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%；经营支出</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%；对附属单位补助支出</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4" w:name="_Toc7371"/>
      <w:bookmarkStart w:id="15" w:name="_Toc4393"/>
      <w:r>
        <w:rPr>
          <w:rFonts w:hint="eastAsia" w:ascii="黑体" w:hAnsi="黑体" w:eastAsia="黑体" w:cs="宋体"/>
          <w:bCs/>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rPr>
        <w:t>财政拨款收入</w:t>
      </w:r>
      <w:r>
        <w:rPr>
          <w:rFonts w:hint="eastAsia" w:ascii="仿宋_GB2312" w:eastAsia="仿宋_GB2312"/>
          <w:b/>
          <w:bCs/>
          <w:sz w:val="32"/>
          <w:szCs w:val="32"/>
          <w:highlight w:val="none"/>
          <w:lang w:val="en-US" w:eastAsia="zh-CN"/>
        </w:rPr>
        <w:t>总计</w:t>
      </w:r>
      <w:r>
        <w:rPr>
          <w:rFonts w:hint="eastAsia" w:ascii="仿宋_GB2312" w:eastAsia="仿宋_GB2312"/>
          <w:b/>
          <w:bCs/>
          <w:sz w:val="32"/>
          <w:szCs w:val="32"/>
          <w:highlight w:val="none"/>
        </w:rPr>
        <w:t>348.47万元，</w:t>
      </w:r>
      <w:r>
        <w:rPr>
          <w:rFonts w:hint="eastAsia" w:ascii="仿宋_GB2312" w:eastAsia="仿宋_GB2312"/>
          <w:sz w:val="32"/>
          <w:szCs w:val="32"/>
          <w:highlight w:val="none"/>
          <w:lang w:val="en-US" w:eastAsia="zh-CN"/>
        </w:rPr>
        <w:t>其中：年初财政拨款结转和结余0.00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本年财政拨款收入348.47</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b/>
          <w:bCs/>
          <w:sz w:val="32"/>
          <w:szCs w:val="32"/>
          <w:highlight w:val="none"/>
        </w:rPr>
        <w:t>财政拨款支出</w:t>
      </w:r>
      <w:r>
        <w:rPr>
          <w:rFonts w:hint="eastAsia" w:ascii="仿宋_GB2312" w:eastAsia="仿宋_GB2312"/>
          <w:b/>
          <w:bCs/>
          <w:sz w:val="32"/>
          <w:szCs w:val="32"/>
          <w:highlight w:val="none"/>
          <w:lang w:val="en-US" w:eastAsia="zh-CN"/>
        </w:rPr>
        <w:t>总计</w:t>
      </w:r>
      <w:r>
        <w:rPr>
          <w:rFonts w:hint="eastAsia" w:ascii="仿宋_GB2312" w:eastAsia="仿宋_GB2312"/>
          <w:b/>
          <w:bCs/>
          <w:sz w:val="32"/>
          <w:szCs w:val="32"/>
          <w:highlight w:val="none"/>
        </w:rPr>
        <w:t>348.47万元，</w:t>
      </w:r>
      <w:r>
        <w:rPr>
          <w:rFonts w:hint="eastAsia" w:ascii="仿宋_GB2312" w:eastAsia="仿宋_GB2312"/>
          <w:sz w:val="32"/>
          <w:szCs w:val="32"/>
          <w:highlight w:val="none"/>
          <w:lang w:val="en-US" w:eastAsia="zh-CN"/>
        </w:rPr>
        <w:t>其中：年末财政拨款结转和结余0.00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本年财政拨款支出348.47</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p>
    <w:p>
      <w:pPr>
        <w:ind w:firstLine="643" w:firstLineChars="200"/>
        <w:jc w:val="both"/>
        <w:rPr>
          <w:rFonts w:ascii="仿宋_GB2312" w:eastAsia="仿宋_GB2312"/>
          <w:color w:val="auto"/>
          <w:sz w:val="32"/>
          <w:szCs w:val="32"/>
          <w:highlight w:val="none"/>
          <w:lang w:val="en-US" w:eastAsia="zh-CN"/>
        </w:rPr>
      </w:pPr>
      <w:r>
        <w:rPr>
          <w:rFonts w:hint="eastAsia" w:ascii="仿宋_GB2312" w:hAnsi="仿宋_GB2312" w:eastAsia="仿宋_GB2312" w:cs="仿宋_GB2312"/>
          <w:b/>
          <w:bCs w:val="0"/>
          <w:kern w:val="0"/>
          <w:sz w:val="32"/>
          <w:szCs w:val="32"/>
          <w:highlight w:val="none"/>
          <w:lang w:eastAsia="zh-CN"/>
        </w:rPr>
        <w:t>财政拨款收入支出总体</w:t>
      </w:r>
      <w:r>
        <w:rPr>
          <w:rFonts w:hint="eastAsia" w:ascii="仿宋_GB2312" w:eastAsia="仿宋_GB2312"/>
          <w:b/>
          <w:bCs w:val="0"/>
          <w:sz w:val="32"/>
          <w:szCs w:val="32"/>
          <w:highlight w:val="none"/>
        </w:rPr>
        <w:t>与上年相比，</w:t>
      </w:r>
      <w:r>
        <w:rPr>
          <w:rFonts w:hint="eastAsia" w:ascii="仿宋_GB2312" w:eastAsia="仿宋_GB2312"/>
          <w:sz w:val="32"/>
          <w:szCs w:val="32"/>
          <w:highlight w:val="none"/>
        </w:rPr>
        <w:t>减少115.91万元，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rPr>
        <w:t>24.96%，</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：2024年末端渠系审计项目、高标准农田审计项目资金暂未支付；2024年5月</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11月分别减少工作人员2名（</w:t>
      </w:r>
      <w:r>
        <w:rPr>
          <w:rFonts w:hint="eastAsia" w:ascii="仿宋_GB2312" w:eastAsia="仿宋_GB2312"/>
          <w:sz w:val="32"/>
          <w:szCs w:val="32"/>
          <w:highlight w:val="none"/>
        </w:rPr>
        <w:t>1名工作人员辞职</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1名工作人员调入库尔勒市财政局</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；2023年补发2022年发绩效考核费用。</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eastAsia="zh-CN"/>
        </w:rPr>
        <w:t>年初预算数</w:t>
      </w:r>
      <w:r>
        <w:rPr>
          <w:rFonts w:hint="eastAsia" w:ascii="仿宋_GB2312" w:eastAsia="仿宋_GB2312"/>
          <w:sz w:val="32"/>
          <w:szCs w:val="32"/>
          <w:highlight w:val="none"/>
        </w:rPr>
        <w:t>541.16万元，决算数</w:t>
      </w:r>
      <w:r>
        <w:rPr>
          <w:rFonts w:hint="eastAsia" w:ascii="仿宋_GB2312" w:eastAsia="仿宋_GB2312"/>
          <w:sz w:val="32"/>
          <w:szCs w:val="32"/>
          <w:highlight w:val="none"/>
          <w:lang w:val="en-US" w:eastAsia="zh-CN"/>
        </w:rPr>
        <w:t>348.47</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64.39%</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2024年末端渠系审计项目、高标准农田审计项目资金暂未支付</w:t>
      </w:r>
      <w:r>
        <w:rPr>
          <w:rFonts w:hint="eastAsia" w:ascii="仿宋_GB2312" w:eastAsia="仿宋_GB2312"/>
          <w:sz w:val="32"/>
          <w:szCs w:val="32"/>
          <w:highlight w:val="none"/>
          <w:lang w:val="en-US" w:eastAsia="zh-CN"/>
        </w:rPr>
        <w:t>导致</w:t>
      </w:r>
      <w:r>
        <w:rPr>
          <w:rFonts w:hint="eastAsia" w:ascii="仿宋_GB2312" w:eastAsia="仿宋_GB2312"/>
          <w:color w:val="auto"/>
          <w:sz w:val="32"/>
          <w:szCs w:val="32"/>
          <w:highlight w:val="none"/>
          <w:lang w:val="en-US" w:eastAsia="zh-CN"/>
        </w:rPr>
        <w:t>审计业务费减少</w:t>
      </w:r>
      <w:r>
        <w:rPr>
          <w:rFonts w:hint="eastAsia" w:ascii="仿宋_GB2312" w:eastAsia="仿宋_GB2312"/>
          <w:sz w:val="32"/>
          <w:szCs w:val="32"/>
          <w:highlight w:val="none"/>
        </w:rPr>
        <w:t>；2024年5月</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11月分别减少工作人员2名（</w:t>
      </w:r>
      <w:r>
        <w:rPr>
          <w:rFonts w:hint="eastAsia" w:ascii="仿宋_GB2312" w:eastAsia="仿宋_GB2312"/>
          <w:sz w:val="32"/>
          <w:szCs w:val="32"/>
          <w:highlight w:val="none"/>
        </w:rPr>
        <w:t>1名工作人员辞职</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1名工作人员调入库尔勒市财政局</w:t>
      </w:r>
      <w:r>
        <w:rPr>
          <w:rFonts w:hint="eastAsia" w:ascii="仿宋_GB2312" w:eastAsia="仿宋_GB2312"/>
          <w:sz w:val="32"/>
          <w:szCs w:val="32"/>
          <w:highlight w:val="none"/>
          <w:lang w:eastAsia="zh-CN"/>
        </w:rPr>
        <w:t>）</w:t>
      </w:r>
      <w:r>
        <w:rPr>
          <w:rFonts w:hint="eastAsia" w:ascii="仿宋_GB2312" w:eastAsia="仿宋_GB2312"/>
          <w:color w:val="auto"/>
          <w:sz w:val="32"/>
          <w:szCs w:val="32"/>
          <w:highlight w:val="none"/>
          <w:lang w:val="en-US" w:eastAsia="zh-CN"/>
        </w:rPr>
        <w:t>导致社保、医保、住房公积金实际支出减少</w:t>
      </w:r>
      <w:r>
        <w:rPr>
          <w:rFonts w:hint="eastAsia" w:ascii="仿宋_GB2312" w:eastAsia="仿宋_GB2312"/>
          <w:color w:val="auto"/>
          <w:sz w:val="32"/>
          <w:szCs w:val="32"/>
          <w:highlight w:val="none"/>
          <w:lang w:eastAsia="zh-CN"/>
        </w:rPr>
        <w:t>；</w:t>
      </w:r>
      <w:r>
        <w:rPr>
          <w:rFonts w:hint="eastAsia" w:ascii="仿宋_GB2312" w:eastAsia="仿宋_GB2312"/>
          <w:sz w:val="32"/>
          <w:szCs w:val="32"/>
          <w:highlight w:val="none"/>
        </w:rPr>
        <w:t>2023年补发2022年发绩效考核费用</w:t>
      </w:r>
      <w:r>
        <w:rPr>
          <w:rFonts w:hint="eastAsia" w:ascii="仿宋_GB2312" w:eastAsia="仿宋_GB2312"/>
          <w:sz w:val="32"/>
          <w:szCs w:val="32"/>
          <w:highlight w:val="none"/>
          <w:lang w:val="en-US" w:eastAsia="zh-CN"/>
        </w:rPr>
        <w:t>导致行政运行经费减少，</w:t>
      </w:r>
      <w:r>
        <w:rPr>
          <w:rFonts w:hint="eastAsia" w:ascii="仿宋_GB2312" w:eastAsia="仿宋_GB2312"/>
          <w:color w:val="auto"/>
          <w:sz w:val="32"/>
          <w:szCs w:val="32"/>
          <w:highlight w:val="none"/>
          <w:lang w:val="en-US" w:eastAsia="zh-CN"/>
        </w:rPr>
        <w:t>综上所述导致预算与决算存在差异率。</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6" w:name="_Toc13833"/>
      <w:bookmarkStart w:id="17" w:name="_Toc18905"/>
      <w:r>
        <w:rPr>
          <w:rFonts w:hint="eastAsia" w:ascii="黑体" w:hAnsi="黑体" w:eastAsia="黑体" w:cs="宋体"/>
          <w:bCs/>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18" w:name="_Toc1165"/>
      <w:r>
        <w:rPr>
          <w:rFonts w:hint="eastAsia" w:ascii="黑体" w:hAnsi="黑体" w:eastAsia="黑体"/>
          <w:sz w:val="32"/>
          <w:szCs w:val="32"/>
          <w:highlight w:val="none"/>
          <w:lang w:eastAsia="zh-CN"/>
        </w:rPr>
        <w:t>（一）一般公共预算财政拨款支出决算总体情况</w:t>
      </w:r>
      <w:bookmarkEnd w:id="18"/>
    </w:p>
    <w:p>
      <w:pPr>
        <w:ind w:firstLine="643" w:firstLineChars="200"/>
        <w:jc w:val="both"/>
        <w:rPr>
          <w:rFonts w:hint="eastAsia" w:ascii="仿宋_GB2312" w:eastAsia="仿宋_GB2312"/>
          <w:spacing w:val="0"/>
          <w:sz w:val="32"/>
          <w:szCs w:val="32"/>
          <w:highlight w:val="none"/>
        </w:rPr>
      </w:pPr>
      <w:r>
        <w:rPr>
          <w:rFonts w:hint="eastAsia" w:ascii="仿宋_GB2312" w:eastAsia="仿宋_GB2312"/>
          <w:b/>
          <w:bCs/>
          <w:spacing w:val="0"/>
          <w:sz w:val="32"/>
          <w:szCs w:val="32"/>
          <w:highlight w:val="none"/>
          <w:lang w:eastAsia="zh-CN"/>
        </w:rPr>
        <w:t>2024年度一般公共预算财政拨款支出</w:t>
      </w:r>
      <w:r>
        <w:rPr>
          <w:rFonts w:hint="eastAsia" w:ascii="仿宋_GB2312" w:eastAsia="仿宋_GB2312"/>
          <w:b/>
          <w:bCs/>
          <w:spacing w:val="0"/>
          <w:sz w:val="32"/>
          <w:szCs w:val="32"/>
          <w:highlight w:val="none"/>
        </w:rPr>
        <w:t>348.47</w:t>
      </w:r>
      <w:r>
        <w:rPr>
          <w:rFonts w:hint="eastAsia" w:ascii="仿宋_GB2312" w:eastAsia="仿宋_GB2312"/>
          <w:b/>
          <w:bCs/>
          <w:spacing w:val="0"/>
          <w:sz w:val="32"/>
          <w:szCs w:val="32"/>
          <w:highlight w:val="none"/>
          <w:lang w:eastAsia="zh-CN"/>
        </w:rPr>
        <w:t>万元，</w:t>
      </w:r>
      <w:r>
        <w:rPr>
          <w:rFonts w:hint="eastAsia" w:ascii="仿宋_GB2312" w:eastAsia="仿宋_GB2312"/>
          <w:spacing w:val="0"/>
          <w:sz w:val="32"/>
          <w:szCs w:val="32"/>
          <w:highlight w:val="none"/>
          <w:lang w:eastAsia="zh-CN"/>
        </w:rPr>
        <w:t>占本年支出合计的</w:t>
      </w:r>
      <w:r>
        <w:rPr>
          <w:rFonts w:hint="eastAsia" w:ascii="仿宋_GB2312" w:eastAsia="仿宋_GB2312"/>
          <w:spacing w:val="0"/>
          <w:sz w:val="32"/>
          <w:szCs w:val="32"/>
          <w:highlight w:val="none"/>
          <w:lang w:val="en-US" w:eastAsia="zh-CN"/>
        </w:rPr>
        <w:t>100</w:t>
      </w:r>
      <w:r>
        <w:rPr>
          <w:rFonts w:hint="eastAsia" w:ascii="仿宋_GB2312" w:eastAsia="仿宋_GB2312"/>
          <w:spacing w:val="0"/>
          <w:sz w:val="32"/>
          <w:szCs w:val="32"/>
          <w:highlight w:val="none"/>
          <w:lang w:eastAsia="zh-CN"/>
        </w:rPr>
        <w:t>%。</w:t>
      </w:r>
      <w:r>
        <w:rPr>
          <w:rFonts w:hint="eastAsia" w:ascii="仿宋_GB2312" w:eastAsia="仿宋_GB2312"/>
          <w:b/>
          <w:bCs/>
          <w:spacing w:val="0"/>
          <w:sz w:val="32"/>
          <w:szCs w:val="32"/>
          <w:highlight w:val="none"/>
        </w:rPr>
        <w:t>与上年相比，</w:t>
      </w:r>
      <w:r>
        <w:rPr>
          <w:rFonts w:hint="eastAsia" w:ascii="仿宋_GB2312" w:eastAsia="仿宋_GB2312"/>
          <w:spacing w:val="0"/>
          <w:sz w:val="32"/>
          <w:szCs w:val="32"/>
          <w:highlight w:val="none"/>
        </w:rPr>
        <w:t>减少115.91</w:t>
      </w:r>
      <w:r>
        <w:rPr>
          <w:rFonts w:hint="eastAsia" w:ascii="仿宋_GB2312" w:eastAsia="仿宋_GB2312"/>
          <w:spacing w:val="0"/>
          <w:sz w:val="32"/>
          <w:szCs w:val="32"/>
          <w:highlight w:val="none"/>
          <w:lang w:val="en-US" w:eastAsia="zh-CN"/>
        </w:rPr>
        <w:t xml:space="preserve"> </w:t>
      </w:r>
      <w:r>
        <w:rPr>
          <w:rFonts w:hint="eastAsia" w:ascii="仿宋_GB2312" w:eastAsia="仿宋_GB2312"/>
          <w:spacing w:val="0"/>
          <w:sz w:val="32"/>
          <w:szCs w:val="32"/>
          <w:highlight w:val="none"/>
        </w:rPr>
        <w:t>万元，</w:t>
      </w:r>
      <w:r>
        <w:rPr>
          <w:rFonts w:hint="eastAsia" w:ascii="仿宋_GB2312" w:eastAsia="仿宋_GB2312"/>
          <w:spacing w:val="0"/>
          <w:sz w:val="32"/>
          <w:szCs w:val="32"/>
          <w:highlight w:val="none"/>
          <w:lang w:eastAsia="zh-CN"/>
        </w:rPr>
        <w:t>下降</w:t>
      </w:r>
      <w:r>
        <w:rPr>
          <w:rFonts w:hint="eastAsia" w:ascii="仿宋_GB2312" w:eastAsia="仿宋_GB2312"/>
          <w:sz w:val="32"/>
          <w:szCs w:val="32"/>
          <w:highlight w:val="none"/>
          <w:lang w:val="en-US" w:eastAsia="zh-CN"/>
        </w:rPr>
        <w:t>24.96</w:t>
      </w:r>
      <w:r>
        <w:rPr>
          <w:rFonts w:hint="eastAsia" w:ascii="仿宋_GB2312" w:eastAsia="仿宋_GB2312"/>
          <w:spacing w:val="0"/>
          <w:sz w:val="32"/>
          <w:szCs w:val="32"/>
          <w:highlight w:val="none"/>
        </w:rPr>
        <w:t>%</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rPr>
        <w:t>主要原因是：</w:t>
      </w:r>
      <w:r>
        <w:rPr>
          <w:rFonts w:hint="eastAsia" w:ascii="仿宋_GB2312" w:eastAsia="仿宋_GB2312"/>
          <w:sz w:val="32"/>
          <w:szCs w:val="32"/>
          <w:highlight w:val="none"/>
        </w:rPr>
        <w:t>2024年末端渠系审计项目、高标准农田审计项目资金暂未支付；2024年5月</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11月分别减少工作人员2名（</w:t>
      </w:r>
      <w:r>
        <w:rPr>
          <w:rFonts w:hint="eastAsia" w:ascii="仿宋_GB2312" w:eastAsia="仿宋_GB2312"/>
          <w:sz w:val="32"/>
          <w:szCs w:val="32"/>
          <w:highlight w:val="none"/>
        </w:rPr>
        <w:t>1名工作人员辞职</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1名工作人员调入库尔勒市财政局</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；2023年补发2022年发绩效考核费用</w:t>
      </w:r>
      <w:r>
        <w:rPr>
          <w:rFonts w:hint="eastAsia" w:ascii="仿宋_GB2312" w:eastAsia="仿宋_GB2312"/>
          <w:spacing w:val="0"/>
          <w:sz w:val="32"/>
          <w:szCs w:val="32"/>
          <w:highlight w:val="none"/>
        </w:rPr>
        <w:t>。</w:t>
      </w:r>
      <w:r>
        <w:rPr>
          <w:rFonts w:hint="eastAsia" w:ascii="仿宋_GB2312" w:eastAsia="仿宋_GB2312"/>
          <w:b/>
          <w:bCs/>
          <w:sz w:val="32"/>
          <w:szCs w:val="32"/>
          <w:highlight w:val="none"/>
        </w:rPr>
        <w:t>与</w:t>
      </w:r>
      <w:r>
        <w:rPr>
          <w:rFonts w:hint="eastAsia" w:ascii="仿宋_GB2312" w:eastAsia="仿宋_GB2312"/>
          <w:b/>
          <w:bCs/>
          <w:sz w:val="32"/>
          <w:szCs w:val="32"/>
          <w:highlight w:val="none"/>
          <w:lang w:eastAsia="zh-CN"/>
        </w:rPr>
        <w:t>年初预算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val="en-US" w:eastAsia="zh-CN"/>
        </w:rPr>
        <w:t>,</w:t>
      </w:r>
      <w:r>
        <w:rPr>
          <w:rFonts w:hint="eastAsia" w:ascii="仿宋_GB2312" w:eastAsia="仿宋_GB2312"/>
          <w:sz w:val="32"/>
          <w:szCs w:val="32"/>
          <w:highlight w:val="none"/>
          <w:lang w:eastAsia="zh-CN"/>
        </w:rPr>
        <w:t>年初预算数</w:t>
      </w:r>
      <w:r>
        <w:rPr>
          <w:rFonts w:hint="eastAsia" w:ascii="仿宋_GB2312" w:eastAsia="仿宋_GB2312"/>
          <w:sz w:val="32"/>
          <w:szCs w:val="32"/>
          <w:highlight w:val="none"/>
        </w:rPr>
        <w:t>541.16万元，决算数348.47万元，预决算差异率</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64.39%</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2024年末端渠系审计项目、高标准农田审计项目资金暂未支付</w:t>
      </w:r>
      <w:r>
        <w:rPr>
          <w:rFonts w:hint="eastAsia" w:ascii="仿宋_GB2312" w:eastAsia="仿宋_GB2312"/>
          <w:sz w:val="32"/>
          <w:szCs w:val="32"/>
          <w:highlight w:val="none"/>
          <w:lang w:val="en-US" w:eastAsia="zh-CN"/>
        </w:rPr>
        <w:t>导致</w:t>
      </w:r>
      <w:r>
        <w:rPr>
          <w:rFonts w:hint="eastAsia" w:ascii="仿宋_GB2312" w:eastAsia="仿宋_GB2312"/>
          <w:color w:val="auto"/>
          <w:sz w:val="32"/>
          <w:szCs w:val="32"/>
          <w:highlight w:val="none"/>
          <w:lang w:val="en-US" w:eastAsia="zh-CN"/>
        </w:rPr>
        <w:t>审计业务费减少</w:t>
      </w:r>
      <w:r>
        <w:rPr>
          <w:rFonts w:hint="eastAsia" w:ascii="仿宋_GB2312" w:eastAsia="仿宋_GB2312"/>
          <w:sz w:val="32"/>
          <w:szCs w:val="32"/>
          <w:highlight w:val="none"/>
        </w:rPr>
        <w:t>；2024年5月</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11月分别减少工作人员2名（</w:t>
      </w:r>
      <w:r>
        <w:rPr>
          <w:rFonts w:hint="eastAsia" w:ascii="仿宋_GB2312" w:eastAsia="仿宋_GB2312"/>
          <w:sz w:val="32"/>
          <w:szCs w:val="32"/>
          <w:highlight w:val="none"/>
        </w:rPr>
        <w:t>1名工作人员辞职</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1名工作人员调入库尔勒市财政局</w:t>
      </w:r>
      <w:r>
        <w:rPr>
          <w:rFonts w:hint="eastAsia" w:ascii="仿宋_GB2312" w:eastAsia="仿宋_GB2312"/>
          <w:sz w:val="32"/>
          <w:szCs w:val="32"/>
          <w:highlight w:val="none"/>
          <w:lang w:eastAsia="zh-CN"/>
        </w:rPr>
        <w:t>）</w:t>
      </w:r>
      <w:r>
        <w:rPr>
          <w:rFonts w:hint="eastAsia" w:ascii="仿宋_GB2312" w:eastAsia="仿宋_GB2312"/>
          <w:color w:val="auto"/>
          <w:sz w:val="32"/>
          <w:szCs w:val="32"/>
          <w:highlight w:val="none"/>
          <w:lang w:val="en-US" w:eastAsia="zh-CN"/>
        </w:rPr>
        <w:t>导致社保、医保、住房公积金实际支出减少</w:t>
      </w:r>
      <w:r>
        <w:rPr>
          <w:rFonts w:hint="eastAsia" w:ascii="仿宋_GB2312" w:eastAsia="仿宋_GB2312"/>
          <w:color w:val="auto"/>
          <w:sz w:val="32"/>
          <w:szCs w:val="32"/>
          <w:highlight w:val="none"/>
          <w:lang w:eastAsia="zh-CN"/>
        </w:rPr>
        <w:t>；</w:t>
      </w:r>
      <w:r>
        <w:rPr>
          <w:rFonts w:hint="eastAsia" w:ascii="仿宋_GB2312" w:eastAsia="仿宋_GB2312"/>
          <w:sz w:val="32"/>
          <w:szCs w:val="32"/>
          <w:highlight w:val="none"/>
        </w:rPr>
        <w:t>2023年补发2022年发绩效考核费用</w:t>
      </w:r>
      <w:r>
        <w:rPr>
          <w:rFonts w:hint="eastAsia" w:ascii="仿宋_GB2312" w:eastAsia="仿宋_GB2312"/>
          <w:sz w:val="32"/>
          <w:szCs w:val="32"/>
          <w:highlight w:val="none"/>
          <w:lang w:val="en-US" w:eastAsia="zh-CN"/>
        </w:rPr>
        <w:t>导致行政运行经费减少，</w:t>
      </w:r>
      <w:r>
        <w:rPr>
          <w:rFonts w:hint="eastAsia" w:ascii="仿宋_GB2312" w:eastAsia="仿宋_GB2312"/>
          <w:color w:val="auto"/>
          <w:sz w:val="32"/>
          <w:szCs w:val="32"/>
          <w:highlight w:val="none"/>
          <w:lang w:val="en-US" w:eastAsia="zh-CN"/>
        </w:rPr>
        <w:t>综上所述导致预算与决算存在差异率。</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19" w:name="_Toc27147"/>
      <w:r>
        <w:rPr>
          <w:rFonts w:hint="eastAsia" w:ascii="黑体" w:hAnsi="黑体" w:eastAsia="黑体"/>
          <w:sz w:val="32"/>
          <w:szCs w:val="32"/>
          <w:highlight w:val="none"/>
          <w:lang w:eastAsia="zh-CN"/>
        </w:rPr>
        <w:t>（二）一般公共预算</w:t>
      </w:r>
      <w:r>
        <w:rPr>
          <w:rFonts w:hint="eastAsia" w:ascii="黑体" w:hAnsi="黑体" w:eastAsia="黑体"/>
          <w:sz w:val="32"/>
          <w:szCs w:val="32"/>
          <w:highlight w:val="none"/>
          <w:lang w:val="en-US" w:eastAsia="zh-CN"/>
        </w:rPr>
        <w:t>财政拨款支出决算</w:t>
      </w:r>
      <w:r>
        <w:rPr>
          <w:rFonts w:hint="eastAsia" w:ascii="黑体" w:hAnsi="黑体" w:eastAsia="黑体"/>
          <w:sz w:val="32"/>
          <w:szCs w:val="32"/>
          <w:highlight w:val="none"/>
          <w:lang w:eastAsia="zh-CN"/>
        </w:rPr>
        <w:t>结构情况</w:t>
      </w:r>
      <w:bookmarkEnd w:id="19"/>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1.一般公共服务</w:t>
      </w:r>
      <w:r>
        <w:rPr>
          <w:rFonts w:hint="eastAsia" w:ascii="仿宋_GB2312" w:hAnsi="仿宋_GB2312" w:eastAsia="仿宋_GB2312" w:cs="仿宋_GB2312"/>
          <w:sz w:val="32"/>
          <w:szCs w:val="32"/>
          <w:highlight w:val="none"/>
          <w:lang w:val="en-US" w:eastAsia="zh-CN"/>
        </w:rPr>
        <w:t>支出</w:t>
      </w:r>
      <w:r>
        <w:rPr>
          <w:rFonts w:hint="eastAsia" w:ascii="仿宋_GB2312" w:hAnsi="仿宋_GB2312" w:eastAsia="仿宋_GB2312" w:cs="仿宋_GB2312"/>
          <w:sz w:val="32"/>
          <w:szCs w:val="32"/>
          <w:highlight w:val="none"/>
        </w:rPr>
        <w:t>（类）</w:t>
      </w:r>
      <w:r>
        <w:rPr>
          <w:rFonts w:hint="eastAsia" w:ascii="仿宋_GB2312" w:eastAsia="仿宋_GB2312"/>
          <w:spacing w:val="0"/>
          <w:sz w:val="32"/>
          <w:szCs w:val="32"/>
          <w:highlight w:val="none"/>
        </w:rPr>
        <w:t>265.84</w:t>
      </w:r>
      <w:r>
        <w:rPr>
          <w:rFonts w:hint="eastAsia" w:ascii="仿宋_GB2312" w:hAnsi="仿宋_GB2312" w:eastAsia="仿宋_GB2312" w:cs="仿宋_GB2312"/>
          <w:kern w:val="0"/>
          <w:sz w:val="32"/>
          <w:szCs w:val="32"/>
          <w:highlight w:val="none"/>
        </w:rPr>
        <w:t>万元，占</w:t>
      </w:r>
      <w:r>
        <w:rPr>
          <w:rFonts w:hint="eastAsia" w:ascii="仿宋_GB2312" w:eastAsia="仿宋_GB2312"/>
          <w:spacing w:val="0"/>
          <w:sz w:val="32"/>
          <w:szCs w:val="32"/>
          <w:highlight w:val="none"/>
        </w:rPr>
        <w:t>76.2</w:t>
      </w:r>
      <w:r>
        <w:rPr>
          <w:rFonts w:hint="eastAsia" w:ascii="仿宋_GB2312" w:eastAsia="仿宋_GB2312"/>
          <w:spacing w:val="0"/>
          <w:sz w:val="32"/>
          <w:szCs w:val="32"/>
          <w:highlight w:val="none"/>
          <w:lang w:val="en-US" w:eastAsia="zh-CN"/>
        </w:rPr>
        <w:t>9</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2.教育支出（类）1.36万元，占0.39%；</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3.社会保障和就业支出（类）42.20万元，占12.11%；</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4.卫生健康支出（类）15.70万元，占4.7</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5.住房保障支出（类）20.74万元，占6.5</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20" w:name="_Toc10037"/>
      <w:r>
        <w:rPr>
          <w:rFonts w:hint="eastAsia" w:ascii="黑体" w:hAnsi="黑体" w:eastAsia="黑体"/>
          <w:sz w:val="32"/>
          <w:szCs w:val="32"/>
          <w:highlight w:val="none"/>
          <w:lang w:eastAsia="zh-CN"/>
        </w:rPr>
        <w:t>（三）一般公共预算财政拨款支出决算具体情况</w:t>
      </w:r>
      <w:bookmarkEnd w:id="20"/>
    </w:p>
    <w:p>
      <w:pPr>
        <w:ind w:firstLine="640" w:firstLineChars="200"/>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1.一般公共服务支出（类）财政事务（款）行政运行（项）: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为208.42万元，比上年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减少14.11万元，下降6.34%，主要原因是：</w:t>
      </w:r>
      <w:r>
        <w:rPr>
          <w:rFonts w:hint="eastAsia" w:ascii="仿宋_GB2312" w:eastAsia="仿宋_GB2312"/>
          <w:sz w:val="32"/>
          <w:szCs w:val="32"/>
          <w:highlight w:val="none"/>
        </w:rPr>
        <w:t>2024年5月</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11月分别减少工作人员2名（</w:t>
      </w:r>
      <w:r>
        <w:rPr>
          <w:rFonts w:hint="eastAsia" w:ascii="仿宋_GB2312" w:eastAsia="仿宋_GB2312"/>
          <w:sz w:val="32"/>
          <w:szCs w:val="32"/>
          <w:highlight w:val="none"/>
        </w:rPr>
        <w:t>1名工作人员辞职</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1名工作人员调入库尔勒市财政局</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导致人员经费减少，</w:t>
      </w:r>
      <w:r>
        <w:rPr>
          <w:rFonts w:hint="eastAsia" w:eastAsia="仿宋_GB2312"/>
          <w:bCs/>
          <w:sz w:val="32"/>
          <w:szCs w:val="32"/>
          <w:highlight w:val="none"/>
        </w:rPr>
        <w:t>因此</w:t>
      </w:r>
      <w:r>
        <w:rPr>
          <w:rFonts w:hint="eastAsia" w:ascii="仿宋_GB2312" w:eastAsia="仿宋_GB2312"/>
          <w:sz w:val="32"/>
          <w:szCs w:val="32"/>
          <w:highlight w:val="none"/>
          <w:lang w:val="en-US" w:eastAsia="zh-CN"/>
        </w:rPr>
        <w:t>导致</w:t>
      </w:r>
      <w:r>
        <w:rPr>
          <w:rFonts w:hint="eastAsia" w:eastAsia="仿宋_GB2312"/>
          <w:bCs/>
          <w:sz w:val="32"/>
          <w:szCs w:val="32"/>
          <w:highlight w:val="none"/>
        </w:rPr>
        <w:t>行政运行支出决算数较上年</w:t>
      </w:r>
      <w:r>
        <w:rPr>
          <w:rFonts w:hint="eastAsia" w:eastAsia="仿宋_GB2312"/>
          <w:bCs/>
          <w:sz w:val="32"/>
          <w:szCs w:val="32"/>
          <w:highlight w:val="none"/>
          <w:lang w:val="en-US" w:eastAsia="zh-CN"/>
        </w:rPr>
        <w:t>减少</w:t>
      </w:r>
      <w:r>
        <w:rPr>
          <w:rFonts w:hint="eastAsia" w:eastAsia="仿宋_GB2312"/>
          <w:bCs/>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highlight w:val="none"/>
          <w:lang w:eastAsia="zh-CN"/>
        </w:rPr>
      </w:pPr>
      <w:bookmarkStart w:id="21" w:name="_Toc23415"/>
      <w:bookmarkStart w:id="22" w:name="_Toc11146"/>
      <w:r>
        <w:rPr>
          <w:rFonts w:hint="eastAsia" w:ascii="仿宋_GB2312" w:hAnsi="仿宋_GB2312" w:eastAsia="仿宋_GB2312" w:cs="仿宋_GB2312"/>
          <w:kern w:val="0"/>
          <w:sz w:val="32"/>
          <w:szCs w:val="32"/>
          <w:highlight w:val="none"/>
        </w:rPr>
        <w:t>2.一般公共服务支出（类）审计事务（款）审计业务（项）:支出决算数为57.42万元，比上年决算</w:t>
      </w:r>
      <w:r>
        <w:rPr>
          <w:rFonts w:hint="eastAsia" w:ascii="仿宋_GB2312" w:hAnsi="仿宋_GB2312" w:eastAsia="仿宋_GB2312" w:cs="仿宋_GB2312"/>
          <w:kern w:val="0"/>
          <w:sz w:val="32"/>
          <w:szCs w:val="32"/>
          <w:highlight w:val="none"/>
          <w:lang w:val="en-US" w:eastAsia="zh-CN"/>
        </w:rPr>
        <w:t>减少</w:t>
      </w:r>
      <w:r>
        <w:rPr>
          <w:rFonts w:hint="eastAsia" w:ascii="仿宋_GB2312" w:hAnsi="仿宋_GB2312" w:eastAsia="仿宋_GB2312" w:cs="仿宋_GB2312"/>
          <w:kern w:val="0"/>
          <w:sz w:val="32"/>
          <w:szCs w:val="32"/>
          <w:highlight w:val="none"/>
        </w:rPr>
        <w:t>75.62万元，</w:t>
      </w:r>
      <w:r>
        <w:rPr>
          <w:rFonts w:hint="eastAsia" w:ascii="仿宋_GB2312" w:hAnsi="仿宋_GB2312" w:eastAsia="仿宋_GB2312" w:cs="仿宋_GB2312"/>
          <w:kern w:val="0"/>
          <w:sz w:val="32"/>
          <w:szCs w:val="32"/>
          <w:highlight w:val="none"/>
          <w:lang w:val="en-US" w:eastAsia="zh-CN"/>
        </w:rPr>
        <w:t>减少</w:t>
      </w:r>
      <w:r>
        <w:rPr>
          <w:rFonts w:hint="eastAsia" w:ascii="仿宋_GB2312" w:hAnsi="仿宋_GB2312" w:eastAsia="仿宋_GB2312" w:cs="仿宋_GB2312"/>
          <w:kern w:val="0"/>
          <w:sz w:val="32"/>
          <w:szCs w:val="32"/>
          <w:highlight w:val="none"/>
        </w:rPr>
        <w:t>56.84%，主要原因是：</w:t>
      </w:r>
      <w:r>
        <w:rPr>
          <w:rFonts w:hint="eastAsia" w:ascii="仿宋_GB2312" w:eastAsia="仿宋_GB2312"/>
          <w:sz w:val="32"/>
          <w:szCs w:val="32"/>
          <w:highlight w:val="none"/>
        </w:rPr>
        <w:t>2024年末端渠系审计项目、高标准农田审计项目资金暂未支付</w:t>
      </w:r>
      <w:r>
        <w:rPr>
          <w:rFonts w:hint="eastAsia" w:ascii="仿宋_GB2312" w:eastAsia="仿宋_GB2312"/>
          <w:sz w:val="32"/>
          <w:szCs w:val="32"/>
          <w:highlight w:val="none"/>
          <w:lang w:eastAsia="zh-CN"/>
        </w:rPr>
        <w:t>，</w:t>
      </w:r>
      <w:r>
        <w:rPr>
          <w:rFonts w:hint="eastAsia" w:eastAsia="仿宋_GB2312"/>
          <w:bCs/>
          <w:sz w:val="32"/>
          <w:szCs w:val="32"/>
          <w:highlight w:val="none"/>
        </w:rPr>
        <w:t>因此</w:t>
      </w:r>
      <w:r>
        <w:rPr>
          <w:rFonts w:hint="eastAsia" w:ascii="仿宋_GB2312" w:eastAsia="仿宋_GB2312"/>
          <w:sz w:val="32"/>
          <w:szCs w:val="32"/>
          <w:highlight w:val="none"/>
          <w:lang w:val="en-US" w:eastAsia="zh-CN"/>
        </w:rPr>
        <w:t>导致</w:t>
      </w:r>
      <w:r>
        <w:rPr>
          <w:rFonts w:hint="eastAsia" w:ascii="仿宋_GB2312" w:eastAsia="仿宋_GB2312"/>
          <w:color w:val="auto"/>
          <w:sz w:val="32"/>
          <w:szCs w:val="32"/>
          <w:highlight w:val="none"/>
          <w:lang w:val="en-US" w:eastAsia="zh-CN"/>
        </w:rPr>
        <w:t>审计业务费减少</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3.教育支出（类）进修及培训（款）培训支出（项）:支出决算数为1.36万元，比上年决算增加0.78万元，增长134.48%，主要原因是：2024年3月、10月、11-12月本单位各有1名工作人员前往南京审计</w:t>
      </w:r>
      <w:r>
        <w:rPr>
          <w:rFonts w:hint="eastAsia" w:ascii="仿宋_GB2312" w:hAnsi="仿宋_GB2312" w:eastAsia="仿宋_GB2312" w:cs="仿宋_GB2312"/>
          <w:kern w:val="0"/>
          <w:sz w:val="32"/>
          <w:szCs w:val="32"/>
          <w:highlight w:val="none"/>
          <w:lang w:val="en-US" w:eastAsia="zh-CN"/>
        </w:rPr>
        <w:t>外出</w:t>
      </w:r>
      <w:r>
        <w:rPr>
          <w:rFonts w:hint="eastAsia" w:ascii="仿宋_GB2312" w:hAnsi="仿宋_GB2312" w:eastAsia="仿宋_GB2312" w:cs="仿宋_GB2312"/>
          <w:kern w:val="0"/>
          <w:sz w:val="32"/>
          <w:szCs w:val="32"/>
          <w:highlight w:val="none"/>
        </w:rPr>
        <w:t>培训，培训人次较上年增加，因此培训支出决算数较上年增加。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4.社会保障和就业支出（类）行政事业单位养老支出（款）行政单位离退休（项）:支出决算数为13.91万元，比上年决算</w:t>
      </w:r>
      <w:r>
        <w:rPr>
          <w:rFonts w:hint="eastAsia" w:ascii="仿宋_GB2312" w:hAnsi="仿宋_GB2312" w:eastAsia="仿宋_GB2312" w:cs="仿宋_GB2312"/>
          <w:kern w:val="0"/>
          <w:sz w:val="32"/>
          <w:szCs w:val="32"/>
          <w:highlight w:val="none"/>
          <w:lang w:val="en-US" w:eastAsia="zh-CN"/>
        </w:rPr>
        <w:t>减少</w:t>
      </w:r>
      <w:r>
        <w:rPr>
          <w:rFonts w:hint="eastAsia" w:ascii="仿宋_GB2312" w:hAnsi="仿宋_GB2312" w:eastAsia="仿宋_GB2312" w:cs="仿宋_GB2312"/>
          <w:kern w:val="0"/>
          <w:sz w:val="32"/>
          <w:szCs w:val="32"/>
          <w:highlight w:val="none"/>
        </w:rPr>
        <w:t>24.93万元，</w:t>
      </w:r>
      <w:r>
        <w:rPr>
          <w:rFonts w:hint="eastAsia" w:ascii="仿宋_GB2312" w:hAnsi="仿宋_GB2312" w:eastAsia="仿宋_GB2312" w:cs="仿宋_GB2312"/>
          <w:kern w:val="0"/>
          <w:sz w:val="32"/>
          <w:szCs w:val="32"/>
          <w:highlight w:val="none"/>
          <w:lang w:val="en-US" w:eastAsia="zh-CN"/>
        </w:rPr>
        <w:t>减少</w:t>
      </w:r>
      <w:r>
        <w:rPr>
          <w:rFonts w:hint="eastAsia" w:ascii="仿宋_GB2312" w:hAnsi="仿宋_GB2312" w:eastAsia="仿宋_GB2312" w:cs="仿宋_GB2312"/>
          <w:kern w:val="0"/>
          <w:sz w:val="32"/>
          <w:szCs w:val="32"/>
          <w:highlight w:val="none"/>
        </w:rPr>
        <w:t>64.1</w:t>
      </w:r>
      <w:r>
        <w:rPr>
          <w:rFonts w:hint="eastAsia" w:ascii="仿宋_GB2312" w:hAnsi="仿宋_GB2312" w:eastAsia="仿宋_GB2312" w:cs="仿宋_GB2312"/>
          <w:kern w:val="0"/>
          <w:sz w:val="32"/>
          <w:szCs w:val="32"/>
          <w:highlight w:val="none"/>
          <w:lang w:val="en-US" w:eastAsia="zh-CN"/>
        </w:rPr>
        <w:t>7</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2023年</w:t>
      </w:r>
      <w:r>
        <w:rPr>
          <w:rFonts w:hint="eastAsia" w:ascii="仿宋_GB2312" w:hAnsi="仿宋_GB2312" w:eastAsia="仿宋_GB2312" w:cs="仿宋_GB2312"/>
          <w:kern w:val="0"/>
          <w:sz w:val="32"/>
          <w:szCs w:val="32"/>
          <w:highlight w:val="none"/>
        </w:rPr>
        <w:t>退休人员增加2人，一名退休人员死亡，增加死亡抚恤金</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2024年退休人员无变化</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因此行政单位离退休支出决算数较上年</w:t>
      </w:r>
      <w:r>
        <w:rPr>
          <w:rFonts w:hint="eastAsia" w:ascii="仿宋_GB2312" w:hAnsi="仿宋_GB2312" w:eastAsia="仿宋_GB2312" w:cs="仿宋_GB2312"/>
          <w:kern w:val="0"/>
          <w:sz w:val="32"/>
          <w:szCs w:val="32"/>
          <w:highlight w:val="none"/>
          <w:lang w:val="en-US" w:eastAsia="zh-CN"/>
        </w:rPr>
        <w:t>减少</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5.社会保障和就业支出（类）行政事业单位养老支出（款）机关事业单位基本养老保险缴费支出（项）:支出决算数为28.30万元，比上年决算</w:t>
      </w:r>
      <w:r>
        <w:rPr>
          <w:rFonts w:hint="eastAsia" w:ascii="仿宋_GB2312" w:hAnsi="仿宋_GB2312" w:eastAsia="仿宋_GB2312" w:cs="仿宋_GB2312"/>
          <w:kern w:val="0"/>
          <w:sz w:val="32"/>
          <w:szCs w:val="32"/>
          <w:highlight w:val="none"/>
          <w:lang w:val="en-US" w:eastAsia="zh-CN"/>
        </w:rPr>
        <w:t>增加</w:t>
      </w:r>
      <w:r>
        <w:rPr>
          <w:rFonts w:hint="eastAsia" w:ascii="仿宋_GB2312" w:hAnsi="仿宋_GB2312" w:eastAsia="仿宋_GB2312" w:cs="仿宋_GB2312"/>
          <w:kern w:val="0"/>
          <w:sz w:val="32"/>
          <w:szCs w:val="32"/>
          <w:highlight w:val="none"/>
        </w:rPr>
        <w:t>2.72万元，</w:t>
      </w:r>
      <w:r>
        <w:rPr>
          <w:rFonts w:hint="eastAsia" w:ascii="仿宋_GB2312" w:hAnsi="仿宋_GB2312" w:eastAsia="仿宋_GB2312" w:cs="仿宋_GB2312"/>
          <w:kern w:val="0"/>
          <w:sz w:val="32"/>
          <w:szCs w:val="32"/>
          <w:highlight w:val="none"/>
          <w:lang w:val="en-US" w:eastAsia="zh-CN"/>
        </w:rPr>
        <w:t>增加</w:t>
      </w:r>
      <w:r>
        <w:rPr>
          <w:rFonts w:hint="eastAsia" w:ascii="仿宋_GB2312" w:hAnsi="仿宋_GB2312" w:eastAsia="仿宋_GB2312" w:cs="仿宋_GB2312"/>
          <w:kern w:val="0"/>
          <w:sz w:val="32"/>
          <w:szCs w:val="32"/>
          <w:highlight w:val="none"/>
        </w:rPr>
        <w:t>10.63%，主要原因是：</w:t>
      </w:r>
      <w:r>
        <w:rPr>
          <w:rFonts w:hint="eastAsia" w:ascii="仿宋_GB2312" w:hAnsi="仿宋_GB2312" w:eastAsia="仿宋_GB2312" w:cs="仿宋_GB2312"/>
          <w:kern w:val="0"/>
          <w:sz w:val="32"/>
          <w:szCs w:val="32"/>
          <w:highlight w:val="none"/>
          <w:lang w:val="en-US" w:eastAsia="zh-CN"/>
        </w:rPr>
        <w:t>2024年8月新招录两名2公务员</w:t>
      </w:r>
      <w:r>
        <w:rPr>
          <w:rFonts w:hint="eastAsia" w:ascii="仿宋_GB2312" w:hAnsi="仿宋_GB2312" w:eastAsia="仿宋_GB2312" w:cs="仿宋_GB2312"/>
          <w:kern w:val="0"/>
          <w:sz w:val="32"/>
          <w:szCs w:val="32"/>
          <w:highlight w:val="none"/>
        </w:rPr>
        <w:t>，因此机关事业单位基本养老保险缴费支出决算数较上年</w:t>
      </w:r>
      <w:r>
        <w:rPr>
          <w:rFonts w:hint="eastAsia" w:ascii="仿宋_GB2312" w:hAnsi="仿宋_GB2312" w:eastAsia="仿宋_GB2312" w:cs="仿宋_GB2312"/>
          <w:kern w:val="0"/>
          <w:sz w:val="32"/>
          <w:szCs w:val="32"/>
          <w:highlight w:val="none"/>
          <w:lang w:val="en-US" w:eastAsia="zh-CN"/>
        </w:rPr>
        <w:t>增加</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6</w:t>
      </w:r>
      <w:r>
        <w:rPr>
          <w:rFonts w:hint="eastAsia" w:ascii="仿宋_GB2312" w:hAnsi="仿宋_GB2312" w:eastAsia="仿宋_GB2312" w:cs="仿宋_GB2312"/>
          <w:kern w:val="0"/>
          <w:sz w:val="32"/>
          <w:szCs w:val="32"/>
          <w:highlight w:val="none"/>
        </w:rPr>
        <w:t>.卫生健康支出（类）行政事业单位医疗（款）行政单位医疗（项）:支出决算数为16.40万元，比上年决算</w:t>
      </w:r>
      <w:r>
        <w:rPr>
          <w:rFonts w:hint="eastAsia" w:ascii="仿宋_GB2312" w:hAnsi="仿宋_GB2312" w:eastAsia="仿宋_GB2312" w:cs="仿宋_GB2312"/>
          <w:kern w:val="0"/>
          <w:sz w:val="32"/>
          <w:szCs w:val="32"/>
          <w:highlight w:val="none"/>
          <w:lang w:val="en-US" w:eastAsia="zh-CN"/>
        </w:rPr>
        <w:t>增加</w:t>
      </w:r>
      <w:r>
        <w:rPr>
          <w:rFonts w:hint="eastAsia" w:ascii="仿宋_GB2312" w:hAnsi="仿宋_GB2312" w:eastAsia="仿宋_GB2312" w:cs="仿宋_GB2312"/>
          <w:kern w:val="0"/>
          <w:sz w:val="32"/>
          <w:szCs w:val="32"/>
          <w:highlight w:val="none"/>
        </w:rPr>
        <w:t>2.93万元，</w:t>
      </w:r>
      <w:r>
        <w:rPr>
          <w:rFonts w:hint="eastAsia" w:ascii="仿宋_GB2312" w:hAnsi="仿宋_GB2312" w:eastAsia="仿宋_GB2312" w:cs="仿宋_GB2312"/>
          <w:kern w:val="0"/>
          <w:sz w:val="32"/>
          <w:szCs w:val="32"/>
          <w:highlight w:val="none"/>
          <w:lang w:val="en-US" w:eastAsia="zh-CN"/>
        </w:rPr>
        <w:t>增加</w:t>
      </w:r>
      <w:r>
        <w:rPr>
          <w:rFonts w:hint="eastAsia" w:ascii="仿宋_GB2312" w:hAnsi="仿宋_GB2312" w:eastAsia="仿宋_GB2312" w:cs="仿宋_GB2312"/>
          <w:kern w:val="0"/>
          <w:sz w:val="32"/>
          <w:szCs w:val="32"/>
          <w:highlight w:val="none"/>
        </w:rPr>
        <w:t>18.66%，主要原因是：</w:t>
      </w:r>
      <w:r>
        <w:rPr>
          <w:rFonts w:hint="eastAsia" w:ascii="仿宋_GB2312" w:hAnsi="仿宋_GB2312" w:eastAsia="仿宋_GB2312" w:cs="仿宋_GB2312"/>
          <w:kern w:val="0"/>
          <w:sz w:val="32"/>
          <w:szCs w:val="32"/>
          <w:highlight w:val="none"/>
          <w:lang w:val="en-US" w:eastAsia="zh-CN"/>
        </w:rPr>
        <w:t>2024年8月新招录两名2公务员</w:t>
      </w:r>
      <w:r>
        <w:rPr>
          <w:rFonts w:hint="eastAsia" w:ascii="仿宋_GB2312" w:hAnsi="仿宋_GB2312" w:eastAsia="仿宋_GB2312" w:cs="仿宋_GB2312"/>
          <w:kern w:val="0"/>
          <w:sz w:val="32"/>
          <w:szCs w:val="32"/>
          <w:highlight w:val="none"/>
        </w:rPr>
        <w:t>，因此行政单位医疗支出决算数较上年</w:t>
      </w:r>
      <w:r>
        <w:rPr>
          <w:rFonts w:hint="eastAsia" w:ascii="仿宋_GB2312" w:hAnsi="仿宋_GB2312" w:eastAsia="仿宋_GB2312" w:cs="仿宋_GB2312"/>
          <w:kern w:val="0"/>
          <w:sz w:val="32"/>
          <w:szCs w:val="32"/>
          <w:highlight w:val="none"/>
          <w:lang w:val="en-US" w:eastAsia="zh-CN"/>
        </w:rPr>
        <w:t>增加</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7</w:t>
      </w:r>
      <w:r>
        <w:rPr>
          <w:rFonts w:hint="eastAsia" w:ascii="仿宋_GB2312" w:hAnsi="仿宋_GB2312" w:eastAsia="仿宋_GB2312" w:cs="仿宋_GB2312"/>
          <w:kern w:val="0"/>
          <w:sz w:val="32"/>
          <w:szCs w:val="32"/>
          <w:highlight w:val="none"/>
        </w:rPr>
        <w:t>.卫生健康支出（类）行政事业单位医疗（款）公务员医疗补助（项）:支出决算数为3.62万元，比上年决算</w:t>
      </w:r>
      <w:r>
        <w:rPr>
          <w:rFonts w:hint="eastAsia" w:ascii="仿宋_GB2312" w:hAnsi="仿宋_GB2312" w:eastAsia="仿宋_GB2312" w:cs="仿宋_GB2312"/>
          <w:kern w:val="0"/>
          <w:sz w:val="32"/>
          <w:szCs w:val="32"/>
          <w:highlight w:val="none"/>
          <w:lang w:val="en-US" w:eastAsia="zh-CN"/>
        </w:rPr>
        <w:t>增加</w:t>
      </w:r>
      <w:r>
        <w:rPr>
          <w:rFonts w:hint="eastAsia" w:ascii="仿宋_GB2312" w:hAnsi="仿宋_GB2312" w:eastAsia="仿宋_GB2312" w:cs="仿宋_GB2312"/>
          <w:kern w:val="0"/>
          <w:sz w:val="32"/>
          <w:szCs w:val="32"/>
          <w:highlight w:val="none"/>
        </w:rPr>
        <w:t>0.37万元，</w:t>
      </w:r>
      <w:r>
        <w:rPr>
          <w:rFonts w:hint="eastAsia" w:ascii="仿宋_GB2312" w:hAnsi="仿宋_GB2312" w:eastAsia="仿宋_GB2312" w:cs="仿宋_GB2312"/>
          <w:kern w:val="0"/>
          <w:sz w:val="32"/>
          <w:szCs w:val="32"/>
          <w:highlight w:val="none"/>
          <w:lang w:val="en-US" w:eastAsia="zh-CN"/>
        </w:rPr>
        <w:t>增加</w:t>
      </w:r>
      <w:r>
        <w:rPr>
          <w:rFonts w:hint="eastAsia" w:ascii="仿宋_GB2312" w:hAnsi="仿宋_GB2312" w:eastAsia="仿宋_GB2312" w:cs="仿宋_GB2312"/>
          <w:kern w:val="0"/>
          <w:sz w:val="32"/>
          <w:szCs w:val="32"/>
          <w:highlight w:val="none"/>
        </w:rPr>
        <w:t>11.38%，主要原因是：</w:t>
      </w:r>
      <w:r>
        <w:rPr>
          <w:rFonts w:hint="eastAsia" w:ascii="仿宋_GB2312" w:hAnsi="仿宋_GB2312" w:eastAsia="仿宋_GB2312" w:cs="仿宋_GB2312"/>
          <w:kern w:val="0"/>
          <w:sz w:val="32"/>
          <w:szCs w:val="32"/>
          <w:highlight w:val="none"/>
          <w:lang w:val="en-US" w:eastAsia="zh-CN"/>
        </w:rPr>
        <w:t>2024年8月新招录两名2公务员</w:t>
      </w:r>
      <w:r>
        <w:rPr>
          <w:rFonts w:hint="eastAsia" w:ascii="仿宋_GB2312" w:hAnsi="仿宋_GB2312" w:eastAsia="仿宋_GB2312" w:cs="仿宋_GB2312"/>
          <w:kern w:val="0"/>
          <w:sz w:val="32"/>
          <w:szCs w:val="32"/>
          <w:highlight w:val="none"/>
        </w:rPr>
        <w:t>，因此公务员医疗补助支出决算数较上年</w:t>
      </w:r>
      <w:r>
        <w:rPr>
          <w:rFonts w:hint="eastAsia" w:ascii="仿宋_GB2312" w:hAnsi="仿宋_GB2312" w:eastAsia="仿宋_GB2312" w:cs="仿宋_GB2312"/>
          <w:kern w:val="0"/>
          <w:sz w:val="32"/>
          <w:szCs w:val="32"/>
          <w:highlight w:val="none"/>
          <w:lang w:val="en-US" w:eastAsia="zh-CN"/>
        </w:rPr>
        <w:t>增加</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8</w:t>
      </w:r>
      <w:r>
        <w:rPr>
          <w:rFonts w:hint="eastAsia" w:ascii="仿宋_GB2312" w:hAnsi="仿宋_GB2312" w:eastAsia="仿宋_GB2312" w:cs="仿宋_GB2312"/>
          <w:kern w:val="0"/>
          <w:sz w:val="32"/>
          <w:szCs w:val="32"/>
          <w:highlight w:val="none"/>
        </w:rPr>
        <w:t>.住房保障支出（类）住房改革支出（款）住房公积金（项）:支出决算数为22.68万元，比上年决算</w:t>
      </w:r>
      <w:r>
        <w:rPr>
          <w:rFonts w:hint="eastAsia" w:ascii="仿宋_GB2312" w:hAnsi="仿宋_GB2312" w:eastAsia="仿宋_GB2312" w:cs="仿宋_GB2312"/>
          <w:kern w:val="0"/>
          <w:sz w:val="32"/>
          <w:szCs w:val="32"/>
          <w:highlight w:val="none"/>
          <w:lang w:val="en-US" w:eastAsia="zh-CN"/>
        </w:rPr>
        <w:t>增加</w:t>
      </w:r>
      <w:r>
        <w:rPr>
          <w:rFonts w:hint="eastAsia" w:ascii="仿宋_GB2312" w:hAnsi="仿宋_GB2312" w:eastAsia="仿宋_GB2312" w:cs="仿宋_GB2312"/>
          <w:kern w:val="0"/>
          <w:sz w:val="32"/>
          <w:szCs w:val="32"/>
          <w:highlight w:val="none"/>
        </w:rPr>
        <w:t>1.94万元，</w:t>
      </w:r>
      <w:r>
        <w:rPr>
          <w:rFonts w:hint="eastAsia" w:ascii="仿宋_GB2312" w:hAnsi="仿宋_GB2312" w:eastAsia="仿宋_GB2312" w:cs="仿宋_GB2312"/>
          <w:kern w:val="0"/>
          <w:sz w:val="32"/>
          <w:szCs w:val="32"/>
          <w:highlight w:val="none"/>
          <w:lang w:val="en-US" w:eastAsia="zh-CN"/>
        </w:rPr>
        <w:t>增加</w:t>
      </w:r>
      <w:r>
        <w:rPr>
          <w:rFonts w:hint="eastAsia" w:ascii="仿宋_GB2312" w:hAnsi="仿宋_GB2312" w:eastAsia="仿宋_GB2312" w:cs="仿宋_GB2312"/>
          <w:kern w:val="0"/>
          <w:sz w:val="32"/>
          <w:szCs w:val="32"/>
          <w:highlight w:val="none"/>
        </w:rPr>
        <w:t>9.35%，主要原因是：</w:t>
      </w:r>
      <w:r>
        <w:rPr>
          <w:rFonts w:hint="eastAsia" w:ascii="仿宋_GB2312" w:hAnsi="仿宋_GB2312" w:eastAsia="仿宋_GB2312" w:cs="仿宋_GB2312"/>
          <w:kern w:val="0"/>
          <w:sz w:val="32"/>
          <w:szCs w:val="32"/>
          <w:highlight w:val="none"/>
          <w:lang w:val="en-US" w:eastAsia="zh-CN"/>
        </w:rPr>
        <w:t>2024年8月新招录两名2公务员</w:t>
      </w:r>
      <w:r>
        <w:rPr>
          <w:rFonts w:hint="eastAsia" w:ascii="仿宋_GB2312" w:hAnsi="仿宋_GB2312" w:eastAsia="仿宋_GB2312" w:cs="仿宋_GB2312"/>
          <w:kern w:val="0"/>
          <w:sz w:val="32"/>
          <w:szCs w:val="32"/>
          <w:highlight w:val="none"/>
        </w:rPr>
        <w:t>，因此住房公积金支出决算数较上年</w:t>
      </w:r>
      <w:r>
        <w:rPr>
          <w:rFonts w:hint="eastAsia" w:ascii="仿宋_GB2312" w:hAnsi="仿宋_GB2312" w:eastAsia="仿宋_GB2312" w:cs="仿宋_GB2312"/>
          <w:kern w:val="0"/>
          <w:sz w:val="32"/>
          <w:szCs w:val="32"/>
          <w:highlight w:val="none"/>
          <w:lang w:val="en-US" w:eastAsia="zh-CN"/>
        </w:rPr>
        <w:t>增加</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六、一般公共预算财政拨款基本支出决算情况说明</w:t>
      </w:r>
      <w:bookmarkEnd w:id="21"/>
      <w:bookmarkEnd w:id="22"/>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rPr>
        <w:t>一般公共预算财政拨款基本支出291.06万元，其中：</w:t>
      </w:r>
      <w:r>
        <w:rPr>
          <w:rFonts w:hint="eastAsia" w:ascii="仿宋_GB2312" w:eastAsia="仿宋_GB2312"/>
          <w:b/>
          <w:bCs/>
          <w:sz w:val="32"/>
          <w:szCs w:val="32"/>
          <w:highlight w:val="none"/>
        </w:rPr>
        <w:t>人员经费279.68万元，</w:t>
      </w:r>
      <w:r>
        <w:rPr>
          <w:rFonts w:hint="eastAsia" w:ascii="仿宋_GB2312" w:eastAsia="仿宋_GB2312"/>
          <w:sz w:val="32"/>
          <w:szCs w:val="32"/>
          <w:highlight w:val="none"/>
        </w:rPr>
        <w:t>包括：基本工资</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津贴补贴</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奖金</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机关事业单位基本养老保险缴费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职工基本医疗保险缴费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公务员医疗补助缴费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其他社会保障缴费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住房公积金</w:t>
      </w:r>
      <w:r>
        <w:rPr>
          <w:rFonts w:hint="eastAsia" w:ascii="仿宋_GB2312" w:eastAsia="仿宋_GB2312"/>
          <w:sz w:val="32"/>
          <w:szCs w:val="32"/>
          <w:highlight w:val="none"/>
          <w:lang w:eastAsia="zh-CN"/>
        </w:rPr>
        <w:t>、退休费。</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hAnsi="宋体" w:eastAsia="仿宋_GB2312" w:cs="宋体"/>
          <w:kern w:val="0"/>
          <w:sz w:val="32"/>
          <w:szCs w:val="32"/>
          <w:highlight w:val="none"/>
        </w:rPr>
      </w:pPr>
      <w:r>
        <w:rPr>
          <w:rFonts w:hint="eastAsia" w:ascii="仿宋_GB2312" w:eastAsia="仿宋_GB2312"/>
          <w:b/>
          <w:bCs/>
          <w:sz w:val="32"/>
          <w:szCs w:val="32"/>
          <w:highlight w:val="none"/>
        </w:rPr>
        <w:t>公用经费11.38万元，</w:t>
      </w:r>
      <w:r>
        <w:rPr>
          <w:rFonts w:hint="eastAsia" w:ascii="仿宋_GB2312" w:eastAsia="仿宋_GB2312"/>
          <w:sz w:val="32"/>
          <w:szCs w:val="32"/>
          <w:highlight w:val="none"/>
        </w:rPr>
        <w:t>包括：办公费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差旅费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培训费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工会经费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福利费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公务用车运行维护费</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val="en-US" w:eastAsia="zh-CN"/>
        </w:rPr>
      </w:pPr>
      <w:bookmarkStart w:id="23" w:name="_Toc7523"/>
      <w:bookmarkStart w:id="24" w:name="_Toc7927"/>
      <w:r>
        <w:rPr>
          <w:rFonts w:hint="eastAsia" w:ascii="黑体" w:hAnsi="黑体" w:eastAsia="黑体" w:cs="宋体"/>
          <w:bCs/>
          <w:kern w:val="0"/>
          <w:sz w:val="32"/>
          <w:szCs w:val="32"/>
          <w:highlight w:val="none"/>
          <w:lang w:val="en-US" w:eastAsia="zh-CN"/>
        </w:rPr>
        <w:t>七、政府性基金预算财政拨款收入支出决算情况说明</w:t>
      </w:r>
      <w:bookmarkEnd w:id="23"/>
      <w:bookmarkEnd w:id="24"/>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我</w:t>
      </w:r>
      <w:r>
        <w:rPr>
          <w:rFonts w:hint="eastAsia" w:ascii="仿宋_GB2312" w:eastAsia="仿宋_GB2312"/>
          <w:sz w:val="32"/>
          <w:szCs w:val="32"/>
          <w:highlight w:val="none"/>
          <w:lang w:val="en-US" w:eastAsia="zh-CN"/>
        </w:rPr>
        <w:t>部门</w:t>
      </w:r>
      <w:r>
        <w:rPr>
          <w:rFonts w:hint="eastAsia" w:ascii="仿宋_GB2312" w:eastAsia="仿宋_GB2312"/>
          <w:sz w:val="32"/>
          <w:szCs w:val="32"/>
          <w:highlight w:val="none"/>
          <w:lang w:eastAsia="zh-CN"/>
        </w:rPr>
        <w:t>本年度无政府性基金预算财政拨款收入、支出</w:t>
      </w:r>
      <w:r>
        <w:rPr>
          <w:rFonts w:hint="eastAsia" w:ascii="仿宋_GB2312" w:eastAsia="仿宋_GB2312"/>
          <w:sz w:val="32"/>
          <w:szCs w:val="32"/>
          <w:highlight w:val="none"/>
          <w:lang w:val="en-US" w:eastAsia="zh-CN"/>
        </w:rPr>
        <w:t>及结转和结余</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val="en-US" w:eastAsia="zh-CN"/>
        </w:rPr>
      </w:pPr>
      <w:bookmarkStart w:id="25" w:name="_Toc5563"/>
      <w:r>
        <w:rPr>
          <w:rFonts w:hint="eastAsia" w:ascii="黑体" w:hAnsi="黑体" w:eastAsia="黑体" w:cs="宋体"/>
          <w:bCs/>
          <w:kern w:val="0"/>
          <w:sz w:val="32"/>
          <w:szCs w:val="32"/>
          <w:highlight w:val="none"/>
          <w:lang w:val="en-US" w:eastAsia="zh-CN"/>
        </w:rPr>
        <w:t>八、国有资本经营预算财政拨款收入支出决算情况说明</w:t>
      </w:r>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我</w:t>
      </w:r>
      <w:r>
        <w:rPr>
          <w:rFonts w:hint="eastAsia" w:ascii="仿宋_GB2312" w:eastAsia="仿宋_GB2312"/>
          <w:sz w:val="32"/>
          <w:szCs w:val="32"/>
          <w:highlight w:val="none"/>
          <w:lang w:val="en-US" w:eastAsia="zh-CN"/>
        </w:rPr>
        <w:t>部门</w:t>
      </w:r>
      <w:r>
        <w:rPr>
          <w:rFonts w:hint="eastAsia" w:ascii="仿宋_GB2312" w:eastAsia="仿宋_GB2312"/>
          <w:sz w:val="32"/>
          <w:szCs w:val="32"/>
          <w:highlight w:val="none"/>
          <w:lang w:eastAsia="zh-CN"/>
        </w:rPr>
        <w:t>本年度无国有资本经营预算财政拨款收入、支出</w:t>
      </w:r>
      <w:r>
        <w:rPr>
          <w:rFonts w:hint="eastAsia" w:ascii="仿宋_GB2312" w:eastAsia="仿宋_GB2312"/>
          <w:sz w:val="32"/>
          <w:szCs w:val="32"/>
          <w:highlight w:val="none"/>
          <w:lang w:val="en-US" w:eastAsia="zh-CN"/>
        </w:rPr>
        <w:t>及结转和结余</w:t>
      </w:r>
      <w:r>
        <w:rPr>
          <w:rFonts w:hint="eastAsia" w:ascii="仿宋_GB2312" w:eastAsia="仿宋_GB2312"/>
          <w:sz w:val="32"/>
          <w:szCs w:val="32"/>
          <w:highlight w:val="none"/>
          <w:lang w:eastAsia="zh-CN"/>
        </w:rPr>
        <w:t>，国有资本经营</w:t>
      </w:r>
      <w:r>
        <w:rPr>
          <w:rFonts w:hint="eastAsia" w:ascii="仿宋_GB2312" w:eastAsia="仿宋_GB2312"/>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6" w:name="_Toc9161"/>
      <w:bookmarkStart w:id="27" w:name="_Toc7190"/>
      <w:r>
        <w:rPr>
          <w:rFonts w:hint="eastAsia" w:ascii="黑体" w:hAnsi="黑体" w:eastAsia="黑体" w:cs="宋体"/>
          <w:bCs/>
          <w:kern w:val="0"/>
          <w:sz w:val="32"/>
          <w:szCs w:val="32"/>
          <w:highlight w:val="none"/>
          <w:lang w:val="en-US" w:eastAsia="zh-CN"/>
        </w:rPr>
        <w:t>九</w:t>
      </w:r>
      <w:r>
        <w:rPr>
          <w:rFonts w:hint="eastAsia" w:ascii="黑体" w:hAnsi="黑体" w:eastAsia="黑体" w:cs="宋体"/>
          <w:bCs/>
          <w:kern w:val="0"/>
          <w:sz w:val="32"/>
          <w:szCs w:val="32"/>
          <w:highlight w:val="none"/>
          <w:lang w:eastAsia="zh-CN"/>
        </w:rPr>
        <w:t>、财政拨款</w:t>
      </w:r>
      <w:r>
        <w:rPr>
          <w:rFonts w:hint="eastAsia" w:ascii="黑体" w:hAnsi="黑体" w:eastAsia="黑体" w:cs="宋体"/>
          <w:bCs/>
          <w:kern w:val="0"/>
          <w:sz w:val="32"/>
          <w:szCs w:val="32"/>
          <w:highlight w:val="none"/>
        </w:rPr>
        <w:t>“三公”经费支出</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w:t>
      </w:r>
      <w:r>
        <w:rPr>
          <w:rFonts w:hint="eastAsia" w:ascii="黑体" w:hAnsi="黑体" w:eastAsia="黑体" w:cs="宋体"/>
          <w:bCs/>
          <w:kern w:val="0"/>
          <w:sz w:val="32"/>
          <w:szCs w:val="32"/>
          <w:highlight w:val="none"/>
          <w:lang w:eastAsia="zh-CN"/>
        </w:rPr>
        <w:t>说明</w:t>
      </w:r>
      <w:bookmarkEnd w:id="26"/>
      <w:bookmarkEnd w:id="27"/>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pacing w:val="0"/>
          <w:sz w:val="32"/>
          <w:szCs w:val="32"/>
          <w:highlight w:val="none"/>
          <w:lang w:eastAsia="zh-CN"/>
        </w:rPr>
        <w:t>2024年度</w:t>
      </w:r>
      <w:r>
        <w:rPr>
          <w:rFonts w:hint="eastAsia" w:ascii="仿宋_GB2312" w:eastAsia="仿宋_GB2312"/>
          <w:b/>
          <w:bCs/>
          <w:sz w:val="32"/>
          <w:szCs w:val="32"/>
          <w:highlight w:val="none"/>
          <w:lang w:val="en-US" w:eastAsia="zh-CN"/>
        </w:rPr>
        <w:t>财政拨款</w:t>
      </w:r>
      <w:r>
        <w:rPr>
          <w:rFonts w:hint="eastAsia" w:ascii="仿宋_GB2312" w:eastAsia="仿宋_GB2312"/>
          <w:b/>
          <w:bCs/>
          <w:sz w:val="32"/>
          <w:szCs w:val="32"/>
          <w:highlight w:val="none"/>
        </w:rPr>
        <w:t>“三公”经费支出</w:t>
      </w:r>
      <w:r>
        <w:rPr>
          <w:rFonts w:hint="eastAsia" w:ascii="仿宋_GB2312" w:eastAsia="仿宋_GB2312"/>
          <w:b/>
          <w:bCs/>
          <w:sz w:val="32"/>
          <w:szCs w:val="32"/>
          <w:highlight w:val="none"/>
          <w:lang w:val="en-US" w:eastAsia="zh-CN"/>
        </w:rPr>
        <w:t>2.40</w:t>
      </w:r>
      <w:r>
        <w:rPr>
          <w:rFonts w:hint="eastAsia" w:ascii="仿宋_GB2312" w:eastAsia="仿宋_GB2312"/>
          <w:b/>
          <w:bCs/>
          <w:sz w:val="32"/>
          <w:szCs w:val="32"/>
          <w:highlight w:val="none"/>
        </w:rPr>
        <w:t>万元，</w:t>
      </w:r>
      <w:r>
        <w:rPr>
          <w:rFonts w:hint="eastAsia" w:ascii="仿宋_GB2312" w:eastAsia="仿宋_GB2312"/>
          <w:sz w:val="32"/>
          <w:szCs w:val="32"/>
          <w:highlight w:val="none"/>
        </w:rPr>
        <w:t>比上年增加1.12万元，增长87.5</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2023年5000油料非不够，2024年增加5000元油料费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本单位车辆老旧，较上年增加4800元维修费。其中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因公出国（境）费支出</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%，比上年增加</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本年无因公出国（境）费支出，与上年相比无变动；公务用车购置及运行维护费支出</w:t>
      </w:r>
      <w:r>
        <w:rPr>
          <w:rFonts w:hint="eastAsia" w:ascii="仿宋_GB2312" w:eastAsia="仿宋_GB2312"/>
          <w:sz w:val="32"/>
          <w:szCs w:val="32"/>
          <w:highlight w:val="none"/>
          <w:lang w:val="en-US" w:eastAsia="zh-CN"/>
        </w:rPr>
        <w:t>2.40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100.00</w:t>
      </w:r>
      <w:r>
        <w:rPr>
          <w:rFonts w:hint="eastAsia" w:ascii="仿宋_GB2312" w:eastAsia="仿宋_GB2312"/>
          <w:sz w:val="32"/>
          <w:szCs w:val="32"/>
          <w:highlight w:val="none"/>
        </w:rPr>
        <w:t>%，比上年增加1.12万元，增长87.5</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2023年5000油料非不够，2024年增加5000元油料费；本单位车辆老旧，较上年增加4800元维修费；公务接待费支出</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%，比上年增加</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本年未安排公务接待费，与上年相比无变动。</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b/>
          <w:bCs/>
          <w:sz w:val="32"/>
          <w:szCs w:val="32"/>
          <w:highlight w:val="none"/>
        </w:rPr>
      </w:pPr>
      <w:r>
        <w:rPr>
          <w:rFonts w:hint="eastAsia" w:ascii="仿宋_GB2312" w:eastAsia="仿宋_GB2312"/>
          <w:b/>
          <w:bCs/>
          <w:sz w:val="32"/>
          <w:szCs w:val="32"/>
          <w:highlight w:val="none"/>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因公出国（境）费支出</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eastAsia="仿宋_GB2312"/>
          <w:color w:val="auto"/>
          <w:sz w:val="32"/>
          <w:szCs w:val="32"/>
          <w:highlight w:val="none"/>
          <w:lang w:val="zh-CN"/>
        </w:rPr>
        <w:t>我单位无因公出国（境）费。</w:t>
      </w:r>
      <w:r>
        <w:rPr>
          <w:rFonts w:hint="eastAsia" w:ascii="仿宋_GB2312" w:eastAsia="仿宋_GB2312"/>
          <w:sz w:val="32"/>
          <w:szCs w:val="32"/>
          <w:highlight w:val="none"/>
        </w:rPr>
        <w:t>单位全年安排的因公出国（境）团组</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个，因公出国（境）</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公务用车购置及运行维护费</w:t>
      </w:r>
      <w:r>
        <w:rPr>
          <w:rFonts w:hint="eastAsia" w:ascii="仿宋_GB2312" w:eastAsia="仿宋_GB2312"/>
          <w:sz w:val="32"/>
          <w:szCs w:val="32"/>
          <w:highlight w:val="none"/>
          <w:lang w:val="en-US" w:eastAsia="zh-CN"/>
        </w:rPr>
        <w:t>2.40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公务用车购置费</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万元，公务用车运行维护费</w:t>
      </w:r>
      <w:r>
        <w:rPr>
          <w:rFonts w:hint="eastAsia" w:ascii="仿宋_GB2312" w:eastAsia="仿宋_GB2312"/>
          <w:sz w:val="32"/>
          <w:szCs w:val="32"/>
          <w:highlight w:val="none"/>
          <w:lang w:val="en-US" w:eastAsia="zh-CN"/>
        </w:rPr>
        <w:t>2.40</w:t>
      </w:r>
      <w:r>
        <w:rPr>
          <w:rFonts w:hint="eastAsia" w:ascii="仿宋_GB2312" w:eastAsia="仿宋_GB2312"/>
          <w:sz w:val="32"/>
          <w:szCs w:val="32"/>
          <w:highlight w:val="none"/>
        </w:rPr>
        <w:t>万元。公务用车运行维护费开支内容包括车辆维修维护费、车辆加油费以及车辆保险等费用。公务用车购置数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辆，公务用车保有量</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辆。国有资产占用情况</w:t>
      </w:r>
      <w:r>
        <w:rPr>
          <w:rFonts w:hint="eastAsia" w:ascii="仿宋_GB2312" w:eastAsia="仿宋_GB2312"/>
          <w:sz w:val="32"/>
          <w:szCs w:val="32"/>
          <w:highlight w:val="none"/>
          <w:lang w:val="en-US" w:eastAsia="zh-CN"/>
        </w:rPr>
        <w:t>中固定资产车辆2</w:t>
      </w:r>
      <w:r>
        <w:rPr>
          <w:rFonts w:hint="eastAsia" w:ascii="仿宋_GB2312" w:eastAsia="仿宋_GB2312"/>
          <w:sz w:val="32"/>
          <w:szCs w:val="32"/>
          <w:highlight w:val="none"/>
        </w:rPr>
        <w:t>辆</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rPr>
        <w:t>公务用车</w:t>
      </w:r>
      <w:r>
        <w:rPr>
          <w:rFonts w:hint="eastAsia" w:ascii="仿宋_GB2312" w:eastAsia="仿宋_GB2312"/>
          <w:sz w:val="32"/>
          <w:szCs w:val="32"/>
          <w:highlight w:val="none"/>
          <w:lang w:val="en-US" w:eastAsia="zh-CN"/>
        </w:rPr>
        <w:t>保有量差异</w:t>
      </w:r>
      <w:r>
        <w:rPr>
          <w:rFonts w:hint="eastAsia" w:ascii="仿宋_GB2312" w:eastAsia="仿宋_GB2312"/>
          <w:sz w:val="32"/>
          <w:szCs w:val="32"/>
          <w:highlight w:val="none"/>
          <w:lang w:eastAsia="zh-CN"/>
        </w:rPr>
        <w:t>原因是</w:t>
      </w:r>
      <w:r>
        <w:rPr>
          <w:rFonts w:hint="eastAsia" w:ascii="仿宋_GB2312" w:eastAsia="仿宋_GB2312"/>
          <w:sz w:val="32"/>
          <w:szCs w:val="32"/>
          <w:highlight w:val="none"/>
        </w:rPr>
        <w:t>：我单位公务用车保有量无差异。</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公务接待费</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万元，我单位无公务接待费。单位全年安排的国内公务接待</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批次，</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人次。</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rPr>
        <w:t>与</w:t>
      </w:r>
      <w:r>
        <w:rPr>
          <w:rFonts w:hint="eastAsia" w:ascii="仿宋_GB2312" w:eastAsia="仿宋_GB2312"/>
          <w:b/>
          <w:bCs/>
          <w:sz w:val="32"/>
          <w:szCs w:val="32"/>
          <w:highlight w:val="none"/>
          <w:lang w:val="en-US" w:eastAsia="zh-CN"/>
        </w:rPr>
        <w:t>全年</w:t>
      </w:r>
      <w:r>
        <w:rPr>
          <w:rFonts w:hint="eastAsia" w:ascii="仿宋_GB2312" w:eastAsia="仿宋_GB2312"/>
          <w:b/>
          <w:bCs/>
          <w:sz w:val="32"/>
          <w:szCs w:val="32"/>
          <w:highlight w:val="none"/>
          <w:lang w:eastAsia="zh-CN"/>
        </w:rPr>
        <w:t>预算</w:t>
      </w:r>
      <w:r>
        <w:rPr>
          <w:rFonts w:hint="eastAsia" w:ascii="仿宋_GB2312" w:eastAsia="仿宋_GB2312"/>
          <w:b/>
          <w:bCs/>
          <w:sz w:val="32"/>
          <w:szCs w:val="32"/>
          <w:highlight w:val="none"/>
        </w:rPr>
        <w:t>相比</w:t>
      </w:r>
      <w:r>
        <w:rPr>
          <w:rFonts w:hint="eastAsia" w:ascii="仿宋_GB2312" w:eastAsia="仿宋_GB2312"/>
          <w:b/>
          <w:bCs/>
          <w:sz w:val="32"/>
          <w:szCs w:val="32"/>
          <w:highlight w:val="none"/>
          <w:lang w:eastAsia="zh-CN"/>
        </w:rPr>
        <w:t>，</w:t>
      </w:r>
      <w:r>
        <w:rPr>
          <w:rFonts w:hint="eastAsia" w:ascii="仿宋_GB2312" w:eastAsia="仿宋_GB2312"/>
          <w:b w:val="0"/>
          <w:bCs w:val="0"/>
          <w:sz w:val="32"/>
          <w:szCs w:val="32"/>
          <w:highlight w:val="none"/>
          <w:lang w:eastAsia="zh-CN"/>
        </w:rPr>
        <w:t>财政拨款</w:t>
      </w:r>
      <w:r>
        <w:rPr>
          <w:rFonts w:hint="eastAsia" w:ascii="仿宋_GB2312" w:eastAsia="仿宋_GB2312"/>
          <w:b w:val="0"/>
          <w:bCs w:val="0"/>
          <w:sz w:val="32"/>
          <w:szCs w:val="32"/>
          <w:highlight w:val="none"/>
        </w:rPr>
        <w:t>“</w:t>
      </w:r>
      <w:r>
        <w:rPr>
          <w:rFonts w:hint="eastAsia" w:ascii="仿宋_GB2312" w:eastAsia="仿宋_GB2312"/>
          <w:sz w:val="32"/>
          <w:szCs w:val="32"/>
          <w:highlight w:val="none"/>
        </w:rPr>
        <w:t>三公”经费支出</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eastAsia="zh-CN"/>
        </w:rPr>
        <w:t>预算数</w:t>
      </w:r>
      <w:r>
        <w:rPr>
          <w:rFonts w:hint="eastAsia" w:ascii="仿宋_GB2312" w:eastAsia="仿宋_GB2312"/>
          <w:sz w:val="32"/>
          <w:szCs w:val="32"/>
          <w:highlight w:val="none"/>
          <w:lang w:val="en-US" w:eastAsia="zh-CN"/>
        </w:rPr>
        <w:t>2.40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2.4</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严格按照全年预算数执行，无差异。</w:t>
      </w:r>
      <w:r>
        <w:rPr>
          <w:rFonts w:hint="eastAsia" w:ascii="仿宋_GB2312" w:hAnsi="宋体" w:eastAsia="仿宋_GB2312" w:cs="宋体"/>
          <w:kern w:val="0"/>
          <w:sz w:val="32"/>
          <w:szCs w:val="32"/>
          <w:highlight w:val="none"/>
        </w:rPr>
        <w:t>其中：因公出国（境）费</w:t>
      </w:r>
      <w:r>
        <w:rPr>
          <w:rFonts w:hint="eastAsia" w:ascii="仿宋_GB2312" w:hAnsi="宋体" w:eastAsia="仿宋_GB2312" w:cs="宋体"/>
          <w:kern w:val="0"/>
          <w:sz w:val="32"/>
          <w:szCs w:val="32"/>
          <w:highlight w:val="none"/>
          <w:lang w:val="en-US" w:eastAsia="zh-CN"/>
        </w:rPr>
        <w:t>全年预算数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我单位无因公出国（境）费；</w:t>
      </w:r>
      <w:r>
        <w:rPr>
          <w:rFonts w:hint="eastAsia" w:ascii="仿宋_GB2312" w:hAnsi="宋体" w:eastAsia="仿宋_GB2312" w:cs="宋体"/>
          <w:kern w:val="0"/>
          <w:sz w:val="32"/>
          <w:szCs w:val="32"/>
          <w:highlight w:val="none"/>
        </w:rPr>
        <w:t>公务用车购置</w:t>
      </w:r>
      <w:r>
        <w:rPr>
          <w:rFonts w:hint="eastAsia" w:ascii="仿宋_GB2312" w:eastAsia="仿宋_GB2312"/>
          <w:sz w:val="32"/>
          <w:szCs w:val="32"/>
          <w:highlight w:val="none"/>
        </w:rPr>
        <w:t>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rPr>
        <w:t>预算数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我单位无公务用车购置费；</w:t>
      </w:r>
      <w:r>
        <w:rPr>
          <w:rFonts w:hint="eastAsia" w:ascii="仿宋_GB2312" w:hAnsi="宋体" w:eastAsia="仿宋_GB2312" w:cs="宋体"/>
          <w:kern w:val="0"/>
          <w:sz w:val="32"/>
          <w:szCs w:val="32"/>
          <w:highlight w:val="none"/>
        </w:rPr>
        <w:t>公务用车运行费</w:t>
      </w:r>
      <w:r>
        <w:rPr>
          <w:rFonts w:hint="eastAsia" w:ascii="仿宋_GB2312" w:hAnsi="宋体" w:eastAsia="仿宋_GB2312" w:cs="宋体"/>
          <w:kern w:val="0"/>
          <w:sz w:val="32"/>
          <w:szCs w:val="32"/>
          <w:highlight w:val="none"/>
          <w:lang w:val="en-US" w:eastAsia="zh-CN"/>
        </w:rPr>
        <w:t>全年</w:t>
      </w:r>
      <w:r>
        <w:rPr>
          <w:rFonts w:hint="eastAsia" w:ascii="仿宋_GB2312" w:eastAsia="仿宋_GB2312"/>
          <w:sz w:val="32"/>
          <w:szCs w:val="32"/>
          <w:highlight w:val="none"/>
        </w:rPr>
        <w:t>预算数</w:t>
      </w:r>
      <w:r>
        <w:rPr>
          <w:rFonts w:hint="eastAsia" w:ascii="仿宋_GB2312" w:eastAsia="仿宋_GB2312"/>
          <w:sz w:val="32"/>
          <w:szCs w:val="32"/>
          <w:highlight w:val="none"/>
          <w:lang w:val="en-US" w:eastAsia="zh-CN"/>
        </w:rPr>
        <w:t>2.40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2.40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严格按照全年预算数执行，无差异；</w:t>
      </w:r>
      <w:r>
        <w:rPr>
          <w:rFonts w:hint="eastAsia" w:ascii="仿宋_GB2312" w:hAnsi="宋体" w:eastAsia="仿宋_GB2312" w:cs="宋体"/>
          <w:kern w:val="0"/>
          <w:sz w:val="32"/>
          <w:szCs w:val="32"/>
          <w:highlight w:val="none"/>
        </w:rPr>
        <w:t>公务接待费</w:t>
      </w:r>
      <w:r>
        <w:rPr>
          <w:rFonts w:hint="eastAsia" w:ascii="仿宋_GB2312" w:hAnsi="宋体" w:eastAsia="仿宋_GB2312" w:cs="宋体"/>
          <w:kern w:val="0"/>
          <w:sz w:val="32"/>
          <w:szCs w:val="32"/>
          <w:highlight w:val="none"/>
          <w:lang w:val="en-US" w:eastAsia="zh-CN"/>
        </w:rPr>
        <w:t>全年</w:t>
      </w:r>
      <w:r>
        <w:rPr>
          <w:rFonts w:hint="eastAsia" w:ascii="仿宋_GB2312" w:eastAsia="仿宋_GB2312"/>
          <w:sz w:val="32"/>
          <w:szCs w:val="32"/>
          <w:highlight w:val="none"/>
        </w:rPr>
        <w:t>预算数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万元，决算数</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8" w:name="_Toc7314"/>
      <w:bookmarkStart w:id="29" w:name="_Toc16395"/>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rPr>
        <w:t>、其他重要事项的情况</w:t>
      </w:r>
      <w:r>
        <w:rPr>
          <w:rFonts w:hint="eastAsia" w:ascii="黑体" w:hAnsi="黑体" w:eastAsia="黑体" w:cs="宋体"/>
          <w:bCs/>
          <w:kern w:val="0"/>
          <w:sz w:val="32"/>
          <w:szCs w:val="32"/>
          <w:highlight w:val="none"/>
          <w:lang w:eastAsia="zh-CN"/>
        </w:rPr>
        <w:t>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rPr>
      </w:pPr>
      <w:bookmarkStart w:id="30" w:name="_Toc13105"/>
      <w:bookmarkStart w:id="31" w:name="_Toc21748"/>
      <w:r>
        <w:rPr>
          <w:rFonts w:hint="eastAsia" w:ascii="黑体" w:hAnsi="黑体" w:eastAsia="黑体"/>
          <w:sz w:val="32"/>
          <w:szCs w:val="32"/>
          <w:highlight w:val="none"/>
          <w:lang w:eastAsia="zh-CN"/>
        </w:rPr>
        <w:t>（一）</w:t>
      </w:r>
      <w:r>
        <w:rPr>
          <w:rFonts w:hint="eastAsia" w:ascii="黑体" w:hAnsi="黑体" w:eastAsia="黑体"/>
          <w:sz w:val="32"/>
          <w:szCs w:val="32"/>
          <w:highlight w:val="none"/>
        </w:rPr>
        <w:t>机关运行经费</w:t>
      </w:r>
      <w:r>
        <w:rPr>
          <w:rFonts w:hint="eastAsia" w:ascii="黑体" w:hAnsi="黑体" w:eastAsia="黑体"/>
          <w:sz w:val="32"/>
          <w:szCs w:val="32"/>
          <w:highlight w:val="none"/>
          <w:lang w:val="en-US" w:eastAsia="zh-CN"/>
        </w:rPr>
        <w:t>及公用经费</w:t>
      </w:r>
      <w:r>
        <w:rPr>
          <w:rFonts w:hint="eastAsia" w:ascii="黑体" w:hAnsi="黑体" w:eastAsia="黑体"/>
          <w:sz w:val="32"/>
          <w:szCs w:val="32"/>
          <w:highlight w:val="none"/>
        </w:rPr>
        <w:t>支出情况</w:t>
      </w:r>
      <w:bookmarkEnd w:id="30"/>
      <w:bookmarkEnd w:id="3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lang w:val="en-US" w:eastAsia="zh-CN"/>
        </w:rPr>
        <w:t>审计局</w:t>
      </w:r>
      <w:r>
        <w:rPr>
          <w:rFonts w:hint="eastAsia" w:ascii="仿宋_GB2312" w:eastAsia="仿宋_GB2312"/>
          <w:sz w:val="32"/>
          <w:szCs w:val="32"/>
          <w:highlight w:val="none"/>
        </w:rPr>
        <w:t>（行政单位和参照公务员法管理事业单位）机关运行经费支出11.38万元，比上年减少2.08万元，</w:t>
      </w:r>
      <w:r>
        <w:rPr>
          <w:rFonts w:hint="eastAsia" w:ascii="仿宋_GB2312" w:eastAsia="仿宋_GB2312"/>
          <w:sz w:val="32"/>
          <w:szCs w:val="32"/>
          <w:highlight w:val="none"/>
          <w:lang w:eastAsia="zh-CN"/>
        </w:rPr>
        <w:t>下降</w:t>
      </w:r>
      <w:r>
        <w:rPr>
          <w:rFonts w:hint="eastAsia" w:ascii="仿宋_GB2312" w:eastAsia="仿宋_GB2312"/>
          <w:sz w:val="32"/>
          <w:szCs w:val="32"/>
          <w:highlight w:val="none"/>
        </w:rPr>
        <w:t>15.45%，主要原因是</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2024年5月</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11月分别减少工作人员2名（</w:t>
      </w:r>
      <w:r>
        <w:rPr>
          <w:rFonts w:hint="eastAsia" w:ascii="仿宋_GB2312" w:eastAsia="仿宋_GB2312"/>
          <w:sz w:val="32"/>
          <w:szCs w:val="32"/>
          <w:highlight w:val="none"/>
        </w:rPr>
        <w:t>1名工作人员辞职</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1名工作人员调入库尔勒市财政局</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导致机关运行经费及公用经费减少。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32" w:name="_Toc26704"/>
      <w:bookmarkStart w:id="33" w:name="_Toc25177"/>
      <w:r>
        <w:rPr>
          <w:rFonts w:hint="eastAsia" w:ascii="黑体" w:hAnsi="黑体" w:eastAsia="黑体"/>
          <w:sz w:val="32"/>
          <w:szCs w:val="32"/>
          <w:highlight w:val="none"/>
          <w:lang w:eastAsia="zh-CN"/>
        </w:rPr>
        <w:t>（二）政府采购情况</w:t>
      </w:r>
      <w:bookmarkEnd w:id="32"/>
      <w:bookmarkEnd w:id="33"/>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lang w:eastAsia="zh-CN"/>
        </w:rPr>
        <w:t>2024年度</w:t>
      </w:r>
      <w:r>
        <w:rPr>
          <w:rFonts w:hint="eastAsia" w:ascii="仿宋_GB2312" w:eastAsia="仿宋_GB2312"/>
          <w:sz w:val="32"/>
          <w:szCs w:val="32"/>
          <w:highlight w:val="none"/>
        </w:rPr>
        <w:t>政府采购支出总额</w:t>
      </w:r>
      <w:r>
        <w:rPr>
          <w:rFonts w:hint="eastAsia" w:ascii="仿宋_GB2312" w:eastAsia="仿宋_GB2312"/>
          <w:sz w:val="32"/>
          <w:szCs w:val="32"/>
          <w:highlight w:val="none"/>
          <w:lang w:eastAsia="zh-CN"/>
        </w:rPr>
        <w:t>6.84</w:t>
      </w:r>
      <w:r>
        <w:rPr>
          <w:rFonts w:hint="eastAsia" w:ascii="仿宋_GB2312" w:eastAsia="仿宋_GB2312"/>
          <w:sz w:val="32"/>
          <w:szCs w:val="32"/>
          <w:highlight w:val="none"/>
        </w:rPr>
        <w:t>万元，其中：政府采购货物支出</w:t>
      </w:r>
      <w:r>
        <w:rPr>
          <w:rFonts w:hint="eastAsia" w:ascii="仿宋_GB2312" w:eastAsia="仿宋_GB2312"/>
          <w:sz w:val="32"/>
          <w:szCs w:val="32"/>
          <w:highlight w:val="none"/>
          <w:lang w:eastAsia="zh-CN"/>
        </w:rPr>
        <w:t>5.54</w:t>
      </w:r>
      <w:r>
        <w:rPr>
          <w:rFonts w:hint="eastAsia" w:ascii="仿宋_GB2312" w:eastAsia="仿宋_GB2312"/>
          <w:sz w:val="32"/>
          <w:szCs w:val="32"/>
          <w:highlight w:val="none"/>
        </w:rPr>
        <w:t>万元、政府采购工程支出</w:t>
      </w:r>
      <w:r>
        <w:rPr>
          <w:rFonts w:hint="eastAsia" w:ascii="仿宋_GB2312" w:eastAsia="仿宋_GB2312"/>
          <w:sz w:val="32"/>
          <w:szCs w:val="32"/>
          <w:highlight w:val="none"/>
          <w:lang w:val="en-US" w:eastAsia="zh-CN"/>
        </w:rPr>
        <w:t>0.00</w:t>
      </w:r>
      <w:r>
        <w:rPr>
          <w:rFonts w:hint="eastAsia" w:ascii="仿宋_GB2312" w:eastAsia="仿宋_GB2312"/>
          <w:sz w:val="32"/>
          <w:szCs w:val="32"/>
          <w:highlight w:val="none"/>
        </w:rPr>
        <w:t>万元、政府采购服务支出</w:t>
      </w:r>
      <w:r>
        <w:rPr>
          <w:rFonts w:hint="eastAsia" w:ascii="仿宋_GB2312" w:eastAsia="仿宋_GB2312"/>
          <w:sz w:val="32"/>
          <w:szCs w:val="32"/>
          <w:highlight w:val="none"/>
          <w:lang w:eastAsia="zh-CN"/>
        </w:rPr>
        <w:t>1.3</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授予中小企业合同金额</w:t>
      </w:r>
      <w:r>
        <w:rPr>
          <w:rFonts w:hint="eastAsia" w:ascii="仿宋_GB2312" w:eastAsia="仿宋_GB2312"/>
          <w:sz w:val="32"/>
          <w:szCs w:val="32"/>
          <w:highlight w:val="none"/>
          <w:lang w:eastAsia="zh-CN"/>
        </w:rPr>
        <w:t>4.1</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万元，占政府采购支出总额的</w:t>
      </w:r>
      <w:r>
        <w:rPr>
          <w:rFonts w:hint="eastAsia" w:ascii="仿宋_GB2312" w:eastAsia="仿宋_GB2312"/>
          <w:sz w:val="32"/>
          <w:szCs w:val="32"/>
          <w:highlight w:val="none"/>
          <w:lang w:eastAsia="zh-CN"/>
        </w:rPr>
        <w:t>59.94</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，其中：授予小微企业合同金额</w:t>
      </w:r>
      <w:r>
        <w:rPr>
          <w:rFonts w:hint="eastAsia" w:ascii="仿宋_GB2312" w:eastAsia="仿宋_GB2312"/>
          <w:sz w:val="32"/>
          <w:szCs w:val="32"/>
          <w:highlight w:val="none"/>
          <w:lang w:eastAsia="zh-CN"/>
        </w:rPr>
        <w:t>4.10</w:t>
      </w:r>
      <w:r>
        <w:rPr>
          <w:rFonts w:hint="eastAsia" w:ascii="仿宋_GB2312" w:eastAsia="仿宋_GB2312"/>
          <w:sz w:val="32"/>
          <w:szCs w:val="32"/>
          <w:highlight w:val="none"/>
        </w:rPr>
        <w:t>万元，占政府采购支出总额的</w:t>
      </w:r>
      <w:r>
        <w:rPr>
          <w:rFonts w:hint="eastAsia" w:ascii="仿宋_GB2312" w:eastAsia="仿宋_GB2312"/>
          <w:sz w:val="32"/>
          <w:szCs w:val="32"/>
          <w:highlight w:val="none"/>
          <w:lang w:eastAsia="zh-CN"/>
        </w:rPr>
        <w:t>59.94</w:t>
      </w:r>
      <w:r>
        <w:rPr>
          <w:rFonts w:hint="eastAsia" w:ascii="仿宋_GB2312"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34" w:name="_Toc4591"/>
      <w:bookmarkStart w:id="35" w:name="_Toc31294"/>
      <w:r>
        <w:rPr>
          <w:rFonts w:hint="eastAsia" w:ascii="黑体" w:hAnsi="黑体" w:eastAsia="黑体"/>
          <w:sz w:val="32"/>
          <w:szCs w:val="32"/>
          <w:highlight w:val="none"/>
          <w:lang w:eastAsia="zh-CN"/>
        </w:rPr>
        <w:t>（三）国有资产占用情况说明</w:t>
      </w:r>
      <w:bookmarkEnd w:id="34"/>
      <w:bookmarkEnd w:id="35"/>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截至</w:t>
      </w:r>
      <w:r>
        <w:rPr>
          <w:rFonts w:hint="eastAsia" w:ascii="仿宋_GB2312" w:eastAsia="仿宋_GB2312"/>
          <w:spacing w:val="0"/>
          <w:sz w:val="32"/>
          <w:szCs w:val="32"/>
          <w:highlight w:val="none"/>
          <w:lang w:val="en-US" w:eastAsia="zh-CN"/>
        </w:rPr>
        <w:t>2024</w:t>
      </w:r>
      <w:r>
        <w:rPr>
          <w:rFonts w:hint="eastAsia" w:ascii="仿宋_GB2312" w:eastAsia="仿宋_GB2312"/>
          <w:spacing w:val="0"/>
          <w:sz w:val="32"/>
          <w:szCs w:val="32"/>
          <w:highlight w:val="none"/>
          <w:lang w:eastAsia="zh-CN"/>
        </w:rPr>
        <w:t>年</w:t>
      </w:r>
      <w:r>
        <w:rPr>
          <w:rFonts w:hint="eastAsia" w:ascii="仿宋_GB2312" w:eastAsia="仿宋_GB2312"/>
          <w:spacing w:val="0"/>
          <w:sz w:val="32"/>
          <w:szCs w:val="32"/>
          <w:highlight w:val="none"/>
          <w:lang w:val="en-US" w:eastAsia="zh-CN"/>
        </w:rPr>
        <w:t>12月31日</w:t>
      </w:r>
      <w:r>
        <w:rPr>
          <w:rFonts w:hint="eastAsia" w:ascii="仿宋_GB2312" w:eastAsia="仿宋_GB2312"/>
          <w:spacing w:val="0"/>
          <w:sz w:val="32"/>
          <w:szCs w:val="32"/>
          <w:highlight w:val="none"/>
          <w:lang w:eastAsia="zh-CN"/>
        </w:rPr>
        <w:t>，</w:t>
      </w:r>
      <w:r>
        <w:rPr>
          <w:rFonts w:hint="eastAsia" w:ascii="仿宋_GB2312" w:eastAsia="仿宋_GB2312"/>
          <w:sz w:val="32"/>
          <w:szCs w:val="32"/>
          <w:highlight w:val="none"/>
          <w:lang w:val="en-US" w:eastAsia="zh-CN"/>
        </w:rPr>
        <w:t>房</w:t>
      </w:r>
      <w:r>
        <w:rPr>
          <w:rFonts w:hint="eastAsia" w:ascii="仿宋_GB2312" w:eastAsia="仿宋_GB2312"/>
          <w:sz w:val="32"/>
          <w:szCs w:val="32"/>
          <w:highlight w:val="none"/>
        </w:rPr>
        <w:t>屋128.18平方米</w:t>
      </w:r>
      <w:r>
        <w:rPr>
          <w:rFonts w:hint="eastAsia" w:ascii="仿宋_GB2312" w:eastAsia="仿宋_GB2312"/>
          <w:sz w:val="32"/>
          <w:szCs w:val="32"/>
          <w:highlight w:val="none"/>
          <w:lang w:eastAsia="zh-CN"/>
        </w:rPr>
        <w:t>，价值</w:t>
      </w:r>
      <w:r>
        <w:rPr>
          <w:rFonts w:hint="eastAsia" w:ascii="仿宋_GB2312" w:eastAsia="仿宋_GB2312"/>
          <w:sz w:val="32"/>
          <w:szCs w:val="32"/>
          <w:highlight w:val="none"/>
        </w:rPr>
        <w:t>6.06万元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车辆</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辆，价值46.2万元，其中：副部（省）级及以上领导用车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辆、主要</w:t>
      </w:r>
      <w:r>
        <w:rPr>
          <w:rFonts w:hint="eastAsia" w:ascii="仿宋_GB2312" w:eastAsia="仿宋_GB2312"/>
          <w:sz w:val="32"/>
          <w:szCs w:val="32"/>
          <w:highlight w:val="none"/>
          <w:lang w:val="en-US" w:eastAsia="zh-CN"/>
        </w:rPr>
        <w:t>负责人</w:t>
      </w:r>
      <w:r>
        <w:rPr>
          <w:rFonts w:hint="eastAsia" w:ascii="仿宋_GB2312" w:eastAsia="仿宋_GB2312"/>
          <w:sz w:val="32"/>
          <w:szCs w:val="32"/>
          <w:highlight w:val="none"/>
        </w:rPr>
        <w:t>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辆、机要通信用车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辆、应急保障用车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辆、执法执勤用车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辆、特种专业技术用车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辆、离退休干部</w:t>
      </w:r>
      <w:r>
        <w:rPr>
          <w:rFonts w:hint="eastAsia" w:ascii="仿宋_GB2312" w:eastAsia="仿宋_GB2312"/>
          <w:sz w:val="32"/>
          <w:szCs w:val="32"/>
          <w:highlight w:val="none"/>
          <w:lang w:val="en-US" w:eastAsia="zh-CN"/>
        </w:rPr>
        <w:t>服务</w:t>
      </w:r>
      <w:r>
        <w:rPr>
          <w:rFonts w:hint="eastAsia" w:ascii="仿宋_GB2312" w:eastAsia="仿宋_GB2312"/>
          <w:sz w:val="32"/>
          <w:szCs w:val="32"/>
          <w:highlight w:val="none"/>
        </w:rPr>
        <w:t>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辆、其他用车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辆，其他用车主要是：一般公务用车；单价100万元（含）以上设备（不含车辆）</w:t>
      </w:r>
      <w:r>
        <w:rPr>
          <w:rFonts w:hint="eastAsia" w:ascii="仿宋_GB2312" w:eastAsia="仿宋_GB2312"/>
          <w:sz w:val="32"/>
          <w:szCs w:val="32"/>
          <w:highlight w:val="none"/>
          <w:lang w:val="en-US" w:eastAsia="zh-CN"/>
        </w:rPr>
        <w:t>0台（</w:t>
      </w:r>
      <w:r>
        <w:rPr>
          <w:rFonts w:hint="eastAsia" w:ascii="仿宋_GB2312" w:eastAsia="仿宋_GB2312"/>
          <w:sz w:val="32"/>
          <w:szCs w:val="32"/>
          <w:highlight w:val="none"/>
        </w:rPr>
        <w:t>套）。</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黑体" w:hAnsi="黑体" w:eastAsia="黑体" w:cs="宋体"/>
          <w:bCs/>
          <w:kern w:val="0"/>
          <w:sz w:val="32"/>
          <w:szCs w:val="32"/>
          <w:highlight w:val="none"/>
          <w:lang w:eastAsia="zh-CN"/>
        </w:rPr>
      </w:pPr>
      <w:bookmarkStart w:id="36" w:name="_Toc17664"/>
      <w:bookmarkStart w:id="37" w:name="_Toc435"/>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一</w:t>
      </w:r>
      <w:r>
        <w:rPr>
          <w:rFonts w:hint="eastAsia" w:ascii="黑体" w:hAnsi="黑体" w:eastAsia="黑体" w:cs="宋体"/>
          <w:bCs/>
          <w:kern w:val="0"/>
          <w:sz w:val="32"/>
          <w:szCs w:val="32"/>
          <w:highlight w:val="none"/>
          <w:lang w:eastAsia="zh-CN"/>
        </w:rPr>
        <w:t>、预算绩效的情况说明</w:t>
      </w:r>
      <w:bookmarkEnd w:id="36"/>
      <w:bookmarkEnd w:id="3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bookmarkStart w:id="59" w:name="_GoBack"/>
      <w:bookmarkEnd w:id="59"/>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预算总额348.47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实际执行总额348.47</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210.00</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57.42</w:t>
      </w:r>
      <w:r>
        <w:rPr>
          <w:rFonts w:hint="eastAsia" w:ascii="仿宋_GB2312" w:eastAsia="仿宋_GB2312"/>
          <w:color w:val="auto"/>
          <w:sz w:val="32"/>
          <w:szCs w:val="32"/>
          <w:highlight w:val="none"/>
          <w:lang w:eastAsia="zh-CN"/>
        </w:rPr>
        <w:t>万元。预算绩效管理取得的成效：</w:t>
      </w:r>
      <w:r>
        <w:rPr>
          <w:rFonts w:hint="eastAsia" w:ascii="仿宋_GB2312" w:eastAsia="仿宋_GB2312"/>
          <w:sz w:val="32"/>
          <w:szCs w:val="32"/>
          <w:highlight w:val="none"/>
          <w:lang w:eastAsia="zh-CN"/>
        </w:rPr>
        <w:t>一是通过单位正常运转，提高了经济运行实现质的有效提升和量的合理增长；二是为更好的实施该项目，明确职责，制定推进计划，加强过程督导，全面完成了我单位年初制定的工作目标任务。发现的问题及原因：一是项目实施计划容易受到突发事件等不可抗力影响，导致任务完成时间推迟或质量不够好，主要原因是未制定备选方案或未及时谋划，及时应变；二是在绩效监控方面，对项目实施中存在的具体问题、采取的纠偏措施反映的还不够，有时不能及时、客观地反映项目的支出绩效。下一步改进措施：一是强化支出预算约束。进一步提高年初预算编制的科学性和准确性，完成预算执行动态约束机制，加强财政预算资金管理，统筹协调推进项目执行，提高财政资金效益和效果；：一是，遇到突发问题制定备选方案或未及时谋划，及时应变，下一步将进一步做好顶层设计，灵活开展工作。二是，合理编制项目绩效自评表，有序开展资金支付。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二</w:t>
      </w:r>
      <w:r>
        <w:rPr>
          <w:rFonts w:hint="eastAsia" w:ascii="黑体" w:hAnsi="黑体" w:eastAsia="黑体" w:cs="宋体"/>
          <w:bCs/>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38" w:name="_Toc24143"/>
      <w:bookmarkStart w:id="39" w:name="_Toc30038"/>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三</w:t>
      </w:r>
      <w:r>
        <w:rPr>
          <w:rFonts w:hint="eastAsia" w:ascii="黑体" w:hAnsi="黑体" w:eastAsia="黑体"/>
          <w:sz w:val="32"/>
          <w:szCs w:val="32"/>
          <w:highlight w:val="none"/>
        </w:rPr>
        <w:t>部分 专业名词解释</w:t>
      </w:r>
      <w:bookmarkEnd w:id="38"/>
      <w:bookmarkEnd w:id="39"/>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一、</w:t>
      </w:r>
      <w:r>
        <w:rPr>
          <w:rFonts w:hint="eastAsia" w:ascii="仿宋_GB2312" w:eastAsia="仿宋_GB2312"/>
          <w:b/>
          <w:bCs/>
          <w:sz w:val="32"/>
          <w:szCs w:val="32"/>
          <w:highlight w:val="none"/>
        </w:rPr>
        <w:t>财政拨款收入：</w:t>
      </w:r>
      <w:r>
        <w:rPr>
          <w:rFonts w:hint="eastAsia" w:ascii="仿宋_GB2312" w:eastAsia="仿宋_GB2312"/>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二、</w:t>
      </w:r>
      <w:r>
        <w:rPr>
          <w:rFonts w:hint="eastAsia" w:ascii="仿宋_GB2312" w:eastAsia="仿宋_GB2312"/>
          <w:b/>
          <w:bCs/>
          <w:sz w:val="32"/>
          <w:szCs w:val="32"/>
          <w:highlight w:val="none"/>
        </w:rPr>
        <w:t>上级补助收入：</w:t>
      </w:r>
      <w:r>
        <w:rPr>
          <w:rFonts w:hint="eastAsia" w:ascii="仿宋_GB2312" w:eastAsia="仿宋_GB2312"/>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三、</w:t>
      </w:r>
      <w:r>
        <w:rPr>
          <w:rFonts w:hint="eastAsia" w:ascii="仿宋_GB2312" w:eastAsia="仿宋_GB2312"/>
          <w:b/>
          <w:bCs/>
          <w:sz w:val="32"/>
          <w:szCs w:val="32"/>
          <w:highlight w:val="none"/>
        </w:rPr>
        <w:t>事业收入：</w:t>
      </w:r>
      <w:r>
        <w:rPr>
          <w:rFonts w:hint="eastAsia" w:ascii="仿宋_GB2312" w:eastAsia="仿宋_GB2312"/>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四、</w:t>
      </w:r>
      <w:r>
        <w:rPr>
          <w:rFonts w:hint="eastAsia" w:ascii="仿宋_GB2312" w:eastAsia="仿宋_GB2312"/>
          <w:b/>
          <w:bCs/>
          <w:sz w:val="32"/>
          <w:szCs w:val="32"/>
          <w:highlight w:val="none"/>
        </w:rPr>
        <w:t>经营收入：</w:t>
      </w:r>
      <w:r>
        <w:rPr>
          <w:rFonts w:hint="eastAsia" w:ascii="仿宋_GB2312" w:eastAsia="仿宋_GB2312"/>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五、</w:t>
      </w:r>
      <w:r>
        <w:rPr>
          <w:rFonts w:hint="eastAsia" w:ascii="仿宋_GB2312" w:eastAsia="仿宋_GB2312"/>
          <w:b/>
          <w:bCs/>
          <w:sz w:val="32"/>
          <w:szCs w:val="32"/>
          <w:highlight w:val="none"/>
        </w:rPr>
        <w:t>附属单位上缴收入：</w:t>
      </w:r>
      <w:r>
        <w:rPr>
          <w:rFonts w:hint="eastAsia" w:ascii="仿宋_GB2312" w:eastAsia="仿宋_GB2312"/>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六、</w:t>
      </w:r>
      <w:r>
        <w:rPr>
          <w:rFonts w:hint="eastAsia" w:ascii="仿宋_GB2312" w:eastAsia="仿宋_GB2312"/>
          <w:b/>
          <w:bCs/>
          <w:sz w:val="32"/>
          <w:szCs w:val="32"/>
          <w:highlight w:val="none"/>
        </w:rPr>
        <w:t>其他收入：</w:t>
      </w:r>
      <w:r>
        <w:rPr>
          <w:rFonts w:hint="eastAsia" w:ascii="仿宋_GB2312" w:eastAsia="仿宋_GB2312"/>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七、</w:t>
      </w:r>
      <w:r>
        <w:rPr>
          <w:rFonts w:hint="eastAsia" w:ascii="仿宋_GB2312" w:eastAsia="仿宋_GB2312"/>
          <w:b/>
          <w:bCs/>
          <w:sz w:val="32"/>
          <w:szCs w:val="32"/>
          <w:highlight w:val="none"/>
          <w:lang w:eastAsia="zh-CN"/>
        </w:rPr>
        <w:t>年初</w:t>
      </w:r>
      <w:r>
        <w:rPr>
          <w:rFonts w:hint="eastAsia" w:ascii="仿宋_GB2312" w:eastAsia="仿宋_GB2312"/>
          <w:b/>
          <w:bCs/>
          <w:sz w:val="32"/>
          <w:szCs w:val="32"/>
          <w:highlight w:val="none"/>
        </w:rPr>
        <w:t>结转和结余：</w:t>
      </w:r>
      <w:r>
        <w:rPr>
          <w:rFonts w:hint="eastAsia" w:ascii="仿宋_GB2312" w:eastAsia="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八、</w:t>
      </w:r>
      <w:r>
        <w:rPr>
          <w:rFonts w:hint="eastAsia" w:ascii="仿宋_GB2312" w:eastAsia="仿宋_GB2312"/>
          <w:b/>
          <w:bCs/>
          <w:sz w:val="32"/>
          <w:szCs w:val="32"/>
          <w:highlight w:val="none"/>
        </w:rPr>
        <w:t>年末结转和结余：</w:t>
      </w:r>
      <w:r>
        <w:rPr>
          <w:rFonts w:hint="eastAsia" w:ascii="仿宋_GB2312" w:eastAsia="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九、</w:t>
      </w:r>
      <w:r>
        <w:rPr>
          <w:rFonts w:hint="eastAsia" w:ascii="仿宋_GB2312" w:eastAsia="仿宋_GB2312"/>
          <w:b/>
          <w:bCs/>
          <w:sz w:val="32"/>
          <w:szCs w:val="32"/>
          <w:highlight w:val="none"/>
        </w:rPr>
        <w:t>基本支出：</w:t>
      </w:r>
      <w:r>
        <w:rPr>
          <w:rFonts w:hint="eastAsia" w:ascii="仿宋_GB2312" w:eastAsia="仿宋_GB2312"/>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w:t>
      </w:r>
      <w:r>
        <w:rPr>
          <w:rFonts w:hint="eastAsia" w:ascii="仿宋_GB2312" w:eastAsia="仿宋_GB2312"/>
          <w:b/>
          <w:bCs/>
          <w:sz w:val="32"/>
          <w:szCs w:val="32"/>
          <w:highlight w:val="none"/>
        </w:rPr>
        <w:t>项目支出：</w:t>
      </w:r>
      <w:r>
        <w:rPr>
          <w:rFonts w:hint="eastAsia" w:ascii="仿宋_GB2312" w:eastAsia="仿宋_GB2312"/>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十一、</w:t>
      </w:r>
      <w:r>
        <w:rPr>
          <w:rFonts w:hint="eastAsia" w:ascii="仿宋_GB2312" w:eastAsia="仿宋_GB2312"/>
          <w:b/>
          <w:bCs/>
          <w:sz w:val="32"/>
          <w:szCs w:val="32"/>
          <w:highlight w:val="none"/>
        </w:rPr>
        <w:t>经营支出：</w:t>
      </w:r>
      <w:r>
        <w:rPr>
          <w:rFonts w:hint="eastAsia" w:ascii="仿宋_GB2312" w:eastAsia="仿宋_GB2312"/>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十二、</w:t>
      </w:r>
      <w:r>
        <w:rPr>
          <w:rFonts w:hint="eastAsia" w:ascii="仿宋_GB2312" w:eastAsia="仿宋_GB2312"/>
          <w:b/>
          <w:bCs/>
          <w:sz w:val="32"/>
          <w:szCs w:val="32"/>
          <w:highlight w:val="none"/>
        </w:rPr>
        <w:t>对附属单位补助支出：</w:t>
      </w:r>
      <w:r>
        <w:rPr>
          <w:rFonts w:hint="eastAsia" w:ascii="仿宋_GB2312" w:eastAsia="仿宋_GB2312"/>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lang w:val="en-US" w:eastAsia="zh-CN"/>
        </w:rPr>
        <w:t>十三、</w:t>
      </w:r>
      <w:r>
        <w:rPr>
          <w:rFonts w:hint="eastAsia" w:ascii="仿宋_GB2312" w:eastAsia="仿宋_GB2312"/>
          <w:b/>
          <w:bCs/>
          <w:sz w:val="32"/>
          <w:szCs w:val="32"/>
          <w:highlight w:val="none"/>
        </w:rPr>
        <w:t>“三公”经费：</w:t>
      </w:r>
      <w:r>
        <w:rPr>
          <w:rFonts w:hint="eastAsia" w:ascii="仿宋_GB2312" w:eastAsia="仿宋_GB2312"/>
          <w:sz w:val="32"/>
          <w:szCs w:val="32"/>
          <w:highlight w:val="none"/>
        </w:rPr>
        <w:t>指用财政拨款安排的因公出国（境）费、公务用车购置及运行费和公务接待费。其中，因公出国（境）费反映单位公务出国（境）的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十四、</w:t>
      </w:r>
      <w:r>
        <w:rPr>
          <w:rFonts w:hint="eastAsia" w:ascii="仿宋_GB2312" w:eastAsia="仿宋_GB2312"/>
          <w:b/>
          <w:bCs/>
          <w:sz w:val="32"/>
          <w:szCs w:val="32"/>
          <w:highlight w:val="none"/>
        </w:rPr>
        <w:t>机关运行经费：</w:t>
      </w:r>
      <w:r>
        <w:rPr>
          <w:rFonts w:hint="eastAsia" w:ascii="仿宋_GB2312" w:eastAsia="仿宋_GB2312"/>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r>
        <w:rPr>
          <w:rFonts w:hint="eastAsia" w:ascii="仿宋_GB2312" w:eastAsia="仿宋_GB2312"/>
          <w:sz w:val="32"/>
          <w:szCs w:val="32"/>
          <w:highlight w:val="none"/>
        </w:rPr>
        <w:br w:type="page"/>
      </w:r>
      <w:bookmarkStart w:id="40" w:name="_Toc6831"/>
      <w:r>
        <w:rPr>
          <w:rFonts w:hint="eastAsia" w:ascii="黑体" w:hAnsi="黑体" w:eastAsia="黑体"/>
          <w:sz w:val="32"/>
          <w:szCs w:val="32"/>
          <w:highlight w:val="none"/>
        </w:rPr>
        <w:t>第四部分 部门决算报表（见附表）</w:t>
      </w:r>
      <w:bookmarkEnd w:id="4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1" w:name="_Toc3845"/>
      <w:bookmarkStart w:id="42" w:name="_Toc6062"/>
      <w:r>
        <w:rPr>
          <w:rFonts w:hint="eastAsia" w:ascii="仿宋_GB2312" w:hAnsi="仿宋_GB2312" w:eastAsia="仿宋_GB2312" w:cs="仿宋_GB2312"/>
          <w:bCs/>
          <w:kern w:val="0"/>
          <w:sz w:val="32"/>
          <w:szCs w:val="32"/>
          <w:highlight w:val="none"/>
        </w:rPr>
        <w:t>一、《收入支出决算总表》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3" w:name="_Toc11927"/>
      <w:bookmarkStart w:id="44" w:name="_Toc30364"/>
      <w:r>
        <w:rPr>
          <w:rFonts w:hint="eastAsia" w:ascii="仿宋_GB2312" w:hAnsi="仿宋_GB2312" w:eastAsia="仿宋_GB2312" w:cs="仿宋_GB2312"/>
          <w:bCs/>
          <w:kern w:val="0"/>
          <w:sz w:val="32"/>
          <w:szCs w:val="32"/>
          <w:highlight w:val="none"/>
        </w:rPr>
        <w:t>二、《收入决算表》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5" w:name="_Toc7443"/>
      <w:bookmarkStart w:id="46" w:name="_Toc21304"/>
      <w:r>
        <w:rPr>
          <w:rFonts w:hint="eastAsia" w:ascii="仿宋_GB2312" w:hAnsi="仿宋_GB2312" w:eastAsia="仿宋_GB2312" w:cs="仿宋_GB2312"/>
          <w:bCs/>
          <w:kern w:val="0"/>
          <w:sz w:val="32"/>
          <w:szCs w:val="32"/>
          <w:highlight w:val="none"/>
        </w:rPr>
        <w:t>三、《支出决算表》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7" w:name="_Toc14238"/>
      <w:bookmarkStart w:id="48" w:name="_Toc24884"/>
      <w:r>
        <w:rPr>
          <w:rFonts w:hint="eastAsia" w:ascii="仿宋_GB2312" w:hAnsi="仿宋_GB2312" w:eastAsia="仿宋_GB2312" w:cs="仿宋_GB2312"/>
          <w:bCs/>
          <w:kern w:val="0"/>
          <w:sz w:val="32"/>
          <w:szCs w:val="32"/>
          <w:highlight w:val="none"/>
        </w:rPr>
        <w:t>四、《财政拨款收入支出决算总表》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9" w:name="_Toc16518"/>
      <w:bookmarkStart w:id="50" w:name="_Toc10347"/>
      <w:r>
        <w:rPr>
          <w:rFonts w:hint="eastAsia" w:ascii="仿宋_GB2312" w:hAnsi="仿宋_GB2312" w:eastAsia="仿宋_GB2312" w:cs="仿宋_GB2312"/>
          <w:bCs/>
          <w:kern w:val="0"/>
          <w:sz w:val="32"/>
          <w:szCs w:val="32"/>
          <w:highlight w:val="none"/>
        </w:rPr>
        <w:t>五、《一般公共预算财政拨款支出决算表》</w:t>
      </w:r>
      <w:bookmarkEnd w:id="49"/>
      <w:bookmarkEnd w:id="5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1" w:name="_Toc20514"/>
      <w:bookmarkStart w:id="52" w:name="_Toc5626"/>
      <w:r>
        <w:rPr>
          <w:rFonts w:hint="eastAsia" w:ascii="仿宋_GB2312" w:hAnsi="仿宋_GB2312" w:eastAsia="仿宋_GB2312" w:cs="仿宋_GB2312"/>
          <w:bCs/>
          <w:kern w:val="0"/>
          <w:sz w:val="32"/>
          <w:szCs w:val="32"/>
          <w:highlight w:val="none"/>
        </w:rPr>
        <w:t>六、《一般公共预算财政拨款基本支出决算表》</w:t>
      </w:r>
      <w:bookmarkEnd w:id="51"/>
      <w:bookmarkEnd w:id="5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3" w:name="_Toc5453"/>
      <w:bookmarkStart w:id="54" w:name="_Toc18055"/>
      <w:r>
        <w:rPr>
          <w:rFonts w:hint="eastAsia" w:ascii="仿宋_GB2312" w:hAnsi="仿宋_GB2312" w:eastAsia="仿宋_GB2312" w:cs="仿宋_GB2312"/>
          <w:bCs/>
          <w:kern w:val="0"/>
          <w:sz w:val="32"/>
          <w:szCs w:val="32"/>
          <w:highlight w:val="none"/>
        </w:rPr>
        <w:t>七、《政府性基金预算财政拨款收入支出决算表》</w:t>
      </w:r>
      <w:bookmarkEnd w:id="53"/>
      <w:bookmarkEnd w:id="5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5" w:name="_Toc10719"/>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bookmarkEnd w:id="5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6" w:name="_Toc32663"/>
      <w:bookmarkStart w:id="57" w:name="_Toc29106"/>
      <w:bookmarkStart w:id="58" w:name="_Toc18861"/>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bookmarkEnd w:id="56"/>
      <w:bookmarkEnd w:id="57"/>
      <w:bookmarkEnd w:id="58"/>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2709"/>
        </w:tabs>
        <w:bidi w:val="0"/>
        <w:jc w:val="left"/>
        <w:rPr>
          <w:rFonts w:hint="eastAsia"/>
          <w:lang w:val="en-US" w:eastAsia="zh-CN"/>
        </w:rPr>
      </w:pPr>
      <w:r>
        <w:rPr>
          <w:rFonts w:hint="eastAsia"/>
          <w:lang w:val="en-US" w:eastAsia="zh-CN"/>
        </w:rPr>
        <w:tab/>
      </w:r>
    </w:p>
    <w:p>
      <w:pPr>
        <w:rPr>
          <w:rFonts w:hint="eastAsia"/>
          <w:lang w:val="en-US" w:eastAsia="zh-CN"/>
        </w:rPr>
      </w:pPr>
      <w:r>
        <w:drawing>
          <wp:inline distT="0" distB="0" distL="114300" distR="114300">
            <wp:extent cx="5467350" cy="819467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5467350" cy="8194675"/>
                    </a:xfrm>
                    <a:prstGeom prst="rect">
                      <a:avLst/>
                    </a:prstGeom>
                    <a:noFill/>
                    <a:ln>
                      <a:noFill/>
                    </a:ln>
                  </pic:spPr>
                </pic:pic>
              </a:graphicData>
            </a:graphic>
          </wp:inline>
        </w:drawing>
      </w:r>
    </w:p>
    <w:p>
      <w:pPr>
        <w:pStyle w:val="2"/>
        <w:rPr>
          <w:rFonts w:hint="eastAsia"/>
          <w:lang w:val="en-US" w:eastAsia="zh-CN"/>
        </w:rPr>
      </w:pPr>
    </w:p>
    <w:p>
      <w:pPr>
        <w:rPr>
          <w:rFonts w:hint="eastAsia"/>
          <w:lang w:val="en-US" w:eastAsia="zh-CN"/>
        </w:rPr>
      </w:pPr>
    </w:p>
    <w:p>
      <w:pPr>
        <w:rPr>
          <w:rFonts w:hint="eastAsia"/>
          <w:lang w:val="en-US" w:eastAsia="zh-CN"/>
        </w:rPr>
      </w:pPr>
      <w:r>
        <w:drawing>
          <wp:inline distT="0" distB="0" distL="114300" distR="114300">
            <wp:extent cx="5448300" cy="7597775"/>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6"/>
                    <a:stretch>
                      <a:fillRect/>
                    </a:stretch>
                  </pic:blipFill>
                  <pic:spPr>
                    <a:xfrm>
                      <a:off x="0" y="0"/>
                      <a:ext cx="5448300" cy="7597775"/>
                    </a:xfrm>
                    <a:prstGeom prst="rect">
                      <a:avLst/>
                    </a:prstGeom>
                    <a:noFill/>
                    <a:ln>
                      <a:noFill/>
                    </a:ln>
                  </pic:spPr>
                </pic:pic>
              </a:graphicData>
            </a:graphic>
          </wp:inline>
        </w:drawing>
      </w: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r>
        <w:drawing>
          <wp:inline distT="0" distB="0" distL="114300" distR="114300">
            <wp:extent cx="5447665" cy="7640955"/>
            <wp:effectExtent l="0" t="0" r="635"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7"/>
                    <a:stretch>
                      <a:fillRect/>
                    </a:stretch>
                  </pic:blipFill>
                  <pic:spPr>
                    <a:xfrm>
                      <a:off x="0" y="0"/>
                      <a:ext cx="5447665" cy="7640955"/>
                    </a:xfrm>
                    <a:prstGeom prst="rect">
                      <a:avLst/>
                    </a:prstGeom>
                    <a:noFill/>
                    <a:ln>
                      <a:noFill/>
                    </a:ln>
                  </pic:spPr>
                </pic:pic>
              </a:graphicData>
            </a:graphic>
          </wp:inline>
        </w:drawing>
      </w:r>
    </w:p>
    <w:p>
      <w:pPr>
        <w:pStyle w:val="2"/>
      </w:pPr>
    </w:p>
    <w:p/>
    <w:p>
      <w:pPr>
        <w:pStyle w:val="2"/>
      </w:pPr>
    </w:p>
    <w:p/>
    <w:p>
      <w:pPr>
        <w:rPr>
          <w:rFonts w:hint="eastAsia"/>
          <w:lang w:val="en-US" w:eastAsia="zh-CN"/>
        </w:rPr>
      </w:pPr>
      <w:r>
        <w:drawing>
          <wp:inline distT="0" distB="0" distL="114300" distR="114300">
            <wp:extent cx="5515610" cy="7327900"/>
            <wp:effectExtent l="0" t="0" r="8890" b="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8"/>
                    <a:stretch>
                      <a:fillRect/>
                    </a:stretch>
                  </pic:blipFill>
                  <pic:spPr>
                    <a:xfrm>
                      <a:off x="0" y="0"/>
                      <a:ext cx="5515610" cy="7327900"/>
                    </a:xfrm>
                    <a:prstGeom prst="rect">
                      <a:avLst/>
                    </a:prstGeom>
                    <a:noFill/>
                    <a:ln>
                      <a:noFill/>
                    </a:ln>
                  </pic:spPr>
                </pic:pic>
              </a:graphicData>
            </a:graphic>
          </wp:inline>
        </w:drawing>
      </w: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rPr>
          <w:rFonts w:hint="eastAsia"/>
          <w:lang w:val="en-US" w:eastAsia="zh-CN"/>
        </w:rPr>
      </w:pPr>
      <w:r>
        <w:drawing>
          <wp:inline distT="0" distB="0" distL="114300" distR="114300">
            <wp:extent cx="5480050" cy="8079740"/>
            <wp:effectExtent l="0" t="0" r="6350" b="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9"/>
                    <a:stretch>
                      <a:fillRect/>
                    </a:stretch>
                  </pic:blipFill>
                  <pic:spPr>
                    <a:xfrm>
                      <a:off x="0" y="0"/>
                      <a:ext cx="5480050" cy="8079740"/>
                    </a:xfrm>
                    <a:prstGeom prst="rect">
                      <a:avLst/>
                    </a:prstGeom>
                    <a:noFill/>
                    <a:ln>
                      <a:noFill/>
                    </a:ln>
                  </pic:spPr>
                </pic:pic>
              </a:graphicData>
            </a:graphic>
          </wp:inline>
        </w:drawing>
      </w:r>
    </w:p>
    <w:p>
      <w:pPr>
        <w:pStyle w:val="2"/>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drawing>
          <wp:inline distT="0" distB="0" distL="114300" distR="114300">
            <wp:extent cx="5416550" cy="7713345"/>
            <wp:effectExtent l="0" t="0" r="12700" b="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10"/>
                    <a:stretch>
                      <a:fillRect/>
                    </a:stretch>
                  </pic:blipFill>
                  <pic:spPr>
                    <a:xfrm>
                      <a:off x="0" y="0"/>
                      <a:ext cx="5416550" cy="7713345"/>
                    </a:xfrm>
                    <a:prstGeom prst="rect">
                      <a:avLst/>
                    </a:prstGeom>
                    <a:noFill/>
                    <a:ln>
                      <a:noFill/>
                    </a:ln>
                  </pic:spPr>
                </pic:pic>
              </a:graphicData>
            </a:graphic>
          </wp:inline>
        </w:drawing>
      </w: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r>
        <w:drawing>
          <wp:inline distT="0" distB="0" distL="114300" distR="114300">
            <wp:extent cx="5382895" cy="4550410"/>
            <wp:effectExtent l="0" t="0" r="8255"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11"/>
                    <a:stretch>
                      <a:fillRect/>
                    </a:stretch>
                  </pic:blipFill>
                  <pic:spPr>
                    <a:xfrm>
                      <a:off x="0" y="0"/>
                      <a:ext cx="5382895" cy="4550410"/>
                    </a:xfrm>
                    <a:prstGeom prst="rect">
                      <a:avLst/>
                    </a:prstGeom>
                    <a:noFill/>
                    <a:ln>
                      <a:noFill/>
                    </a:ln>
                  </pic:spPr>
                </pic:pic>
              </a:graphicData>
            </a:graphic>
          </wp:inline>
        </w:drawing>
      </w:r>
    </w:p>
    <w:p>
      <w:pPr>
        <w:pStyle w:val="2"/>
      </w:pPr>
    </w:p>
    <w:p/>
    <w:p>
      <w:pPr>
        <w:pStyle w:val="2"/>
      </w:pPr>
    </w:p>
    <w:p/>
    <w:p>
      <w:pPr>
        <w:pStyle w:val="2"/>
      </w:pPr>
    </w:p>
    <w:p/>
    <w:p>
      <w:pPr>
        <w:pStyle w:val="2"/>
      </w:pPr>
    </w:p>
    <w:p/>
    <w:p>
      <w:pPr>
        <w:pStyle w:val="2"/>
      </w:pPr>
    </w:p>
    <w:p/>
    <w:p>
      <w:pPr>
        <w:pStyle w:val="2"/>
      </w:pPr>
    </w:p>
    <w:p/>
    <w:p>
      <w:pPr>
        <w:pStyle w:val="2"/>
      </w:pPr>
    </w:p>
    <w:p/>
    <w:p>
      <w:r>
        <w:drawing>
          <wp:inline distT="0" distB="0" distL="114300" distR="114300">
            <wp:extent cx="5443855" cy="4740275"/>
            <wp:effectExtent l="0" t="0" r="4445" b="0"/>
            <wp:docPr id="2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pic:cNvPicPr>
                      <a:picLocks noChangeAspect="1"/>
                    </pic:cNvPicPr>
                  </pic:nvPicPr>
                  <pic:blipFill>
                    <a:blip r:embed="rId12"/>
                    <a:stretch>
                      <a:fillRect/>
                    </a:stretch>
                  </pic:blipFill>
                  <pic:spPr>
                    <a:xfrm>
                      <a:off x="0" y="0"/>
                      <a:ext cx="5443855" cy="4740275"/>
                    </a:xfrm>
                    <a:prstGeom prst="rect">
                      <a:avLst/>
                    </a:prstGeom>
                    <a:noFill/>
                    <a:ln>
                      <a:noFill/>
                    </a:ln>
                  </pic:spPr>
                </pic:pic>
              </a:graphicData>
            </a:graphic>
          </wp:inline>
        </w:drawing>
      </w:r>
    </w:p>
    <w:p>
      <w:pPr>
        <w:pStyle w:val="2"/>
      </w:pPr>
    </w:p>
    <w:p/>
    <w:p>
      <w:pPr>
        <w:pStyle w:val="2"/>
      </w:pPr>
    </w:p>
    <w:p/>
    <w:p>
      <w:pPr>
        <w:pStyle w:val="2"/>
      </w:pPr>
    </w:p>
    <w:p/>
    <w:p>
      <w:pPr>
        <w:pStyle w:val="2"/>
      </w:pPr>
    </w:p>
    <w:p/>
    <w:p>
      <w:pPr>
        <w:pStyle w:val="2"/>
      </w:pPr>
    </w:p>
    <w:p/>
    <w:p>
      <w:pPr>
        <w:pStyle w:val="2"/>
      </w:pPr>
    </w:p>
    <w:p/>
    <w:p>
      <w:pPr>
        <w:pStyle w:val="2"/>
      </w:pPr>
    </w:p>
    <w:p/>
    <w:p>
      <w:pPr>
        <w:rPr>
          <w:rFonts w:hint="eastAsia"/>
          <w:lang w:val="en-US" w:eastAsia="zh-CN"/>
        </w:rPr>
      </w:pPr>
    </w:p>
    <w:p>
      <w:pPr>
        <w:rPr>
          <w:rFonts w:hint="eastAsia"/>
          <w:lang w:val="en-US" w:eastAsia="zh-CN"/>
        </w:rPr>
      </w:pPr>
      <w:r>
        <w:drawing>
          <wp:inline distT="0" distB="0" distL="114300" distR="114300">
            <wp:extent cx="5405755" cy="2465070"/>
            <wp:effectExtent l="0" t="0" r="4445" b="0"/>
            <wp:docPr id="2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pic:cNvPicPr>
                      <a:picLocks noChangeAspect="1"/>
                    </pic:cNvPicPr>
                  </pic:nvPicPr>
                  <pic:blipFill>
                    <a:blip r:embed="rId13"/>
                    <a:stretch>
                      <a:fillRect/>
                    </a:stretch>
                  </pic:blipFill>
                  <pic:spPr>
                    <a:xfrm>
                      <a:off x="0" y="0"/>
                      <a:ext cx="5405755" cy="2465070"/>
                    </a:xfrm>
                    <a:prstGeom prst="rect">
                      <a:avLst/>
                    </a:prstGeom>
                    <a:noFill/>
                    <a:ln>
                      <a:noFill/>
                    </a:ln>
                  </pic:spPr>
                </pic:pic>
              </a:graphicData>
            </a:graphic>
          </wp:inline>
        </w:drawing>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D38BE99-AC08-4C73-9CBA-2EEA19D7B83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10C34FDE-80E3-46BD-84A2-F4F9513A5886}"/>
  </w:font>
  <w:font w:name="仿宋_GB2312">
    <w:panose1 w:val="02010609030101010101"/>
    <w:charset w:val="86"/>
    <w:family w:val="modern"/>
    <w:pitch w:val="default"/>
    <w:sig w:usb0="00000001" w:usb1="080E0000" w:usb2="00000000" w:usb3="00000000" w:csb0="00040000" w:csb1="00000000"/>
    <w:embedRegular r:id="rId3" w:fontKey="{D4226F7B-5C0E-449D-9C89-06A59EACF49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F73D26"/>
    <w:rsid w:val="034D4FEF"/>
    <w:rsid w:val="03DE0026"/>
    <w:rsid w:val="043E5B56"/>
    <w:rsid w:val="06792773"/>
    <w:rsid w:val="099A2674"/>
    <w:rsid w:val="09A729D8"/>
    <w:rsid w:val="0A7B4867"/>
    <w:rsid w:val="0B8C3ECC"/>
    <w:rsid w:val="0BB344AA"/>
    <w:rsid w:val="0BEF1886"/>
    <w:rsid w:val="0C130F17"/>
    <w:rsid w:val="0C3613A3"/>
    <w:rsid w:val="0C7227A7"/>
    <w:rsid w:val="0DCA6EF7"/>
    <w:rsid w:val="0E4B1576"/>
    <w:rsid w:val="11E15093"/>
    <w:rsid w:val="120E0809"/>
    <w:rsid w:val="12403FDE"/>
    <w:rsid w:val="134E38B3"/>
    <w:rsid w:val="15D21C55"/>
    <w:rsid w:val="165A55E2"/>
    <w:rsid w:val="17316740"/>
    <w:rsid w:val="1875698D"/>
    <w:rsid w:val="19071D6C"/>
    <w:rsid w:val="1A321764"/>
    <w:rsid w:val="1C317E4F"/>
    <w:rsid w:val="1C472464"/>
    <w:rsid w:val="1DAF458D"/>
    <w:rsid w:val="1DD054A6"/>
    <w:rsid w:val="1E086ACE"/>
    <w:rsid w:val="1EAA4A5F"/>
    <w:rsid w:val="1F587A0B"/>
    <w:rsid w:val="2064678E"/>
    <w:rsid w:val="20DD6197"/>
    <w:rsid w:val="21846034"/>
    <w:rsid w:val="21F317F2"/>
    <w:rsid w:val="2241392C"/>
    <w:rsid w:val="23BC04D2"/>
    <w:rsid w:val="25275618"/>
    <w:rsid w:val="27CF2642"/>
    <w:rsid w:val="282459E2"/>
    <w:rsid w:val="2A053397"/>
    <w:rsid w:val="2A444FB1"/>
    <w:rsid w:val="2A6064E2"/>
    <w:rsid w:val="2BA9200B"/>
    <w:rsid w:val="2D1136DF"/>
    <w:rsid w:val="2D9374B1"/>
    <w:rsid w:val="2DAE0E44"/>
    <w:rsid w:val="2FD27414"/>
    <w:rsid w:val="313F1D52"/>
    <w:rsid w:val="318029AB"/>
    <w:rsid w:val="31C63837"/>
    <w:rsid w:val="32200A33"/>
    <w:rsid w:val="326F0A17"/>
    <w:rsid w:val="32FC7EA6"/>
    <w:rsid w:val="34D31902"/>
    <w:rsid w:val="374B62CB"/>
    <w:rsid w:val="387F3BEF"/>
    <w:rsid w:val="3914510A"/>
    <w:rsid w:val="3B1220C9"/>
    <w:rsid w:val="3D5275AC"/>
    <w:rsid w:val="3EA7725F"/>
    <w:rsid w:val="40834692"/>
    <w:rsid w:val="40E2050B"/>
    <w:rsid w:val="40FC7F33"/>
    <w:rsid w:val="41341301"/>
    <w:rsid w:val="423A32B2"/>
    <w:rsid w:val="44416EC7"/>
    <w:rsid w:val="44513EBA"/>
    <w:rsid w:val="464B7E04"/>
    <w:rsid w:val="46901EEE"/>
    <w:rsid w:val="469C74D2"/>
    <w:rsid w:val="47445515"/>
    <w:rsid w:val="491B21ED"/>
    <w:rsid w:val="499A69FF"/>
    <w:rsid w:val="49CA5526"/>
    <w:rsid w:val="4A553F3E"/>
    <w:rsid w:val="4B4C0111"/>
    <w:rsid w:val="4BF55F65"/>
    <w:rsid w:val="4C9A267D"/>
    <w:rsid w:val="4D730311"/>
    <w:rsid w:val="502C3414"/>
    <w:rsid w:val="50DB5F45"/>
    <w:rsid w:val="516E054F"/>
    <w:rsid w:val="52F92565"/>
    <w:rsid w:val="55335914"/>
    <w:rsid w:val="55DA564E"/>
    <w:rsid w:val="56E07045"/>
    <w:rsid w:val="583059FA"/>
    <w:rsid w:val="587E6212"/>
    <w:rsid w:val="5AFC6609"/>
    <w:rsid w:val="5FA17648"/>
    <w:rsid w:val="613409CB"/>
    <w:rsid w:val="61A46A97"/>
    <w:rsid w:val="62137A47"/>
    <w:rsid w:val="62DD7D21"/>
    <w:rsid w:val="630F7F03"/>
    <w:rsid w:val="65D97752"/>
    <w:rsid w:val="65EC149C"/>
    <w:rsid w:val="664C500C"/>
    <w:rsid w:val="6773145F"/>
    <w:rsid w:val="68DB0208"/>
    <w:rsid w:val="69635503"/>
    <w:rsid w:val="69846A0E"/>
    <w:rsid w:val="69AD798C"/>
    <w:rsid w:val="69C308C6"/>
    <w:rsid w:val="6B68175F"/>
    <w:rsid w:val="6B8B5C99"/>
    <w:rsid w:val="6E0F7A08"/>
    <w:rsid w:val="6E801ABC"/>
    <w:rsid w:val="71473612"/>
    <w:rsid w:val="718F7F65"/>
    <w:rsid w:val="72CA3E8D"/>
    <w:rsid w:val="73423603"/>
    <w:rsid w:val="73DE4104"/>
    <w:rsid w:val="73FB6630"/>
    <w:rsid w:val="74CE04EC"/>
    <w:rsid w:val="74E76DCD"/>
    <w:rsid w:val="76660D7C"/>
    <w:rsid w:val="771334B6"/>
    <w:rsid w:val="77361C82"/>
    <w:rsid w:val="77BA5BD0"/>
    <w:rsid w:val="77ED6F44"/>
    <w:rsid w:val="795A0A34"/>
    <w:rsid w:val="79FB30B5"/>
    <w:rsid w:val="7A0D3BC7"/>
    <w:rsid w:val="7A3A3CDB"/>
    <w:rsid w:val="7D3604C2"/>
    <w:rsid w:val="7F950F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emf"/><Relationship Id="rId12" Type="http://schemas.openxmlformats.org/officeDocument/2006/relationships/image" Target="media/image8.emf"/><Relationship Id="rId11" Type="http://schemas.openxmlformats.org/officeDocument/2006/relationships/image" Target="media/image7.emf"/><Relationship Id="rId10" Type="http://schemas.openxmlformats.org/officeDocument/2006/relationships/image" Target="media/image6.emf"/><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6514</Words>
  <Characters>6595</Characters>
  <Lines>0</Lines>
  <Paragraphs>0</Paragraphs>
  <TotalTime>8</TotalTime>
  <ScaleCrop>false</ScaleCrop>
  <LinksUpToDate>false</LinksUpToDate>
  <CharactersWithSpaces>6606</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2025-08-20T09:35:47Z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3B3CB53E43D349399417C043CC8A2498</vt:lpwstr>
  </property>
  <property fmtid="{D5CDD505-2E9C-101B-9397-08002B2CF9AE}" pid="4" name="KSOTemplateDocerSaveRecord">
    <vt:lpwstr>eyJoZGlkIjoiMDAwYmRmZTlkODBlYWI2MWEzOGMyNWRlOTFmY2QzMTQiLCJ1c2VySWQiOiI3MDk1OTYwNjkifQ==</vt:lpwstr>
  </property>
</Properties>
</file>