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ms-word.document.macroEnabled.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ageBreakBefore w:val="0"/>
        <w:widowControl w:val="0"/>
        <w:kinsoku/>
        <w:wordWrap/>
        <w:overflowPunct/>
        <w:topLinePunct w:val="0"/>
        <w:autoSpaceDE/>
        <w:autoSpaceDN/>
        <w:bidi w:val="0"/>
        <w:adjustRightInd/>
        <w:jc w:val="center"/>
        <w:textAlignment w:val="auto"/>
        <w:rPr>
          <w:rFonts w:hint="eastAsia" w:ascii="方正小标宋_GBK" w:hAnsi="方正小标宋_GBK" w:eastAsia="方正小标宋_GBK" w:cs="方正小标宋_GBK"/>
          <w:sz w:val="44"/>
          <w:szCs w:val="44"/>
        </w:rPr>
      </w:pPr>
    </w:p>
    <w:p>
      <w:pPr>
        <w:pageBreakBefore w:val="0"/>
        <w:widowControl w:val="0"/>
        <w:kinsoku/>
        <w:wordWrap/>
        <w:overflowPunct/>
        <w:topLinePunct w:val="0"/>
        <w:autoSpaceDE/>
        <w:autoSpaceDN/>
        <w:bidi w:val="0"/>
        <w:adjustRightInd/>
        <w:jc w:val="center"/>
        <w:textAlignment w:val="auto"/>
        <w:rPr>
          <w:rFonts w:hint="eastAsia" w:ascii="方正小标宋_GBK" w:hAnsi="方正小标宋_GBK" w:eastAsia="方正小标宋_GBK" w:cs="方正小标宋_GBK"/>
          <w:sz w:val="44"/>
          <w:szCs w:val="44"/>
        </w:rPr>
      </w:pPr>
    </w:p>
    <w:p>
      <w:pPr>
        <w:pageBreakBefore w:val="0"/>
        <w:widowControl w:val="0"/>
        <w:kinsoku/>
        <w:wordWrap/>
        <w:overflowPunct/>
        <w:topLinePunct w:val="0"/>
        <w:autoSpaceDE/>
        <w:autoSpaceDN/>
        <w:bidi w:val="0"/>
        <w:adjustRightInd/>
        <w:jc w:val="center"/>
        <w:textAlignment w:val="auto"/>
        <w:rPr>
          <w:rFonts w:hint="eastAsia" w:ascii="方正小标宋_GBK" w:hAnsi="方正小标宋_GBK" w:eastAsia="方正小标宋_GBK" w:cs="方正小标宋_GBK"/>
          <w:sz w:val="44"/>
          <w:szCs w:val="44"/>
        </w:rPr>
      </w:pPr>
    </w:p>
    <w:p>
      <w:pPr>
        <w:pageBreakBefore w:val="0"/>
        <w:widowControl w:val="0"/>
        <w:kinsoku/>
        <w:wordWrap/>
        <w:overflowPunct/>
        <w:topLinePunct w:val="0"/>
        <w:autoSpaceDE/>
        <w:autoSpaceDN/>
        <w:bidi w:val="0"/>
        <w:adjustRightInd/>
        <w:jc w:val="center"/>
        <w:textAlignment w:val="auto"/>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库尔勒市塔什店镇人民政府</w:t>
      </w:r>
    </w:p>
    <w:p>
      <w:pPr>
        <w:pageBreakBefore w:val="0"/>
        <w:widowControl w:val="0"/>
        <w:kinsoku/>
        <w:wordWrap/>
        <w:overflowPunct/>
        <w:topLinePunct w:val="0"/>
        <w:autoSpaceDE/>
        <w:autoSpaceDN/>
        <w:bidi w:val="0"/>
        <w:adjustRightInd/>
        <w:jc w:val="center"/>
        <w:textAlignment w:val="auto"/>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2024年度部门决算</w:t>
      </w:r>
    </w:p>
    <w:p>
      <w:pPr>
        <w:pageBreakBefore w:val="0"/>
        <w:widowControl w:val="0"/>
        <w:kinsoku/>
        <w:wordWrap/>
        <w:overflowPunct/>
        <w:topLinePunct w:val="0"/>
        <w:autoSpaceDE/>
        <w:autoSpaceDN/>
        <w:bidi w:val="0"/>
        <w:adjustRightInd/>
        <w:jc w:val="center"/>
        <w:textAlignment w:val="auto"/>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公开说明</w:t>
      </w: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both"/>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目  录</w:t>
      </w:r>
    </w:p>
    <w:p>
      <w:pPr>
        <w:keepNext w:val="0"/>
        <w:keepLines w:val="0"/>
        <w:pageBreakBefore w:val="0"/>
        <w:widowControl w:val="0"/>
        <w:kinsoku/>
        <w:wordWrap/>
        <w:overflowPunct/>
        <w:topLinePunct w:val="0"/>
        <w:autoSpaceDE/>
        <w:autoSpaceDN/>
        <w:bidi w:val="0"/>
        <w:adjustRightInd/>
        <w:snapToGrid/>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第一部分 单位概况</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一、主要职能</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二、机构设置及人员情况</w:t>
      </w:r>
    </w:p>
    <w:p>
      <w:pPr>
        <w:keepNext w:val="0"/>
        <w:keepLines w:val="0"/>
        <w:pageBreakBefore w:val="0"/>
        <w:widowControl w:val="0"/>
        <w:kinsoku/>
        <w:wordWrap/>
        <w:overflowPunct/>
        <w:topLinePunct w:val="0"/>
        <w:autoSpaceDE/>
        <w:autoSpaceDN/>
        <w:bidi w:val="0"/>
        <w:adjustRightInd/>
        <w:snapToGrid/>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第二部分 部门决算情况说明</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一、收入支出决算总体情况说明</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二、收入决算情况说明</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三、支出决算情况说明</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四、财政拨款收入支出决算总体情况说明</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五、一般公共预算财政拨款支出决算情况说明</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（一）一般公共预算财政拨款支出决算总体情况</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（二）一般公共预算财政拨款支出决算结构情况</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（三）一般公共预算财政拨款支出决算具体情况</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六、一般公共预算财政拨款基本支出决算情况说明</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七、政府性基金预算财政拨款收入支出决算情况说明</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八、国有资本经营预算财政拨款收入支出决算情况说明</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九、财政拨款“三公”经费支出决算情况说明</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十、其他重要事项的情况说明</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（一）机关运行经费及公用经费支出情况</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（二）政府采购情况</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（三）国有资产占用情况说明</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十一、预算绩效的情况说明</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十二、其他需说明的事项</w:t>
      </w:r>
    </w:p>
    <w:p>
      <w:pPr>
        <w:keepNext w:val="0"/>
        <w:keepLines w:val="0"/>
        <w:pageBreakBefore w:val="0"/>
        <w:widowControl w:val="0"/>
        <w:kinsoku/>
        <w:wordWrap/>
        <w:overflowPunct/>
        <w:topLinePunct w:val="0"/>
        <w:autoSpaceDE/>
        <w:autoSpaceDN/>
        <w:bidi w:val="0"/>
        <w:adjustRightInd/>
        <w:snapToGrid/>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第三部分 专业名词解释</w:t>
      </w:r>
    </w:p>
    <w:p>
      <w:pPr>
        <w:keepNext w:val="0"/>
        <w:keepLines w:val="0"/>
        <w:pageBreakBefore w:val="0"/>
        <w:widowControl w:val="0"/>
        <w:kinsoku/>
        <w:wordWrap/>
        <w:overflowPunct/>
        <w:topLinePunct w:val="0"/>
        <w:autoSpaceDE/>
        <w:autoSpaceDN/>
        <w:bidi w:val="0"/>
        <w:adjustRightInd/>
        <w:snapToGrid/>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第四部分 部门决算报表（见附表）</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一、《收入支出决算总表》</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二、《收入决算表》</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三、《支出决算表》</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四、《财政拨款收入支出决算总表》</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五、《一般公共预算财政拨款支出决算表》</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六、《一般公共预算财政拨款基本支出决算表》</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七、《政府性基金预算财政拨款收入支出决算表》</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八、《国有资本经营预算财政拨款收入支出决算表》</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九、《财政拨款“三公”经费支出决算表》</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p>
    <w:p>
      <w:pPr>
        <w:keepNext w:val="0"/>
        <w:keepLines w:val="0"/>
        <w:pageBreakBefore w:val="0"/>
        <w:widowControl w:val="0"/>
        <w:numPr>
          <w:ilvl w:val="0"/>
          <w:numId w:val="0"/>
        </w:numPr>
        <w:kinsoku/>
        <w:wordWrap/>
        <w:overflowPunct/>
        <w:topLinePunct w:val="0"/>
        <w:autoSpaceDE/>
        <w:autoSpaceDN/>
        <w:bidi w:val="0"/>
        <w:adjustRightInd/>
        <w:snapToGrid/>
        <w:jc w:val="both"/>
        <w:textAlignment w:val="auto"/>
        <w:rPr>
          <w:rFonts w:hint="default" w:ascii="Times New Roman" w:hAnsi="Times New Roman" w:eastAsia="方正仿宋_GBK" w:cs="Times New Roman"/>
          <w:sz w:val="32"/>
          <w:szCs w:val="32"/>
        </w:rPr>
      </w:pPr>
    </w:p>
    <w:p>
      <w:pPr>
        <w:pageBreakBefore w:val="0"/>
        <w:widowControl w:val="0"/>
        <w:numPr>
          <w:ilvl w:val="0"/>
          <w:numId w:val="0"/>
        </w:numPr>
        <w:kinsoku/>
        <w:wordWrap/>
        <w:overflowPunct/>
        <w:topLinePunct w:val="0"/>
        <w:autoSpaceDE/>
        <w:autoSpaceDN/>
        <w:bidi w:val="0"/>
        <w:adjustRightInd/>
        <w:jc w:val="both"/>
        <w:textAlignment w:val="auto"/>
        <w:rPr>
          <w:rFonts w:hint="default" w:ascii="Times New Roman" w:hAnsi="Times New Roman" w:eastAsia="方正仿宋_GBK" w:cs="Times New Roman"/>
          <w:sz w:val="32"/>
          <w:szCs w:val="32"/>
        </w:rPr>
      </w:pPr>
    </w:p>
    <w:p>
      <w:pPr>
        <w:pageBreakBefore w:val="0"/>
        <w:widowControl w:val="0"/>
        <w:numPr>
          <w:ilvl w:val="0"/>
          <w:numId w:val="0"/>
        </w:numPr>
        <w:kinsoku/>
        <w:wordWrap/>
        <w:overflowPunct/>
        <w:topLinePunct w:val="0"/>
        <w:autoSpaceDE/>
        <w:autoSpaceDN/>
        <w:bidi w:val="0"/>
        <w:adjustRightInd/>
        <w:jc w:val="both"/>
        <w:textAlignment w:val="auto"/>
        <w:rPr>
          <w:rFonts w:hint="default" w:ascii="Times New Roman" w:hAnsi="Times New Roman" w:eastAsia="方正仿宋_GBK" w:cs="Times New Roman"/>
          <w:sz w:val="32"/>
          <w:szCs w:val="32"/>
        </w:rPr>
      </w:pPr>
    </w:p>
    <w:p>
      <w:pPr>
        <w:pageBreakBefore w:val="0"/>
        <w:widowControl w:val="0"/>
        <w:numPr>
          <w:ilvl w:val="0"/>
          <w:numId w:val="0"/>
        </w:numPr>
        <w:kinsoku/>
        <w:wordWrap/>
        <w:overflowPunct/>
        <w:topLinePunct w:val="0"/>
        <w:autoSpaceDE/>
        <w:autoSpaceDN/>
        <w:bidi w:val="0"/>
        <w:adjustRightInd/>
        <w:jc w:val="both"/>
        <w:textAlignment w:val="auto"/>
        <w:rPr>
          <w:rFonts w:hint="default" w:ascii="Times New Roman" w:hAnsi="Times New Roman" w:eastAsia="方正仿宋_GBK" w:cs="Times New Roman"/>
          <w:sz w:val="32"/>
          <w:szCs w:val="32"/>
        </w:rPr>
      </w:pPr>
    </w:p>
    <w:p>
      <w:pPr>
        <w:pageBreakBefore w:val="0"/>
        <w:widowControl w:val="0"/>
        <w:numPr>
          <w:ilvl w:val="0"/>
          <w:numId w:val="0"/>
        </w:numPr>
        <w:kinsoku/>
        <w:wordWrap/>
        <w:overflowPunct/>
        <w:topLinePunct w:val="0"/>
        <w:autoSpaceDE/>
        <w:autoSpaceDN/>
        <w:bidi w:val="0"/>
        <w:adjustRightInd/>
        <w:jc w:val="both"/>
        <w:textAlignment w:val="auto"/>
        <w:rPr>
          <w:rFonts w:hint="default" w:ascii="Times New Roman" w:hAnsi="Times New Roman" w:eastAsia="方正仿宋_GBK" w:cs="Times New Roman"/>
          <w:sz w:val="32"/>
          <w:szCs w:val="32"/>
        </w:rPr>
      </w:pPr>
    </w:p>
    <w:p>
      <w:pPr>
        <w:pStyle w:val="2"/>
        <w:pageBreakBefore w:val="0"/>
        <w:widowControl w:val="0"/>
        <w:kinsoku/>
        <w:wordWrap/>
        <w:overflowPunct/>
        <w:topLinePunct w:val="0"/>
        <w:autoSpaceDE/>
        <w:autoSpaceDN/>
        <w:bidi w:val="0"/>
        <w:adjustRightInd/>
        <w:spacing w:before="0" w:beforeLines="0" w:after="0" w:afterLines="0"/>
        <w:textAlignment w:val="auto"/>
        <w:rPr>
          <w:rFonts w:hint="default"/>
        </w:rPr>
      </w:pPr>
    </w:p>
    <w:p>
      <w:pPr>
        <w:pageBreakBefore w:val="0"/>
        <w:widowControl w:val="0"/>
        <w:numPr>
          <w:ilvl w:val="0"/>
          <w:numId w:val="0"/>
        </w:numPr>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lang w:eastAsia="zh-CN"/>
        </w:rPr>
      </w:pPr>
    </w:p>
    <w:p>
      <w:pPr>
        <w:pageBreakBefore w:val="0"/>
        <w:widowControl w:val="0"/>
        <w:numPr>
          <w:ilvl w:val="0"/>
          <w:numId w:val="0"/>
        </w:numPr>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lang w:eastAsia="zh-CN"/>
        </w:rPr>
      </w:pPr>
    </w:p>
    <w:p>
      <w:pPr>
        <w:pageBreakBefore w:val="0"/>
        <w:widowControl w:val="0"/>
        <w:numPr>
          <w:ilvl w:val="0"/>
          <w:numId w:val="0"/>
        </w:numPr>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lang w:eastAsia="zh-CN"/>
        </w:rPr>
      </w:pPr>
    </w:p>
    <w:p>
      <w:pPr>
        <w:pageBreakBefore w:val="0"/>
        <w:widowControl w:val="0"/>
        <w:numPr>
          <w:ilvl w:val="0"/>
          <w:numId w:val="0"/>
        </w:numPr>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lang w:eastAsia="zh-CN"/>
        </w:rPr>
        <w:t>第一部分</w:t>
      </w:r>
      <w:r>
        <w:rPr>
          <w:rFonts w:hint="eastAsia" w:ascii="方正黑体_GBK" w:hAnsi="方正黑体_GBK" w:eastAsia="方正黑体_GBK" w:cs="方正黑体_GBK"/>
          <w:sz w:val="32"/>
          <w:szCs w:val="32"/>
          <w:lang w:val="en-US" w:eastAsia="zh-CN"/>
        </w:rPr>
        <w:t xml:space="preserve">  </w:t>
      </w:r>
      <w:r>
        <w:rPr>
          <w:rFonts w:hint="eastAsia" w:ascii="方正黑体_GBK" w:hAnsi="方正黑体_GBK" w:eastAsia="方正黑体_GBK" w:cs="方正黑体_GBK"/>
          <w:sz w:val="32"/>
          <w:szCs w:val="32"/>
        </w:rPr>
        <w:t>单位概况</w:t>
      </w:r>
    </w:p>
    <w:p>
      <w:pPr>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一、主要职能</w:t>
      </w:r>
    </w:p>
    <w:p>
      <w:pPr>
        <w:pageBreakBefore w:val="0"/>
        <w:widowControl w:val="0"/>
        <w:kinsoku/>
        <w:wordWrap/>
        <w:overflowPunct/>
        <w:topLinePunct w:val="0"/>
        <w:autoSpaceDE/>
        <w:autoSpaceDN/>
        <w:bidi w:val="0"/>
        <w:adjustRightInd/>
        <w:ind w:firstLine="640" w:firstLineChars="200"/>
        <w:textAlignment w:val="auto"/>
        <w:rPr>
          <w:rFonts w:hint="eastAsia" w:ascii="仿宋_GB2312" w:hAnsi="Times New Roman" w:eastAsia="仿宋_GB2312" w:cs="Times New Roman"/>
          <w:sz w:val="32"/>
          <w:szCs w:val="32"/>
        </w:rPr>
      </w:pPr>
      <w:r>
        <w:rPr>
          <w:rFonts w:hint="eastAsia" w:ascii="仿宋_GB2312" w:hAnsi="Times New Roman" w:eastAsia="仿宋_GB2312" w:cs="Times New Roman"/>
          <w:sz w:val="32"/>
          <w:szCs w:val="32"/>
        </w:rPr>
        <w:t>（一）加强党的建设。落实基层党建工作责任制，统筹抓  好基层党建工作；推进全面从严治党，强化“两个责任”;全  面加强基层宣传思想文化和统一战线工作，以铸牢中华民族共  同体意识为主线，积极引导宗教与社会主义社会相适应；负责党的社会工作，健全完善党建引领基层体系，强化基层治理，进一步增强党在基层的政治领导力、思想引领力、群众组织力、社会号召力；加强党对群团组织、非公有制经济组织、社会组织</w:t>
      </w:r>
      <w:r>
        <w:rPr>
          <w:rFonts w:hint="eastAsia" w:ascii="仿宋_GB2312" w:hAnsi="Times New Roman" w:eastAsia="仿宋_GB2312" w:cs="Times New Roman"/>
          <w:sz w:val="32"/>
          <w:szCs w:val="32"/>
          <w:lang w:eastAsia="zh-CN"/>
        </w:rPr>
        <w:t>、</w:t>
      </w:r>
      <w:r>
        <w:rPr>
          <w:rFonts w:hint="eastAsia" w:ascii="仿宋_GB2312" w:hAnsi="Times New Roman" w:eastAsia="仿宋_GB2312" w:cs="Times New Roman"/>
          <w:sz w:val="32"/>
          <w:szCs w:val="32"/>
        </w:rPr>
        <w:t>人民武装和其他各类组织的指导和规范，支持和保证其依照国家法律法规以及各自章程履行职责。</w:t>
      </w:r>
    </w:p>
    <w:p>
      <w:pPr>
        <w:pageBreakBefore w:val="0"/>
        <w:widowControl w:val="0"/>
        <w:kinsoku/>
        <w:wordWrap/>
        <w:overflowPunct/>
        <w:topLinePunct w:val="0"/>
        <w:autoSpaceDE/>
        <w:autoSpaceDN/>
        <w:bidi w:val="0"/>
        <w:adjustRightInd/>
        <w:ind w:firstLine="640" w:firstLineChars="200"/>
        <w:textAlignment w:val="auto"/>
        <w:rPr>
          <w:rFonts w:hint="eastAsia" w:ascii="仿宋_GB2312" w:hAnsi="Times New Roman" w:eastAsia="仿宋_GB2312" w:cs="Times New Roman"/>
          <w:sz w:val="32"/>
          <w:szCs w:val="32"/>
        </w:rPr>
      </w:pPr>
      <w:r>
        <w:rPr>
          <w:rFonts w:hint="eastAsia" w:ascii="仿宋_GB2312" w:hAnsi="Times New Roman" w:eastAsia="仿宋_GB2312" w:cs="Times New Roman"/>
          <w:sz w:val="32"/>
          <w:szCs w:val="32"/>
        </w:rPr>
        <w:t>（二）推动经济发展。制定本行政区域经济社会发展规划 和年度计划并组织实施；因地制宜发展区域特色经济，指导农 村经济结构调整和推进经济增长方式转变，营造发展环境，组 织农村基础设施建设，落实强农惠农措施，为经济主体提供示 范引导和政策服务，引导和促进新型农村专业合作经济组织发展；加强镇财政、农村合作经济组织以及集体资产的管理；加强对村集体财产的监督。</w:t>
      </w:r>
    </w:p>
    <w:p>
      <w:pPr>
        <w:pageBreakBefore w:val="0"/>
        <w:widowControl w:val="0"/>
        <w:kinsoku/>
        <w:wordWrap/>
        <w:overflowPunct/>
        <w:topLinePunct w:val="0"/>
        <w:autoSpaceDE/>
        <w:autoSpaceDN/>
        <w:bidi w:val="0"/>
        <w:adjustRightInd/>
        <w:ind w:firstLine="640" w:firstLineChars="200"/>
        <w:textAlignment w:val="auto"/>
        <w:rPr>
          <w:rFonts w:hint="eastAsia" w:ascii="仿宋_GB2312" w:hAnsi="Times New Roman" w:eastAsia="仿宋_GB2312" w:cs="Times New Roman"/>
          <w:sz w:val="32"/>
          <w:szCs w:val="32"/>
        </w:rPr>
      </w:pPr>
      <w:r>
        <w:rPr>
          <w:rFonts w:hint="eastAsia" w:ascii="仿宋_GB2312" w:hAnsi="Times New Roman" w:eastAsia="仿宋_GB2312" w:cs="Times New Roman"/>
          <w:sz w:val="32"/>
          <w:szCs w:val="32"/>
        </w:rPr>
        <w:t>（三）做好民生服务。组织实施与群众生活密切相关的各 项行政审批和公共服务，加强公共设施建设，开展就业和社会 保障等服务，发展科教文卫事业，落实涉及民生领域的各方面 相关政策，着力解决群众生产生活中的问题。</w:t>
      </w:r>
    </w:p>
    <w:p>
      <w:pPr>
        <w:pageBreakBefore w:val="0"/>
        <w:widowControl w:val="0"/>
        <w:kinsoku/>
        <w:wordWrap/>
        <w:overflowPunct/>
        <w:topLinePunct w:val="0"/>
        <w:autoSpaceDE/>
        <w:autoSpaceDN/>
        <w:bidi w:val="0"/>
        <w:adjustRightInd/>
        <w:ind w:firstLine="640" w:firstLineChars="200"/>
        <w:textAlignment w:val="auto"/>
        <w:rPr>
          <w:rFonts w:hint="eastAsia" w:ascii="仿宋_GB2312" w:hAnsi="Times New Roman" w:eastAsia="仿宋_GB2312" w:cs="Times New Roman"/>
          <w:sz w:val="32"/>
          <w:szCs w:val="32"/>
        </w:rPr>
      </w:pPr>
      <w:r>
        <w:rPr>
          <w:rFonts w:hint="eastAsia" w:ascii="仿宋_GB2312" w:hAnsi="Times New Roman" w:eastAsia="仿宋_GB2312" w:cs="Times New Roman"/>
          <w:sz w:val="32"/>
          <w:szCs w:val="32"/>
        </w:rPr>
        <w:t xml:space="preserve">（四）加强法治建设。坚持依法行政，推进民主政治，加 强基层政权建设；负责辖区平安建设和社会治安综合治理等工作，领导基层治理工作，健全完善自治、法治、德治相结合的基层治理体系；对辖区内各类行政执法工作进行统筹协调，组织开展群众监督和社会监督；依法依规承担下放的经济社会管理权限和行政执法事项；健全社会矛盾纠纷排查调处机制，及时化解辖区社会矛盾，确保社会稳定；负责辖区公共安全及安全生产监管，构建公共安全防控体系，建立应对突发紧急事件的处理预案，做好安全生产、防疫、防汛、防火、减灾救灾、地质气象灾害预防、食品药品安全等应急管理工作；负责民兵组织建设、征兵等工作。 </w:t>
      </w:r>
    </w:p>
    <w:p>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方正黑体_GBK" w:hAnsi="方正黑体_GBK" w:eastAsia="方正黑体_GBK" w:cs="方正黑体_GBK"/>
          <w:sz w:val="32"/>
          <w:szCs w:val="32"/>
        </w:rPr>
      </w:pPr>
      <w:r>
        <w:rPr>
          <w:rFonts w:hint="eastAsia" w:ascii="仿宋_GB2312" w:hAnsi="Times New Roman" w:eastAsia="仿宋_GB2312" w:cs="Times New Roman"/>
          <w:sz w:val="32"/>
          <w:szCs w:val="32"/>
        </w:rPr>
        <w:t>（五）完成市委市</w:t>
      </w:r>
      <w:r>
        <w:rPr>
          <w:rFonts w:hint="eastAsia" w:ascii="仿宋_GB2312" w:hAnsi="Times New Roman" w:eastAsia="仿宋_GB2312" w:cs="Times New Roman"/>
          <w:sz w:val="32"/>
          <w:szCs w:val="32"/>
          <w:lang w:eastAsia="zh-CN"/>
        </w:rPr>
        <w:t>、</w:t>
      </w:r>
      <w:r>
        <w:rPr>
          <w:rFonts w:hint="eastAsia" w:ascii="仿宋_GB2312" w:hAnsi="Times New Roman" w:eastAsia="仿宋_GB2312" w:cs="Times New Roman"/>
          <w:sz w:val="32"/>
          <w:szCs w:val="32"/>
        </w:rPr>
        <w:t>人民政府交办的其他事项。</w:t>
      </w:r>
    </w:p>
    <w:p>
      <w:pPr>
        <w:keepNext w:val="0"/>
        <w:keepLines w:val="0"/>
        <w:pageBreakBefore w:val="0"/>
        <w:widowControl w:val="0"/>
        <w:kinsoku/>
        <w:wordWrap/>
        <w:overflowPunct/>
        <w:topLinePunct w:val="0"/>
        <w:autoSpaceDE/>
        <w:autoSpaceDN/>
        <w:bidi w:val="0"/>
        <w:adjustRightInd/>
        <w:snapToGrid/>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二、机构设置及人员情况​</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​库尔勒市塔什店镇人民政府2024年度，实有人数82人，其中：在职人员60人，减少5人；离休人员0人，较上年无变化</w:t>
      </w:r>
      <w:r>
        <w:rPr>
          <w:rFonts w:hint="eastAsia"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退休人员22人，增加1人。​</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rPr>
          <w:rFonts w:hint="eastAsia" w:ascii="仿宋_GB2312" w:hAnsi="黑体" w:eastAsia="仿宋_GB2312" w:cs="宋体"/>
          <w:bCs/>
          <w:color w:val="auto"/>
          <w:kern w:val="0"/>
          <w:sz w:val="32"/>
          <w:szCs w:val="32"/>
          <w:highlight w:val="none"/>
          <w:lang w:eastAsia="zh-CN"/>
        </w:rPr>
        <w:sectPr>
          <w:footerReference r:id="rId3" w:type="default"/>
          <w:pgSz w:w="11906" w:h="16838"/>
          <w:pgMar w:top="1440" w:right="1800" w:bottom="1440" w:left="1800" w:header="851" w:footer="992" w:gutter="0"/>
          <w:cols w:space="720" w:num="1"/>
          <w:docGrid w:type="lines" w:linePitch="312" w:charSpace="0"/>
        </w:sectPr>
      </w:pPr>
      <w:r>
        <w:rPr>
          <w:rFonts w:hint="eastAsia" w:ascii="仿宋_GB2312" w:hAnsi="黑体" w:eastAsia="仿宋_GB2312" w:cs="宋体"/>
          <w:bCs/>
          <w:color w:val="auto"/>
          <w:kern w:val="0"/>
          <w:sz w:val="32"/>
          <w:szCs w:val="32"/>
          <w:highlight w:val="none"/>
        </w:rPr>
        <w:t>单位无下属预算单位，</w:t>
      </w:r>
      <w:r>
        <w:rPr>
          <w:rFonts w:ascii="仿宋" w:hAnsi="仿宋" w:eastAsia="仿宋"/>
          <w:color w:val="auto"/>
          <w:sz w:val="32"/>
          <w:szCs w:val="32"/>
        </w:rPr>
        <w:t>下设</w:t>
      </w:r>
      <w:r>
        <w:rPr>
          <w:rFonts w:hint="eastAsia" w:ascii="仿宋_GB2312" w:hAnsi="Times New Roman" w:eastAsia="仿宋_GB2312" w:cs="Times New Roman"/>
          <w:color w:val="auto"/>
          <w:sz w:val="32"/>
          <w:szCs w:val="32"/>
          <w:highlight w:val="none"/>
        </w:rPr>
        <w:t>5个</w:t>
      </w:r>
      <w:r>
        <w:rPr>
          <w:rFonts w:hint="eastAsia" w:ascii="仿宋_GB2312" w:eastAsia="仿宋_GB2312" w:cs="Times New Roman"/>
          <w:color w:val="auto"/>
          <w:sz w:val="32"/>
          <w:szCs w:val="32"/>
          <w:highlight w:val="none"/>
          <w:lang w:eastAsia="zh-CN"/>
        </w:rPr>
        <w:t>内设机构</w:t>
      </w:r>
      <w:r>
        <w:rPr>
          <w:rFonts w:hint="eastAsia" w:ascii="仿宋_GB2312" w:hAnsi="Times New Roman" w:eastAsia="仿宋_GB2312" w:cs="Times New Roman"/>
          <w:color w:val="auto"/>
          <w:sz w:val="32"/>
          <w:szCs w:val="32"/>
          <w:highlight w:val="none"/>
        </w:rPr>
        <w:t>、5个股级事业单位，分别是：党政办公室、党建办公室、经济发展和财政办公室、</w:t>
      </w:r>
      <w:r>
        <w:rPr>
          <w:rFonts w:hint="eastAsia" w:ascii="仿宋_GB2312" w:hAnsi="黑体" w:eastAsia="仿宋_GB2312" w:cs="宋体"/>
          <w:bCs/>
          <w:color w:val="auto"/>
          <w:kern w:val="0"/>
          <w:sz w:val="32"/>
          <w:szCs w:val="32"/>
          <w:highlight w:val="none"/>
        </w:rPr>
        <w:t>社会事务办公室(退役军人服务站) 、综合执法办公室</w:t>
      </w:r>
      <w:r>
        <w:rPr>
          <w:rFonts w:hint="eastAsia" w:ascii="仿宋_GB2312" w:hAnsi="黑体" w:eastAsia="仿宋_GB2312" w:cs="宋体"/>
          <w:bCs/>
          <w:color w:val="auto"/>
          <w:sz w:val="32"/>
          <w:szCs w:val="32"/>
        </w:rPr>
        <w:t>；党群服务中心、</w:t>
      </w:r>
      <w:r>
        <w:rPr>
          <w:rFonts w:hint="eastAsia" w:ascii="仿宋_GB2312" w:hAnsi="黑体" w:eastAsia="仿宋_GB2312" w:cs="宋体"/>
          <w:bCs/>
          <w:color w:val="auto"/>
          <w:kern w:val="0"/>
          <w:sz w:val="32"/>
          <w:szCs w:val="32"/>
          <w:highlight w:val="none"/>
        </w:rPr>
        <w:t>公共文化服务中心、村镇建设发展中心、综治和网格化服务中心、便民服务</w:t>
      </w:r>
      <w:r>
        <w:rPr>
          <w:rFonts w:hint="eastAsia" w:ascii="仿宋_GB2312" w:hAnsi="黑体" w:eastAsia="仿宋_GB2312" w:cs="宋体"/>
          <w:bCs/>
          <w:color w:val="auto"/>
          <w:kern w:val="0"/>
          <w:sz w:val="32"/>
          <w:szCs w:val="32"/>
          <w:highlight w:val="none"/>
          <w:lang w:eastAsia="zh-CN"/>
        </w:rPr>
        <w:t>中心。</w:t>
      </w: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第二部分 部门决算情况说明</w:t>
      </w:r>
    </w:p>
    <w:p>
      <w:pPr>
        <w:keepNext w:val="0"/>
        <w:keepLines w:val="0"/>
        <w:pageBreakBefore w:val="0"/>
        <w:widowControl w:val="0"/>
        <w:kinsoku/>
        <w:wordWrap/>
        <w:overflowPunct/>
        <w:topLinePunct w:val="0"/>
        <w:autoSpaceDE/>
        <w:autoSpaceDN/>
        <w:bidi w:val="0"/>
        <w:adjustRightInd/>
        <w:snapToGrid/>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一、收入支出决算总体情况说明</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2024年度收入总计1,741.58万元，其中：本年收入合计1,741.58万元，使用非财政拨款结余（含专用结余）0万元，年初结转和结余0万元。</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2024年度支出总计1,741.58万元，其中：本年支出合计1,741.58万元，结余分配0万元，年末结转和结余0万元。</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收入支出总体与上年相比，减少49.17万元</w:t>
      </w:r>
      <w:r>
        <w:rPr>
          <w:rFonts w:hint="eastAsia"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下降2.75%，主要原因是：</w:t>
      </w:r>
      <w:r>
        <w:rPr>
          <w:rFonts w:hint="eastAsia" w:ascii="Times New Roman" w:hAnsi="Times New Roman" w:eastAsia="方正仿宋_GBK" w:cs="Times New Roman"/>
          <w:sz w:val="32"/>
          <w:szCs w:val="32"/>
          <w:lang w:eastAsia="zh-CN"/>
        </w:rPr>
        <w:t>本年度与去年相比未追加相关项目支出，造成收入支出减少</w:t>
      </w:r>
      <w:r>
        <w:rPr>
          <w:rFonts w:hint="default" w:ascii="Times New Roman" w:hAnsi="Times New Roman" w:eastAsia="方正仿宋_GBK" w:cs="Times New Roman"/>
          <w:sz w:val="32"/>
          <w:szCs w:val="32"/>
        </w:rPr>
        <w:t>。</w:t>
      </w:r>
    </w:p>
    <w:p>
      <w:pPr>
        <w:keepNext w:val="0"/>
        <w:keepLines w:val="0"/>
        <w:pageBreakBefore w:val="0"/>
        <w:widowControl w:val="0"/>
        <w:kinsoku/>
        <w:wordWrap/>
        <w:overflowPunct/>
        <w:topLinePunct w:val="0"/>
        <w:autoSpaceDE/>
        <w:autoSpaceDN/>
        <w:bidi w:val="0"/>
        <w:adjustRightInd/>
        <w:snapToGrid/>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二、收入决算情况说明</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本年收入1,741.58万元，其中：财政拨款收入1,711.58万元,占98.28%；上级补助收入0万元,占0%；事业收入0万元，占0%；经营收入0万元,占0%；附属单位上缴收入0万元，占0%；其他收入30万元，占1.72%。</w:t>
      </w:r>
    </w:p>
    <w:p>
      <w:pPr>
        <w:keepNext w:val="0"/>
        <w:keepLines w:val="0"/>
        <w:pageBreakBefore w:val="0"/>
        <w:widowControl w:val="0"/>
        <w:kinsoku/>
        <w:wordWrap/>
        <w:overflowPunct/>
        <w:topLinePunct w:val="0"/>
        <w:autoSpaceDE/>
        <w:autoSpaceDN/>
        <w:bidi w:val="0"/>
        <w:adjustRightInd/>
        <w:snapToGrid/>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三、支出决算情况说明</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本年支出1,741.58万元，其中：基本支出1,404.16万元，占80.63%；项目支出337.42万元，占19.37%；上缴上级支出0万元，占0%；经营支出0万元，占0%；对附属单位补助支出0万元，占0%。</w:t>
      </w:r>
    </w:p>
    <w:p>
      <w:pPr>
        <w:keepNext w:val="0"/>
        <w:keepLines w:val="0"/>
        <w:pageBreakBefore w:val="0"/>
        <w:widowControl w:val="0"/>
        <w:kinsoku/>
        <w:wordWrap/>
        <w:overflowPunct/>
        <w:topLinePunct w:val="0"/>
        <w:autoSpaceDE/>
        <w:autoSpaceDN/>
        <w:bidi w:val="0"/>
        <w:adjustRightInd/>
        <w:snapToGrid/>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四、财政拨款收入支出决算总体情况说明</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2024年度财政拨款收入总计1,711.58万元，其中：年初财政拨款结转和结余0万元，本年财政拨款收入1,711.58万元。财政拨款支出总计1,711.58万元，其中：年末财政拨款结转和结余0万元，本年财政拨款支出1,711.58万元。</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财政拨款收入支出总体与上年相比，减少79.17万元，下降4.42%，主要原因是：</w:t>
      </w:r>
      <w:r>
        <w:rPr>
          <w:rFonts w:hint="eastAsia" w:ascii="Times New Roman" w:hAnsi="Times New Roman" w:eastAsia="方正仿宋_GBK" w:cs="Times New Roman"/>
          <w:sz w:val="32"/>
          <w:szCs w:val="32"/>
          <w:lang w:eastAsia="zh-CN"/>
        </w:rPr>
        <w:t>本年度与去年相比未追加相关项目支出，造成收入支出减少</w:t>
      </w:r>
      <w:r>
        <w:rPr>
          <w:rFonts w:hint="default" w:ascii="Times New Roman" w:hAnsi="Times New Roman" w:eastAsia="方正仿宋_GBK" w:cs="Times New Roman"/>
          <w:sz w:val="32"/>
          <w:szCs w:val="32"/>
        </w:rPr>
        <w:t>。与年初预算相比，年初预算数1,943.64万元，决算数1,711.58万元，预决算差异率-11.94%，主要原因是：2021年援疆资金巴财建（2021）104号（冀疆前指（2021）77号）塔什店关驿旅游就业提升项目</w:t>
      </w:r>
      <w:r>
        <w:rPr>
          <w:rFonts w:hint="eastAsia" w:ascii="Times New Roman" w:hAnsi="Times New Roman" w:eastAsia="方正仿宋_GBK" w:cs="Times New Roman"/>
          <w:sz w:val="32"/>
          <w:szCs w:val="32"/>
          <w:lang w:eastAsia="zh-CN"/>
        </w:rPr>
        <w:t>资金未按照预算数支付，以及人员减少尤其临聘人员转为政府购买和劳务派遣，造成</w:t>
      </w:r>
      <w:r>
        <w:rPr>
          <w:rFonts w:hint="default" w:ascii="Times New Roman" w:hAnsi="Times New Roman" w:eastAsia="方正仿宋_GBK" w:cs="Times New Roman"/>
          <w:sz w:val="32"/>
          <w:szCs w:val="32"/>
        </w:rPr>
        <w:t>预决算差异率</w:t>
      </w:r>
      <w:r>
        <w:rPr>
          <w:rFonts w:hint="eastAsia" w:ascii="Times New Roman" w:hAnsi="Times New Roman" w:eastAsia="方正仿宋_GBK" w:cs="Times New Roman"/>
          <w:sz w:val="32"/>
          <w:szCs w:val="32"/>
          <w:lang w:eastAsia="zh-CN"/>
        </w:rPr>
        <w:t>较大</w:t>
      </w:r>
      <w:r>
        <w:rPr>
          <w:rFonts w:hint="default" w:ascii="Times New Roman" w:hAnsi="Times New Roman" w:eastAsia="方正仿宋_GBK" w:cs="Times New Roman"/>
          <w:sz w:val="32"/>
          <w:szCs w:val="32"/>
        </w:rPr>
        <w:t>。</w:t>
      </w:r>
    </w:p>
    <w:p>
      <w:pPr>
        <w:keepNext w:val="0"/>
        <w:keepLines w:val="0"/>
        <w:pageBreakBefore w:val="0"/>
        <w:widowControl w:val="0"/>
        <w:kinsoku/>
        <w:wordWrap/>
        <w:overflowPunct/>
        <w:topLinePunct w:val="0"/>
        <w:autoSpaceDE/>
        <w:autoSpaceDN/>
        <w:bidi w:val="0"/>
        <w:adjustRightInd/>
        <w:snapToGrid/>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五、一般公共预算财政拨款支出决算情况说明</w:t>
      </w:r>
    </w:p>
    <w:p>
      <w:pPr>
        <w:keepNext w:val="0"/>
        <w:keepLines w:val="0"/>
        <w:pageBreakBefore w:val="0"/>
        <w:widowControl w:val="0"/>
        <w:kinsoku/>
        <w:wordWrap/>
        <w:overflowPunct/>
        <w:topLinePunct w:val="0"/>
        <w:autoSpaceDE/>
        <w:autoSpaceDN/>
        <w:bidi w:val="0"/>
        <w:adjustRightInd/>
        <w:snapToGrid/>
        <w:textAlignment w:val="auto"/>
        <w:rPr>
          <w:rFonts w:hint="eastAsia" w:ascii="方正黑体_GBK" w:hAnsi="方正黑体_GBK" w:eastAsia="方正黑体_GBK" w:cs="方正黑体_GBK"/>
          <w:b w:val="0"/>
          <w:bCs w:val="0"/>
          <w:sz w:val="32"/>
          <w:szCs w:val="32"/>
        </w:rPr>
      </w:pPr>
      <w:r>
        <w:rPr>
          <w:rFonts w:hint="eastAsia" w:ascii="方正黑体_GBK" w:hAnsi="方正黑体_GBK" w:eastAsia="方正黑体_GBK" w:cs="方正黑体_GBK"/>
          <w:b w:val="0"/>
          <w:bCs w:val="0"/>
          <w:sz w:val="32"/>
          <w:szCs w:val="32"/>
        </w:rPr>
        <w:t>（一）一般公共预算财政拨款支出决算总体情况</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2024年度一般公共预算财政拨款支出1,700.98万元，占本年支出合计的97.67%。与上年相比，增加184.57万元，增长12.17%，主要原因是：</w:t>
      </w:r>
      <w:r>
        <w:rPr>
          <w:rFonts w:hint="eastAsia" w:ascii="Times New Roman" w:hAnsi="Times New Roman" w:eastAsia="方正仿宋_GBK" w:cs="Times New Roman"/>
          <w:sz w:val="32"/>
          <w:szCs w:val="32"/>
          <w:lang w:eastAsia="zh-CN"/>
        </w:rPr>
        <w:t>本年度增加政府购买项目、</w:t>
      </w:r>
      <w:r>
        <w:rPr>
          <w:rFonts w:hint="eastAsia" w:ascii="仿宋" w:hAnsi="仿宋" w:eastAsia="仿宋" w:cs="仿宋"/>
          <w:b w:val="0"/>
          <w:bCs w:val="0"/>
          <w:color w:val="auto"/>
          <w:kern w:val="2"/>
          <w:sz w:val="32"/>
          <w:szCs w:val="32"/>
          <w:highlight w:val="none"/>
          <w:lang w:val="en-US" w:eastAsia="zh-CN" w:bidi="ar-SA"/>
        </w:rPr>
        <w:t>巴财建【2023】66号2023年新疆专项（第一批）中央基建投资预算（2023年五小工程）项目，造成该项目支出增加</w:t>
      </w:r>
      <w:r>
        <w:rPr>
          <w:rFonts w:hint="default" w:ascii="Times New Roman" w:hAnsi="Times New Roman" w:eastAsia="方正仿宋_GBK" w:cs="Times New Roman"/>
          <w:sz w:val="32"/>
          <w:szCs w:val="32"/>
        </w:rPr>
        <w:t>。与年初预算相比，年初预算数1,943.64万元，决算数1,700.98万元，预决算差异率-12.48%，主要原因是：2021年援疆资金巴财建（2021）104号（冀疆前指（2021）77号）塔什店关驿旅游就业提升项目</w:t>
      </w:r>
      <w:r>
        <w:rPr>
          <w:rFonts w:hint="eastAsia" w:ascii="Times New Roman" w:hAnsi="Times New Roman" w:eastAsia="方正仿宋_GBK" w:cs="Times New Roman"/>
          <w:sz w:val="32"/>
          <w:szCs w:val="32"/>
          <w:lang w:eastAsia="zh-CN"/>
        </w:rPr>
        <w:t>资金未按照预算数支付，以及人员减少尤其临聘人员转为政府购买和劳务派遣，造成</w:t>
      </w:r>
      <w:r>
        <w:rPr>
          <w:rFonts w:hint="default" w:ascii="Times New Roman" w:hAnsi="Times New Roman" w:eastAsia="方正仿宋_GBK" w:cs="Times New Roman"/>
          <w:sz w:val="32"/>
          <w:szCs w:val="32"/>
        </w:rPr>
        <w:t>预决算差异率</w:t>
      </w:r>
      <w:r>
        <w:rPr>
          <w:rFonts w:hint="eastAsia" w:ascii="Times New Roman" w:hAnsi="Times New Roman" w:eastAsia="方正仿宋_GBK" w:cs="Times New Roman"/>
          <w:sz w:val="32"/>
          <w:szCs w:val="32"/>
          <w:lang w:eastAsia="zh-CN"/>
        </w:rPr>
        <w:t>较大</w:t>
      </w:r>
      <w:r>
        <w:rPr>
          <w:rFonts w:hint="default" w:ascii="Times New Roman" w:hAnsi="Times New Roman" w:eastAsia="方正仿宋_GBK" w:cs="Times New Roman"/>
          <w:sz w:val="32"/>
          <w:szCs w:val="32"/>
        </w:rPr>
        <w:t>。</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b/>
          <w:bCs/>
          <w:sz w:val="32"/>
          <w:szCs w:val="32"/>
        </w:rPr>
      </w:pPr>
      <w:r>
        <w:rPr>
          <w:rFonts w:hint="default" w:ascii="Times New Roman" w:hAnsi="Times New Roman" w:eastAsia="方正仿宋_GBK" w:cs="Times New Roman"/>
          <w:b/>
          <w:bCs/>
          <w:sz w:val="32"/>
          <w:szCs w:val="32"/>
        </w:rPr>
        <w:t>（二）一般公共预算财政拨款支出决算结构情况</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一般公共服务支出（类）1,357.06万元，占79.78%。</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教育支出（类）4.96万元，占0.29%。​</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文化旅游体育与传媒支出（类）9.62万元，占0.57%。</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社会保障和就业支出（类）136.87万元，占8.05%。​</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卫生健康支出（类）59.24万元，占3.48%。​</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住房保障支出（类）83.18万元，占4.89%。​</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其他支出（类）50.05万元，占2.94%。​</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b/>
          <w:bCs/>
          <w:sz w:val="32"/>
          <w:szCs w:val="32"/>
        </w:rPr>
      </w:pPr>
      <w:r>
        <w:rPr>
          <w:rFonts w:hint="default" w:ascii="Times New Roman" w:hAnsi="Times New Roman" w:eastAsia="方正仿宋_GBK" w:cs="Times New Roman"/>
          <w:b/>
          <w:bCs/>
          <w:sz w:val="32"/>
          <w:szCs w:val="32"/>
        </w:rPr>
        <w:t>（三）一般公共预算财政拨款支出决算具体情况</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1、一般公共服务支出（类）人大事务（款）代表工作（项）：支出决算数为2.09万元，与上年决算相比增加2.03万元，增长3383.33%，主要原因是：</w:t>
      </w:r>
      <w:r>
        <w:rPr>
          <w:rFonts w:hint="eastAsia" w:eastAsia="仿宋_GB2312" w:cs="Times New Roman"/>
          <w:color w:val="auto"/>
          <w:kern w:val="2"/>
          <w:sz w:val="32"/>
          <w:szCs w:val="32"/>
          <w:highlight w:val="none"/>
          <w:lang w:val="zh-CN" w:eastAsia="zh-CN" w:bidi="ar-SA"/>
        </w:rPr>
        <w:t>本年度财政下拨专项经费用于人大工作专项支出，造成该科目支出增长。</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2、一般公共服务支出（类）人大事务（款）其他人大事务支出（项）：支出决算数为1万元，与上年决算相比增加1万元，增长100%，主要原因是：</w:t>
      </w:r>
      <w:r>
        <w:rPr>
          <w:rFonts w:hint="eastAsia" w:eastAsia="仿宋_GB2312" w:cs="Times New Roman"/>
          <w:color w:val="auto"/>
          <w:kern w:val="2"/>
          <w:sz w:val="32"/>
          <w:szCs w:val="32"/>
          <w:highlight w:val="none"/>
          <w:lang w:val="zh-CN" w:eastAsia="zh-CN" w:bidi="ar-SA"/>
        </w:rPr>
        <w:t>本年度财政下拨专项经费用于人大工作专项支出，造成该科目支出增长。</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3、一般公共服务支出（类）政府办公厅（室）及相关机构事务（款）行政运行（项）：支出决算数为1,016.92万元，与上年决算相比增加28.79万元，增长2.91%，主要原因是：</w:t>
      </w:r>
      <w:r>
        <w:rPr>
          <w:rFonts w:hint="eastAsia" w:eastAsia="仿宋_GB2312" w:cs="Times New Roman"/>
          <w:color w:val="auto"/>
          <w:kern w:val="2"/>
          <w:sz w:val="32"/>
          <w:szCs w:val="32"/>
          <w:highlight w:val="none"/>
          <w:lang w:val="zh-CN" w:eastAsia="zh-CN" w:bidi="ar-SA"/>
        </w:rPr>
        <w:t>人员工资社保及奖金上调，造成该科目支出增加。</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方正仿宋_GBK" w:cs="Times New Roman"/>
          <w:color w:val="auto"/>
          <w:sz w:val="32"/>
          <w:szCs w:val="32"/>
          <w:lang w:eastAsia="zh-CN"/>
        </w:rPr>
      </w:pPr>
      <w:r>
        <w:rPr>
          <w:rFonts w:hint="default" w:ascii="Times New Roman" w:hAnsi="Times New Roman" w:eastAsia="方正仿宋_GBK" w:cs="Times New Roman"/>
          <w:color w:val="auto"/>
          <w:sz w:val="32"/>
          <w:szCs w:val="32"/>
        </w:rPr>
        <w:t>4、一般公共服务支出（类）政府办公厅（室）及相关机构事务（款）其他政府办公厅（室）及相关机构事务支出（项）：支出决算数为251.41万元，与上年决算相比增加197.22万元，增长363.94%，主要原因是：</w:t>
      </w:r>
      <w:r>
        <w:rPr>
          <w:rFonts w:hint="eastAsia" w:ascii="Times New Roman" w:hAnsi="Times New Roman" w:eastAsia="方正仿宋_GBK" w:cs="Times New Roman"/>
          <w:color w:val="auto"/>
          <w:sz w:val="32"/>
          <w:szCs w:val="32"/>
          <w:lang w:eastAsia="zh-CN"/>
        </w:rPr>
        <w:t>本年度增加</w:t>
      </w:r>
      <w:r>
        <w:rPr>
          <w:rFonts w:hint="eastAsia" w:ascii="仿宋" w:hAnsi="仿宋" w:eastAsia="仿宋" w:cs="仿宋"/>
          <w:b w:val="0"/>
          <w:bCs w:val="0"/>
          <w:color w:val="auto"/>
          <w:kern w:val="2"/>
          <w:sz w:val="32"/>
          <w:szCs w:val="32"/>
          <w:highlight w:val="none"/>
          <w:lang w:val="en-US" w:eastAsia="zh-CN" w:bidi="ar-SA"/>
        </w:rPr>
        <w:t>新疆新森农生物科技有限责任公司污水污泥无害化处理及资源循环利用建设项目“三通一平”工程项目、塔什店循环经济产业园区2005路、3102路后期工程款项目以及纪委专项办公设备费用，造成</w:t>
      </w:r>
      <w:r>
        <w:rPr>
          <w:rFonts w:hint="eastAsia" w:eastAsia="仿宋_GB2312" w:cs="Times New Roman"/>
          <w:color w:val="auto"/>
          <w:kern w:val="2"/>
          <w:sz w:val="32"/>
          <w:szCs w:val="32"/>
          <w:highlight w:val="none"/>
          <w:lang w:val="zh-CN" w:eastAsia="zh-CN" w:bidi="ar-SA"/>
        </w:rPr>
        <w:t>该科目支出增加。</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5、一般公共服务支出（类）纪检监察事务（款）其他纪检监察事务支出（项）：支出决算数为2万元，与上年决算相比增加0.5万元，增长33.33%，主要原因是：</w:t>
      </w:r>
      <w:r>
        <w:rPr>
          <w:rFonts w:hint="eastAsia" w:eastAsia="仿宋_GB2312" w:cs="Times New Roman"/>
          <w:color w:val="auto"/>
          <w:kern w:val="2"/>
          <w:sz w:val="32"/>
          <w:szCs w:val="32"/>
          <w:highlight w:val="none"/>
          <w:lang w:val="zh-CN" w:eastAsia="zh-CN" w:bidi="ar-SA"/>
        </w:rPr>
        <w:t>本年度纪检专项经费较上年增加装备费支出</w:t>
      </w:r>
      <w:r>
        <w:rPr>
          <w:rFonts w:hint="eastAsia" w:eastAsia="仿宋_GB2312" w:cs="Times New Roman"/>
          <w:color w:val="auto"/>
          <w:kern w:val="2"/>
          <w:sz w:val="32"/>
          <w:szCs w:val="32"/>
          <w:highlight w:val="none"/>
          <w:lang w:val="en-US" w:eastAsia="zh-CN" w:bidi="ar-SA"/>
        </w:rPr>
        <w:t>0.5万元，造成该科目支出增长</w:t>
      </w:r>
      <w:r>
        <w:rPr>
          <w:rFonts w:hint="eastAsia" w:eastAsia="仿宋_GB2312" w:cs="Times New Roman"/>
          <w:color w:val="auto"/>
          <w:kern w:val="2"/>
          <w:sz w:val="32"/>
          <w:szCs w:val="32"/>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6、一般公共服务支出（类）组织事务（款）其他组织事务支出（项）：支出决算数为83.64万元，与上年决算相比减少4.1万元，下降4.67%，主要原因是：</w:t>
      </w:r>
      <w:r>
        <w:rPr>
          <w:rFonts w:hint="eastAsia" w:eastAsia="仿宋_GB2312" w:cs="Times New Roman"/>
          <w:color w:val="auto"/>
          <w:kern w:val="2"/>
          <w:sz w:val="32"/>
          <w:szCs w:val="32"/>
          <w:highlight w:val="none"/>
          <w:lang w:val="en-US" w:eastAsia="zh-CN" w:bidi="ar-SA"/>
        </w:rPr>
        <w:t>为贯彻党中央厉行节约文件精神要求，本年度节约办公支出，压缩商品服务类支出，造成该科目支出减少</w:t>
      </w:r>
      <w:r>
        <w:rPr>
          <w:rFonts w:hint="eastAsia" w:eastAsia="仿宋_GB2312" w:cs="Times New Roman"/>
          <w:color w:val="auto"/>
          <w:kern w:val="2"/>
          <w:sz w:val="32"/>
          <w:szCs w:val="32"/>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7、一般公共服务支出（类）统战事务（款）宗教事务（项）：支出决算数为0万元，与上年决算相比减少1万元，下降100%，主要原因是：</w:t>
      </w:r>
      <w:r>
        <w:rPr>
          <w:rFonts w:hint="eastAsia" w:ascii="Times New Roman" w:hAnsi="Times New Roman" w:eastAsia="方正仿宋_GBK" w:cs="Times New Roman"/>
          <w:sz w:val="32"/>
          <w:szCs w:val="32"/>
          <w:lang w:eastAsia="zh-CN"/>
        </w:rPr>
        <w:t>本年度未拨付此专项经费，</w:t>
      </w:r>
      <w:r>
        <w:rPr>
          <w:rFonts w:hint="eastAsia" w:eastAsia="仿宋_GB2312" w:cs="Times New Roman"/>
          <w:color w:val="auto"/>
          <w:kern w:val="2"/>
          <w:sz w:val="32"/>
          <w:szCs w:val="32"/>
          <w:highlight w:val="none"/>
          <w:lang w:val="en-US" w:eastAsia="zh-CN" w:bidi="ar-SA"/>
        </w:rPr>
        <w:t>造成该科目支出减少</w:t>
      </w:r>
      <w:r>
        <w:rPr>
          <w:rFonts w:hint="eastAsia" w:eastAsia="仿宋_GB2312" w:cs="Times New Roman"/>
          <w:color w:val="auto"/>
          <w:kern w:val="2"/>
          <w:sz w:val="32"/>
          <w:szCs w:val="32"/>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8、一般公共服务支出（类）统战事务（款）其他统战事务支出（项）：支出决算数为0万元，与上年决算相比减少0.42万元，下降100%，主要原因是：</w:t>
      </w:r>
      <w:r>
        <w:rPr>
          <w:rFonts w:hint="eastAsia" w:ascii="Times New Roman" w:hAnsi="Times New Roman" w:eastAsia="方正仿宋_GBK" w:cs="Times New Roman"/>
          <w:sz w:val="32"/>
          <w:szCs w:val="32"/>
          <w:lang w:eastAsia="zh-CN"/>
        </w:rPr>
        <w:t>本年度未拨付此专项经费，</w:t>
      </w:r>
      <w:r>
        <w:rPr>
          <w:rFonts w:hint="eastAsia" w:eastAsia="仿宋_GB2312" w:cs="Times New Roman"/>
          <w:color w:val="auto"/>
          <w:kern w:val="2"/>
          <w:sz w:val="32"/>
          <w:szCs w:val="32"/>
          <w:highlight w:val="none"/>
          <w:lang w:val="en-US" w:eastAsia="zh-CN" w:bidi="ar-SA"/>
        </w:rPr>
        <w:t>造成该科目支出减少</w:t>
      </w:r>
      <w:r>
        <w:rPr>
          <w:rFonts w:hint="eastAsia" w:eastAsia="仿宋_GB2312" w:cs="Times New Roman"/>
          <w:color w:val="auto"/>
          <w:kern w:val="2"/>
          <w:sz w:val="32"/>
          <w:szCs w:val="32"/>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9、教育支出（类）进修及培训（款）培训支出（项）：支出决算数为4.96万元，与上年决算相比减少0.56万元，下降10.14%，主要原因是：</w:t>
      </w:r>
      <w:r>
        <w:rPr>
          <w:rFonts w:hint="eastAsia" w:eastAsia="仿宋_GB2312" w:cs="Times New Roman"/>
          <w:color w:val="auto"/>
          <w:kern w:val="2"/>
          <w:sz w:val="32"/>
          <w:szCs w:val="32"/>
          <w:highlight w:val="none"/>
          <w:lang w:val="en-US" w:eastAsia="zh-CN" w:bidi="ar-SA"/>
        </w:rPr>
        <w:t>本年度培训活动次数及参与人数较上年减少，造成该科目支出下降</w:t>
      </w:r>
      <w:r>
        <w:rPr>
          <w:rFonts w:hint="eastAsia" w:eastAsia="仿宋_GB2312" w:cs="Times New Roman"/>
          <w:color w:val="auto"/>
          <w:kern w:val="2"/>
          <w:sz w:val="32"/>
          <w:szCs w:val="32"/>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10、文化旅游体育与传媒支出（类）文化和旅游（款）群众文化（项）：支出决算数为0.3万元，与上年决算相比增加0.3万元，增长100%，主要原因是：</w:t>
      </w:r>
      <w:r>
        <w:rPr>
          <w:rFonts w:hint="eastAsia" w:eastAsia="仿宋_GB2312" w:cs="Times New Roman"/>
          <w:color w:val="auto"/>
          <w:kern w:val="2"/>
          <w:sz w:val="32"/>
          <w:szCs w:val="32"/>
          <w:highlight w:val="none"/>
          <w:lang w:val="zh-CN" w:eastAsia="zh-CN" w:bidi="ar-SA"/>
        </w:rPr>
        <w:t>本年度财政下拨专项经费用于群众文化工作专项支出，造成该科目支出增长。</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eastAsia="仿宋_GB2312" w:cs="Times New Roman"/>
          <w:color w:val="auto"/>
          <w:kern w:val="2"/>
          <w:sz w:val="32"/>
          <w:szCs w:val="32"/>
          <w:highlight w:val="none"/>
          <w:lang w:val="zh-CN" w:eastAsia="zh-CN" w:bidi="ar-SA"/>
        </w:rPr>
      </w:pPr>
      <w:r>
        <w:rPr>
          <w:rFonts w:hint="default" w:ascii="Times New Roman" w:hAnsi="Times New Roman" w:eastAsia="方正仿宋_GBK" w:cs="Times New Roman"/>
          <w:sz w:val="32"/>
          <w:szCs w:val="32"/>
        </w:rPr>
        <w:t>11、文化旅游体育与传媒支出（类）文化和旅游（款）其他文化和旅游支出（项）：支出决算数为9.32万元，与上年决算相比增加9.32万元，增长100%，主要原因是：</w:t>
      </w:r>
      <w:r>
        <w:rPr>
          <w:rFonts w:hint="eastAsia" w:eastAsia="仿宋_GB2312" w:cs="Times New Roman"/>
          <w:color w:val="auto"/>
          <w:kern w:val="2"/>
          <w:sz w:val="32"/>
          <w:szCs w:val="32"/>
          <w:highlight w:val="none"/>
          <w:lang w:val="zh-CN" w:eastAsia="zh-CN" w:bidi="ar-SA"/>
        </w:rPr>
        <w:t>本年度财政下拨专项经费用于</w:t>
      </w:r>
      <w:r>
        <w:rPr>
          <w:rFonts w:hint="default" w:ascii="Times New Roman" w:hAnsi="Times New Roman" w:eastAsia="方正仿宋_GBK" w:cs="Times New Roman"/>
          <w:sz w:val="32"/>
          <w:szCs w:val="32"/>
        </w:rPr>
        <w:t>其他文化和旅游</w:t>
      </w:r>
      <w:r>
        <w:rPr>
          <w:rFonts w:hint="eastAsia" w:eastAsia="仿宋_GB2312" w:cs="Times New Roman"/>
          <w:color w:val="auto"/>
          <w:kern w:val="2"/>
          <w:sz w:val="32"/>
          <w:szCs w:val="32"/>
          <w:highlight w:val="none"/>
          <w:lang w:val="zh-CN" w:eastAsia="zh-CN" w:bidi="ar-SA"/>
        </w:rPr>
        <w:t>工作专项支出，造成该科目支出增长。</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12、文化旅游体育与传媒支出（类）其他文化旅游体育与传媒支出（款）其他文化旅游体育与传媒支出（项）：支出决算数为0万元，与上年决算相比减少0.08万元，下降100%，主要原因是：</w:t>
      </w:r>
      <w:r>
        <w:rPr>
          <w:rFonts w:hint="eastAsia" w:eastAsia="仿宋_GB2312" w:cs="Times New Roman"/>
          <w:color w:val="auto"/>
          <w:kern w:val="2"/>
          <w:sz w:val="32"/>
          <w:szCs w:val="32"/>
          <w:highlight w:val="none"/>
          <w:lang w:val="zh-CN" w:eastAsia="zh-CN" w:bidi="ar-SA"/>
        </w:rPr>
        <w:t>本年度文体活动开展服装租赁及设备购置支出减少，造成该科目支出减少。</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13、社会保障和就业支出（类）行政事业单位养老支出（款）行政单位离退休（项）：支出决算数为15.2万元，与上年决算相比增加4.18万元，增长37.93%，主要原因是：</w:t>
      </w:r>
      <w:r>
        <w:rPr>
          <w:rFonts w:hint="eastAsia" w:eastAsia="仿宋_GB2312" w:cs="Times New Roman"/>
          <w:color w:val="auto"/>
          <w:kern w:val="2"/>
          <w:sz w:val="32"/>
          <w:szCs w:val="32"/>
          <w:highlight w:val="none"/>
          <w:lang w:val="en-US" w:eastAsia="zh-CN" w:bidi="ar-SA"/>
        </w:rPr>
        <w:t>本年度发放退休人员增加以及绩效奖金标准增长，造成该科目支出增长</w:t>
      </w:r>
      <w:r>
        <w:rPr>
          <w:rFonts w:hint="eastAsia" w:eastAsia="仿宋_GB2312" w:cs="Times New Roman"/>
          <w:color w:val="auto"/>
          <w:kern w:val="2"/>
          <w:sz w:val="32"/>
          <w:szCs w:val="32"/>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14、社会保障和就业支出（类）行政事业单位养老支出（款）机关事业单位基本养老保险缴费支出（项）：支出决算数为110.9万元，与上年决算相比增加18.33万元，增长19.8%，主要原因是：</w:t>
      </w:r>
      <w:r>
        <w:rPr>
          <w:rFonts w:hint="eastAsia" w:eastAsia="仿宋_GB2312" w:cs="Times New Roman"/>
          <w:color w:val="auto"/>
          <w:kern w:val="2"/>
          <w:sz w:val="32"/>
          <w:szCs w:val="32"/>
          <w:highlight w:val="none"/>
          <w:lang w:val="en-US" w:eastAsia="zh-CN" w:bidi="ar-SA"/>
        </w:rPr>
        <w:t>人员工资上涨导致基本养老保险缴费基数增长，造成该科目支出增长</w:t>
      </w:r>
      <w:r>
        <w:rPr>
          <w:rFonts w:hint="eastAsia" w:eastAsia="仿宋_GB2312" w:cs="Times New Roman"/>
          <w:color w:val="auto"/>
          <w:kern w:val="2"/>
          <w:sz w:val="32"/>
          <w:szCs w:val="32"/>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15、社会保障和就业支出（类）行政事业单位养老支出（款）机关事业单位职业年金缴费支出（项）：支出决算数为8.32万元，与上年决算相比增加1.47万元，增长21.46%，主要原因是：</w:t>
      </w:r>
      <w:r>
        <w:rPr>
          <w:rFonts w:hint="eastAsia" w:eastAsia="仿宋_GB2312" w:cs="Times New Roman"/>
          <w:color w:val="auto"/>
          <w:kern w:val="2"/>
          <w:sz w:val="32"/>
          <w:szCs w:val="32"/>
          <w:highlight w:val="none"/>
          <w:lang w:val="zh-CN" w:eastAsia="zh-CN" w:bidi="ar-SA"/>
        </w:rPr>
        <w:t>本年度新增退休人员</w:t>
      </w:r>
      <w:r>
        <w:rPr>
          <w:rFonts w:hint="eastAsia" w:eastAsia="仿宋_GB2312" w:cs="Times New Roman"/>
          <w:color w:val="auto"/>
          <w:kern w:val="2"/>
          <w:sz w:val="32"/>
          <w:szCs w:val="32"/>
          <w:highlight w:val="none"/>
          <w:lang w:val="en-US" w:eastAsia="zh-CN" w:bidi="ar-SA"/>
        </w:rPr>
        <w:t>1名需缴纳职业年金，上年度未发生该项支出，造成本年度该科目支出增长</w:t>
      </w:r>
      <w:r>
        <w:rPr>
          <w:rFonts w:hint="eastAsia" w:eastAsia="仿宋_GB2312" w:cs="Times New Roman"/>
          <w:color w:val="auto"/>
          <w:kern w:val="2"/>
          <w:sz w:val="32"/>
          <w:szCs w:val="32"/>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16、社会保障和就业支出（类）就业补助（款）公益性岗位补贴（项）：支出决算数为0万元，与上年决算相比减少114.49万元，下降100%，主要原因是：</w:t>
      </w:r>
      <w:r>
        <w:rPr>
          <w:rFonts w:hint="eastAsia" w:eastAsia="仿宋_GB2312" w:cs="Times New Roman"/>
          <w:color w:val="auto"/>
          <w:kern w:val="2"/>
          <w:sz w:val="32"/>
          <w:szCs w:val="32"/>
          <w:highlight w:val="none"/>
          <w:lang w:val="en-US" w:eastAsia="zh-CN" w:bidi="ar-SA"/>
        </w:rPr>
        <w:t>本年度公益性岗位转为劳务派遣，工资及社保支出减少，造成该科目支出减少</w:t>
      </w:r>
      <w:r>
        <w:rPr>
          <w:rFonts w:hint="eastAsia" w:eastAsia="仿宋_GB2312" w:cs="Times New Roman"/>
          <w:color w:val="auto"/>
          <w:kern w:val="2"/>
          <w:sz w:val="32"/>
          <w:szCs w:val="32"/>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17、社会保障和就业支出（类）抚恤（款）死亡抚恤（项）：支出决算数为0万元，与上年决算相比减少15.76万元，下降100%，主要原因是：</w:t>
      </w:r>
      <w:r>
        <w:rPr>
          <w:rFonts w:hint="eastAsia" w:eastAsia="仿宋_GB2312" w:cs="Times New Roman"/>
          <w:color w:val="auto"/>
          <w:kern w:val="2"/>
          <w:sz w:val="32"/>
          <w:szCs w:val="32"/>
          <w:highlight w:val="none"/>
          <w:lang w:val="en-US" w:eastAsia="zh-CN" w:bidi="ar-SA"/>
        </w:rPr>
        <w:t>本年度未发生退休公职人员死亡逝世，造成该科目支出下降。</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18、社会保障和就业支出（类）其他生活救助（款）其他农村生活救助（项）：支出决算数为2.45万元，与上年决算相比增加2.45万元，增长100%，主要原因是：</w:t>
      </w:r>
      <w:r>
        <w:rPr>
          <w:rFonts w:hint="eastAsia" w:eastAsia="仿宋_GB2312" w:cs="Times New Roman"/>
          <w:color w:val="auto"/>
          <w:kern w:val="2"/>
          <w:sz w:val="32"/>
          <w:szCs w:val="32"/>
          <w:highlight w:val="none"/>
          <w:lang w:val="zh-CN" w:eastAsia="zh-CN" w:bidi="ar-SA"/>
        </w:rPr>
        <w:t>本年度财政下拨专项经费用于生活救助工作专项支出，造成该科目支出增长。</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19、卫生健康支出（类）公共卫生（款）突发公共卫生事件应急处置（项）：支出决算数为0万元，与上年决算相比减少15.02万元，下降100%，主要原因是：</w:t>
      </w:r>
      <w:r>
        <w:rPr>
          <w:rFonts w:hint="eastAsia" w:eastAsia="仿宋_GB2312" w:cs="Times New Roman"/>
          <w:color w:val="auto"/>
          <w:kern w:val="2"/>
          <w:sz w:val="32"/>
          <w:szCs w:val="32"/>
          <w:highlight w:val="none"/>
          <w:lang w:val="en-US" w:eastAsia="zh-CN" w:bidi="ar-SA"/>
        </w:rPr>
        <w:t>新冠疫情发展平稳过渡，疫情类支出减少，该科目支出较去年下降</w:t>
      </w:r>
      <w:r>
        <w:rPr>
          <w:rFonts w:hint="eastAsia" w:eastAsia="仿宋_GB2312" w:cs="Times New Roman"/>
          <w:color w:val="auto"/>
          <w:kern w:val="2"/>
          <w:sz w:val="32"/>
          <w:szCs w:val="32"/>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20、卫生健康支出（类）行政事业单位医疗（款）行政单位医疗（项）：支出决算数为50.51万元，与上年决算相比增加6.36万元，增长14.41%，主要原因是：</w:t>
      </w:r>
      <w:r>
        <w:rPr>
          <w:rFonts w:hint="eastAsia" w:eastAsia="仿宋_GB2312" w:cs="Times New Roman"/>
          <w:color w:val="auto"/>
          <w:kern w:val="2"/>
          <w:sz w:val="32"/>
          <w:szCs w:val="32"/>
          <w:highlight w:val="none"/>
          <w:lang w:val="en-US" w:eastAsia="zh-CN" w:bidi="ar-SA"/>
        </w:rPr>
        <w:t>本年度</w:t>
      </w:r>
      <w:r>
        <w:rPr>
          <w:rFonts w:hint="eastAsia" w:eastAsia="仿宋_GB2312" w:cs="Times New Roman"/>
          <w:color w:val="auto"/>
          <w:kern w:val="2"/>
          <w:sz w:val="32"/>
          <w:szCs w:val="32"/>
          <w:highlight w:val="none"/>
          <w:lang w:val="zh-CN" w:eastAsia="zh-CN" w:bidi="ar-SA"/>
        </w:rPr>
        <w:t>人员工资增长导致社保基数上涨，造成该科目支出增长。</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rPr>
        <w:t>21、卫生健康支出（类）行政事业单位医疗（款）公务员医疗补助（项）：支出决算数为8.73万元，与上年决算相比增加6.38万元，增长271.49%，主要原因是：</w:t>
      </w:r>
      <w:r>
        <w:rPr>
          <w:rFonts w:hint="eastAsia" w:ascii="Times New Roman" w:hAnsi="Times New Roman" w:eastAsia="方正仿宋_GBK" w:cs="Times New Roman"/>
          <w:color w:val="auto"/>
          <w:sz w:val="32"/>
          <w:szCs w:val="32"/>
          <w:lang w:eastAsia="zh-CN"/>
        </w:rPr>
        <w:t>人员</w:t>
      </w:r>
      <w:r>
        <w:rPr>
          <w:rFonts w:hint="eastAsia" w:eastAsia="仿宋_GB2312" w:cs="Times New Roman"/>
          <w:color w:val="auto"/>
          <w:kern w:val="2"/>
          <w:sz w:val="32"/>
          <w:szCs w:val="32"/>
          <w:highlight w:val="none"/>
          <w:lang w:val="en-US" w:eastAsia="zh-CN" w:bidi="ar-SA"/>
        </w:rPr>
        <w:t>工资上涨导致住房公积金缴费基数增长，造成该科目支出增长。</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22、住房保障支出（类）住房改革支出（款）住房公积金（项）：支出决算数为83.18万元，与上年决算相比增加7.62万元，增长10.08%，主要原因是：</w:t>
      </w:r>
      <w:r>
        <w:rPr>
          <w:rFonts w:hint="eastAsia" w:ascii="Times New Roman" w:hAnsi="Times New Roman" w:eastAsia="方正仿宋_GBK" w:cs="Times New Roman"/>
          <w:sz w:val="32"/>
          <w:szCs w:val="32"/>
          <w:lang w:eastAsia="zh-CN"/>
        </w:rPr>
        <w:t>人员</w:t>
      </w:r>
      <w:r>
        <w:rPr>
          <w:rFonts w:hint="eastAsia" w:eastAsia="仿宋_GB2312" w:cs="Times New Roman"/>
          <w:color w:val="auto"/>
          <w:kern w:val="2"/>
          <w:sz w:val="32"/>
          <w:szCs w:val="32"/>
          <w:highlight w:val="none"/>
          <w:lang w:val="en-US" w:eastAsia="zh-CN" w:bidi="ar-SA"/>
        </w:rPr>
        <w:t>工资上涨导致住房公积金缴费基数增长，造成该科目支出增长。</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color w:val="auto"/>
          <w:sz w:val="32"/>
          <w:szCs w:val="32"/>
          <w:lang w:val="en-US" w:eastAsia="zh-CN"/>
        </w:rPr>
      </w:pPr>
      <w:r>
        <w:rPr>
          <w:rFonts w:hint="default" w:ascii="Times New Roman" w:hAnsi="Times New Roman" w:eastAsia="方正仿宋_GBK" w:cs="Times New Roman"/>
          <w:color w:val="auto"/>
          <w:sz w:val="32"/>
          <w:szCs w:val="32"/>
        </w:rPr>
        <w:t>23、其他支出（类）其他支出（款）其他支出（项）：支出决算数为50.05万元，与上年决算相比增加50.05万元，增长100%，主要原因是：</w:t>
      </w:r>
      <w:r>
        <w:rPr>
          <w:rFonts w:hint="eastAsia" w:ascii="Times New Roman" w:hAnsi="Times New Roman" w:eastAsia="方正仿宋_GBK" w:cs="Times New Roman"/>
          <w:color w:val="auto"/>
          <w:sz w:val="32"/>
          <w:szCs w:val="32"/>
          <w:lang w:eastAsia="zh-CN"/>
        </w:rPr>
        <w:t>本年度增加</w:t>
      </w:r>
      <w:r>
        <w:rPr>
          <w:rFonts w:hint="default" w:ascii="Times New Roman" w:hAnsi="Times New Roman" w:eastAsia="方正仿宋_GBK" w:cs="Times New Roman"/>
          <w:color w:val="auto"/>
          <w:sz w:val="32"/>
          <w:szCs w:val="32"/>
          <w:lang w:val="en-US" w:eastAsia="zh-CN"/>
        </w:rPr>
        <w:t>2</w:t>
      </w:r>
      <w:r>
        <w:rPr>
          <w:rFonts w:hint="default" w:ascii="Times New Roman" w:hAnsi="Times New Roman" w:eastAsia="仿宋" w:cs="Times New Roman"/>
          <w:b w:val="0"/>
          <w:bCs w:val="0"/>
          <w:color w:val="auto"/>
          <w:kern w:val="2"/>
          <w:sz w:val="32"/>
          <w:szCs w:val="32"/>
          <w:highlight w:val="none"/>
          <w:lang w:val="en-US" w:eastAsia="zh-CN" w:bidi="ar-SA"/>
        </w:rPr>
        <w:t>023</w:t>
      </w:r>
      <w:r>
        <w:rPr>
          <w:rFonts w:hint="eastAsia" w:ascii="仿宋" w:hAnsi="仿宋" w:eastAsia="仿宋" w:cs="仿宋"/>
          <w:b w:val="0"/>
          <w:bCs w:val="0"/>
          <w:color w:val="auto"/>
          <w:kern w:val="2"/>
          <w:sz w:val="32"/>
          <w:szCs w:val="32"/>
          <w:highlight w:val="none"/>
          <w:lang w:val="en-US" w:eastAsia="zh-CN" w:bidi="ar-SA"/>
        </w:rPr>
        <w:t>年新疆专项（第一批）中央基建投资预算（</w:t>
      </w:r>
      <w:r>
        <w:rPr>
          <w:rFonts w:hint="default" w:ascii="Times New Roman" w:hAnsi="Times New Roman" w:eastAsia="仿宋" w:cs="Times New Roman"/>
          <w:b w:val="0"/>
          <w:bCs w:val="0"/>
          <w:color w:val="auto"/>
          <w:kern w:val="2"/>
          <w:sz w:val="32"/>
          <w:szCs w:val="32"/>
          <w:highlight w:val="none"/>
          <w:lang w:val="en-US" w:eastAsia="zh-CN" w:bidi="ar-SA"/>
        </w:rPr>
        <w:t>2023年五小工程</w:t>
      </w:r>
      <w:r>
        <w:rPr>
          <w:rFonts w:hint="eastAsia" w:ascii="仿宋" w:hAnsi="仿宋" w:eastAsia="仿宋" w:cs="仿宋"/>
          <w:b w:val="0"/>
          <w:bCs w:val="0"/>
          <w:color w:val="auto"/>
          <w:kern w:val="2"/>
          <w:sz w:val="32"/>
          <w:szCs w:val="32"/>
          <w:highlight w:val="none"/>
          <w:lang w:val="en-US" w:eastAsia="zh-CN" w:bidi="ar-SA"/>
        </w:rPr>
        <w:t>）</w:t>
      </w:r>
      <w:r>
        <w:rPr>
          <w:rFonts w:hint="eastAsia" w:ascii="仿宋_GB2312" w:hAnsi="楷体" w:eastAsia="仿宋_GB2312"/>
          <w:b w:val="0"/>
          <w:bCs/>
          <w:color w:val="000000"/>
          <w:spacing w:val="-4"/>
          <w:sz w:val="32"/>
          <w:szCs w:val="32"/>
          <w:lang w:val="en-US" w:eastAsia="zh-CN"/>
        </w:rPr>
        <w:t>项目以及纾困救助资金支出，造成</w:t>
      </w:r>
      <w:r>
        <w:rPr>
          <w:rFonts w:hint="eastAsia" w:eastAsia="仿宋_GB2312" w:cs="Times New Roman"/>
          <w:color w:val="auto"/>
          <w:kern w:val="2"/>
          <w:sz w:val="32"/>
          <w:szCs w:val="32"/>
          <w:highlight w:val="none"/>
          <w:lang w:val="en-US" w:eastAsia="zh-CN" w:bidi="ar-SA"/>
        </w:rPr>
        <w:t>该科目支出增长。</w:t>
      </w:r>
    </w:p>
    <w:p>
      <w:pPr>
        <w:keepNext w:val="0"/>
        <w:keepLines w:val="0"/>
        <w:pageBreakBefore w:val="0"/>
        <w:widowControl w:val="0"/>
        <w:kinsoku/>
        <w:wordWrap/>
        <w:overflowPunct/>
        <w:topLinePunct w:val="0"/>
        <w:autoSpaceDE/>
        <w:autoSpaceDN/>
        <w:bidi w:val="0"/>
        <w:adjustRightInd/>
        <w:snapToGrid/>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六、一般公共预算财政拨款基本支出决算情况说明</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2024年度一般公共预算财政拨款基本支出1,404.16万元，其中：人员经费1,259.31万元，包括：基本工资、津贴补贴、奖金、绩效工资、机关事业单位基本养老保险缴费、职业年金缴费、职工基本医疗保险缴费、公务员医疗补助缴费、其他社会保障缴费、住房公积金、医疗费、其他工资福利支出、退休费、生活补助、救济费和奖励金​。</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公用经费144.85万元，包括：办公费、印刷费、咨询费、水费、电费、邮电费、取暖费、差旅费、维修（护）费、租赁费、培训费、劳务费、委托业务费、工会经费、福利费、公务用车运行维护费和办公设备购置​。</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eastAsia" w:ascii="方正黑体_GBK" w:hAnsi="方正黑体_GBK" w:eastAsia="方正黑体_GBK" w:cs="方正黑体_GBK"/>
          <w:sz w:val="32"/>
          <w:szCs w:val="32"/>
        </w:rPr>
        <w:t>七、政府性基金预算财政拨款收入支出决算情况说明</w:t>
      </w:r>
      <w:r>
        <w:rPr>
          <w:rFonts w:hint="default" w:ascii="Times New Roman" w:hAnsi="Times New Roman" w:eastAsia="方正仿宋_GBK" w:cs="Times New Roman"/>
          <w:sz w:val="32"/>
          <w:szCs w:val="32"/>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本单位本年度无政府性基金预算财政拨款收入支出及结转和结余政府性基金预算财政拨款收入支出决算表为空表。</w:t>
      </w:r>
    </w:p>
    <w:p>
      <w:pPr>
        <w:keepNext w:val="0"/>
        <w:keepLines w:val="0"/>
        <w:pageBreakBefore w:val="0"/>
        <w:widowControl w:val="0"/>
        <w:kinsoku/>
        <w:wordWrap/>
        <w:overflowPunct/>
        <w:topLinePunct w:val="0"/>
        <w:autoSpaceDE/>
        <w:autoSpaceDN/>
        <w:bidi w:val="0"/>
        <w:adjustRightInd/>
        <w:snapToGrid/>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八、国有资本经营预算财政拨款收入支出决算情况说明</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2024年度国有资本经营预算财政拨款收入总计10.61万元，其中：年初结转和结余0万元，本年收入10.61万元。国有资本经营预算财政拨款支出总计10.61万元，其中：年末结转和结余0万元，本年支出10.61万元。</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color w:val="FF0000"/>
          <w:sz w:val="32"/>
          <w:szCs w:val="32"/>
        </w:rPr>
      </w:pPr>
      <w:r>
        <w:rPr>
          <w:rFonts w:hint="default" w:ascii="Times New Roman" w:hAnsi="Times New Roman" w:eastAsia="方正仿宋_GBK" w:cs="Times New Roman"/>
          <w:sz w:val="32"/>
          <w:szCs w:val="32"/>
        </w:rPr>
        <w:t>国有资本经营预算财政拨款收入支出总体与上年相比</w:t>
      </w:r>
      <w:r>
        <w:rPr>
          <w:rFonts w:hint="eastAsia"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减少3.73万元，下降26.01%，主要原因是：</w:t>
      </w:r>
      <w:r>
        <w:rPr>
          <w:rFonts w:hint="eastAsia" w:ascii="Times New Roman" w:hAnsi="Times New Roman" w:eastAsia="方正仿宋_GBK" w:cs="Times New Roman"/>
          <w:sz w:val="32"/>
          <w:szCs w:val="32"/>
          <w:lang w:eastAsia="zh-CN"/>
        </w:rPr>
        <w:t>本年度</w:t>
      </w:r>
      <w:r>
        <w:rPr>
          <w:rFonts w:hint="eastAsia" w:eastAsia="仿宋_GB2312" w:cs="Times New Roman"/>
          <w:color w:val="auto"/>
          <w:sz w:val="32"/>
          <w:szCs w:val="32"/>
          <w:highlight w:val="none"/>
          <w:lang w:val="zh-CN" w:eastAsia="zh-CN"/>
        </w:rPr>
        <w:t>国有企业退休人员社会化管理补助项目领取补助人数为</w:t>
      </w:r>
      <w:r>
        <w:rPr>
          <w:rFonts w:hint="eastAsia" w:eastAsia="仿宋_GB2312" w:cs="Times New Roman"/>
          <w:color w:val="auto"/>
          <w:sz w:val="32"/>
          <w:szCs w:val="32"/>
          <w:highlight w:val="none"/>
          <w:lang w:val="en-US" w:eastAsia="zh-CN"/>
        </w:rPr>
        <w:t>252人，人数较上年减少，造成本科目支出下降</w:t>
      </w:r>
      <w:r>
        <w:rPr>
          <w:rFonts w:hint="default" w:ascii="Times New Roman" w:hAnsi="Times New Roman" w:eastAsia="方正仿宋_GBK" w:cs="Times New Roman"/>
          <w:sz w:val="32"/>
          <w:szCs w:val="32"/>
        </w:rPr>
        <w:t>。</w:t>
      </w:r>
      <w:r>
        <w:rPr>
          <w:rFonts w:hint="default" w:ascii="Times New Roman" w:hAnsi="Times New Roman" w:eastAsia="方正仿宋_GBK" w:cs="Times New Roman"/>
          <w:color w:val="auto"/>
          <w:sz w:val="32"/>
          <w:szCs w:val="32"/>
        </w:rPr>
        <w:t>与年初预算相比，年初预算数0万元，决算数10.61万元，预决算差异率100%，主要原因是：</w:t>
      </w:r>
      <w:r>
        <w:rPr>
          <w:rFonts w:hint="eastAsia" w:ascii="Times New Roman" w:hAnsi="Times New Roman" w:eastAsia="方正仿宋_GBK" w:cs="Times New Roman"/>
          <w:color w:val="auto"/>
          <w:sz w:val="32"/>
          <w:szCs w:val="32"/>
          <w:lang w:eastAsia="zh-CN"/>
        </w:rPr>
        <w:t>本年度</w:t>
      </w:r>
      <w:r>
        <w:rPr>
          <w:rFonts w:hint="eastAsia" w:eastAsia="仿宋_GB2312" w:cs="Times New Roman"/>
          <w:color w:val="auto"/>
          <w:sz w:val="32"/>
          <w:szCs w:val="32"/>
          <w:highlight w:val="none"/>
          <w:lang w:val="zh-CN" w:eastAsia="zh-CN"/>
        </w:rPr>
        <w:t>国有企业退休人员社会化管理补助项目为后期增加预算，造成预决算差异率较大</w:t>
      </w:r>
      <w:r>
        <w:rPr>
          <w:rFonts w:hint="default" w:ascii="Times New Roman" w:hAnsi="Times New Roman" w:eastAsia="方正仿宋_GBK" w:cs="Times New Roman"/>
          <w:color w:val="auto"/>
          <w:sz w:val="32"/>
          <w:szCs w:val="32"/>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国有资本经营预算财政拨款支出10.61万元。</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国有资本经营预算支出（类）解决历史遗留问题及改革成本支出（款）国有企业退休人员社会化管理补助支出（项）：支出决算数为10.61万元，与上年决算相比减少3.73万元，下降26.01%，主要原因是：</w:t>
      </w:r>
      <w:r>
        <w:rPr>
          <w:rFonts w:hint="eastAsia" w:ascii="Times New Roman" w:hAnsi="Times New Roman" w:eastAsia="方正仿宋_GBK" w:cs="Times New Roman"/>
          <w:sz w:val="32"/>
          <w:szCs w:val="32"/>
          <w:lang w:eastAsia="zh-CN"/>
        </w:rPr>
        <w:t>本年度</w:t>
      </w:r>
      <w:r>
        <w:rPr>
          <w:rFonts w:hint="eastAsia" w:eastAsia="仿宋_GB2312" w:cs="Times New Roman"/>
          <w:color w:val="auto"/>
          <w:sz w:val="32"/>
          <w:szCs w:val="32"/>
          <w:highlight w:val="none"/>
          <w:lang w:val="zh-CN" w:eastAsia="zh-CN"/>
        </w:rPr>
        <w:t>国有企业退休人员社会化管理补助项目领取补助人数为</w:t>
      </w:r>
      <w:r>
        <w:rPr>
          <w:rFonts w:hint="eastAsia" w:eastAsia="仿宋_GB2312" w:cs="Times New Roman"/>
          <w:color w:val="auto"/>
          <w:sz w:val="32"/>
          <w:szCs w:val="32"/>
          <w:highlight w:val="none"/>
          <w:lang w:val="en-US" w:eastAsia="zh-CN"/>
        </w:rPr>
        <w:t>252人，人数较上年减少，造成本科目支出下降。</w:t>
      </w:r>
    </w:p>
    <w:p>
      <w:pPr>
        <w:keepNext w:val="0"/>
        <w:keepLines w:val="0"/>
        <w:pageBreakBefore w:val="0"/>
        <w:widowControl w:val="0"/>
        <w:kinsoku/>
        <w:wordWrap/>
        <w:overflowPunct/>
        <w:topLinePunct w:val="0"/>
        <w:autoSpaceDE/>
        <w:autoSpaceDN/>
        <w:bidi w:val="0"/>
        <w:adjustRightInd/>
        <w:snapToGrid/>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九、财政拨款“三公”经费支出决算情况说明</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2024年度财政拨款“三公”经费支出14.4万元，与上年相比无变化，主要原因是：</w:t>
      </w:r>
      <w:r>
        <w:rPr>
          <w:rFonts w:hint="eastAsia" w:ascii="仿宋_GB2312" w:eastAsia="仿宋_GB2312"/>
          <w:color w:val="auto"/>
          <w:sz w:val="32"/>
          <w:szCs w:val="32"/>
          <w:lang w:eastAsia="zh-CN"/>
        </w:rPr>
        <w:t>车辆编制未增加，支出未增加</w:t>
      </w:r>
      <w:r>
        <w:rPr>
          <w:rFonts w:hint="default" w:ascii="Times New Roman" w:hAnsi="Times New Roman" w:eastAsia="方正仿宋_GBK" w:cs="Times New Roman"/>
          <w:sz w:val="32"/>
          <w:szCs w:val="32"/>
        </w:rPr>
        <w:t>。其中：因公出国（境）费支出0万元,占0%，与上年相比无变化，主要原因是：</w:t>
      </w:r>
      <w:r>
        <w:rPr>
          <w:rFonts w:hint="eastAsia" w:ascii="仿宋_GB2312" w:eastAsia="仿宋_GB2312"/>
          <w:color w:val="auto"/>
          <w:sz w:val="32"/>
          <w:szCs w:val="32"/>
          <w:lang w:val="en-US" w:eastAsia="zh-CN"/>
        </w:rPr>
        <w:t>2024年未发生此项支出</w:t>
      </w:r>
      <w:r>
        <w:rPr>
          <w:rFonts w:hint="default" w:ascii="Times New Roman" w:hAnsi="Times New Roman" w:eastAsia="方正仿宋_GBK" w:cs="Times New Roman"/>
          <w:sz w:val="32"/>
          <w:szCs w:val="32"/>
        </w:rPr>
        <w:t>；公务用车购置及运行维护费支出14.4万元，占100%，与上年相比无变化，主要原因是：</w:t>
      </w:r>
      <w:r>
        <w:rPr>
          <w:rFonts w:hint="eastAsia" w:ascii="仿宋_GB2312" w:eastAsia="仿宋_GB2312"/>
          <w:color w:val="auto"/>
          <w:sz w:val="32"/>
          <w:szCs w:val="32"/>
          <w:lang w:eastAsia="zh-CN"/>
        </w:rPr>
        <w:t>严格管理三公经费支出</w:t>
      </w:r>
      <w:r>
        <w:rPr>
          <w:rFonts w:hint="default" w:ascii="Times New Roman" w:hAnsi="Times New Roman" w:eastAsia="方正仿宋_GBK" w:cs="Times New Roman"/>
          <w:sz w:val="32"/>
          <w:szCs w:val="32"/>
        </w:rPr>
        <w:t>；公务接待费支出0万元，占0%，与上年相比无变化，主要原因是：</w:t>
      </w:r>
      <w:r>
        <w:rPr>
          <w:rFonts w:hint="eastAsia" w:ascii="仿宋_GB2312" w:eastAsia="仿宋_GB2312"/>
          <w:color w:val="auto"/>
          <w:sz w:val="32"/>
          <w:szCs w:val="32"/>
          <w:lang w:val="en-US" w:eastAsia="zh-CN"/>
        </w:rPr>
        <w:t>2024年未发生此项支出</w:t>
      </w:r>
      <w:r>
        <w:rPr>
          <w:rFonts w:hint="default" w:ascii="Times New Roman" w:hAnsi="Times New Roman" w:eastAsia="方正仿宋_GBK" w:cs="Times New Roman"/>
          <w:sz w:val="32"/>
          <w:szCs w:val="32"/>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具体情况如下：</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因公出国（境）费支出0万元，开支内容包括</w:t>
      </w:r>
      <w:r>
        <w:rPr>
          <w:rFonts w:hint="eastAsia" w:ascii="仿宋_GB2312" w:eastAsia="仿宋_GB2312"/>
          <w:color w:val="auto"/>
          <w:sz w:val="32"/>
          <w:szCs w:val="32"/>
          <w:lang w:eastAsia="zh-CN"/>
        </w:rPr>
        <w:t>无此项内容</w:t>
      </w:r>
      <w:r>
        <w:rPr>
          <w:rFonts w:hint="default" w:ascii="Times New Roman" w:hAnsi="Times New Roman" w:eastAsia="方正仿宋_GBK" w:cs="Times New Roman"/>
          <w:sz w:val="32"/>
          <w:szCs w:val="32"/>
        </w:rPr>
        <w:t>。单位全年安排的因公出国（境）团组0个，因公出国（境）0人次。</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公务用车购置及运行维护费14.4万元，其中：公务用车购置费0万元，公务用车运行维护费</w:t>
      </w:r>
      <w:r>
        <w:rPr>
          <w:rFonts w:hint="eastAsia"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4.4万元。公务用车运行维护费开支内容包括</w:t>
      </w:r>
      <w:r>
        <w:rPr>
          <w:rFonts w:hint="eastAsia" w:ascii="仿宋_GB2312" w:eastAsia="仿宋_GB2312"/>
          <w:color w:val="auto"/>
          <w:sz w:val="32"/>
          <w:szCs w:val="32"/>
          <w:lang w:eastAsia="zh-CN"/>
        </w:rPr>
        <w:t>公务车辆维修、公务车辆保险及公务车辆加油加气</w:t>
      </w:r>
      <w:r>
        <w:rPr>
          <w:rFonts w:hint="default" w:ascii="Times New Roman" w:hAnsi="Times New Roman" w:eastAsia="方正仿宋_GBK" w:cs="Times New Roman"/>
          <w:sz w:val="32"/>
          <w:szCs w:val="32"/>
        </w:rPr>
        <w:t>。公务用车购置数0辆，公务用车保有量15辆。国有资产占用情况中固定资产车辆15辆，与公务用车保有量差异原因是：</w:t>
      </w:r>
      <w:r>
        <w:rPr>
          <w:rFonts w:hint="eastAsia" w:ascii="仿宋_GB2312" w:eastAsia="仿宋_GB2312"/>
          <w:color w:val="auto"/>
          <w:sz w:val="32"/>
          <w:szCs w:val="32"/>
          <w:highlight w:val="none"/>
          <w:lang w:val="zh-CN" w:eastAsia="zh-CN"/>
        </w:rPr>
        <w:t>固定资产车辆与公务用车保有量无差异</w:t>
      </w:r>
      <w:r>
        <w:rPr>
          <w:rFonts w:hint="default" w:ascii="Times New Roman" w:hAnsi="Times New Roman" w:eastAsia="方正仿宋_GBK" w:cs="Times New Roman"/>
          <w:sz w:val="32"/>
          <w:szCs w:val="32"/>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公务接待费0万元，开支内容包括</w:t>
      </w:r>
      <w:r>
        <w:rPr>
          <w:rFonts w:hint="eastAsia" w:ascii="仿宋_GB2312" w:eastAsia="仿宋_GB2312"/>
          <w:color w:val="auto"/>
          <w:sz w:val="32"/>
          <w:szCs w:val="32"/>
          <w:lang w:eastAsia="zh-CN"/>
        </w:rPr>
        <w:t>未发生此项支出</w:t>
      </w:r>
      <w:r>
        <w:rPr>
          <w:rFonts w:hint="default" w:ascii="Times New Roman" w:hAnsi="Times New Roman" w:eastAsia="方正仿宋_GBK" w:cs="Times New Roman"/>
          <w:sz w:val="32"/>
          <w:szCs w:val="32"/>
        </w:rPr>
        <w:t>。单位全年安排的国内公务接待0批次，0人次。</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lef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与全年预算相比，财政拨款“三公”经费支出全年预算数14.4万元，决算数14.4万元，预决算差异率0%，主要原因是：</w:t>
      </w:r>
      <w:r>
        <w:rPr>
          <w:rFonts w:hint="eastAsia" w:ascii="仿宋_GB2312" w:eastAsia="仿宋_GB2312"/>
          <w:color w:val="auto"/>
          <w:sz w:val="32"/>
          <w:szCs w:val="32"/>
          <w:lang w:eastAsia="zh-CN"/>
        </w:rPr>
        <w:t>三公经费严格按照预算数控制</w:t>
      </w:r>
      <w:r>
        <w:rPr>
          <w:rFonts w:hint="default" w:ascii="Times New Roman" w:hAnsi="Times New Roman" w:eastAsia="方正仿宋_GBK" w:cs="Times New Roman"/>
          <w:sz w:val="32"/>
          <w:szCs w:val="32"/>
        </w:rPr>
        <w:t>。其中：因公出国（境）费全年预算数0万元，决算数0万元，预决算差异率0%，主要原因是：</w:t>
      </w:r>
      <w:r>
        <w:rPr>
          <w:rFonts w:hint="eastAsia" w:ascii="仿宋_GB2312" w:eastAsia="仿宋_GB2312"/>
          <w:color w:val="auto"/>
          <w:sz w:val="32"/>
          <w:szCs w:val="32"/>
          <w:highlight w:val="none"/>
          <w:lang w:val="zh-CN" w:eastAsia="zh-CN"/>
        </w:rPr>
        <w:t>因公出国（境）费</w:t>
      </w:r>
      <w:r>
        <w:rPr>
          <w:rFonts w:hint="eastAsia" w:ascii="仿宋_GB2312" w:eastAsia="仿宋_GB2312"/>
          <w:color w:val="auto"/>
          <w:sz w:val="32"/>
          <w:szCs w:val="32"/>
          <w:highlight w:val="none"/>
          <w:lang w:val="en-US" w:eastAsia="zh-CN"/>
        </w:rPr>
        <w:t>全年支出为0，</w:t>
      </w:r>
      <w:r>
        <w:rPr>
          <w:rFonts w:hint="eastAsia" w:ascii="仿宋_GB2312" w:eastAsia="仿宋_GB2312"/>
          <w:color w:val="auto"/>
          <w:sz w:val="32"/>
          <w:szCs w:val="32"/>
          <w:lang w:eastAsia="zh-CN"/>
        </w:rPr>
        <w:t>预决算差异率为</w:t>
      </w:r>
      <w:r>
        <w:rPr>
          <w:rFonts w:hint="eastAsia" w:ascii="仿宋_GB2312" w:eastAsia="仿宋_GB2312"/>
          <w:color w:val="auto"/>
          <w:sz w:val="32"/>
          <w:szCs w:val="32"/>
          <w:lang w:val="en-US" w:eastAsia="zh-CN"/>
        </w:rPr>
        <w:t>0</w:t>
      </w:r>
      <w:r>
        <w:rPr>
          <w:rFonts w:hint="default" w:ascii="Times New Roman" w:hAnsi="Times New Roman" w:eastAsia="方正仿宋_GBK" w:cs="Times New Roman"/>
          <w:sz w:val="32"/>
          <w:szCs w:val="32"/>
        </w:rPr>
        <w:t>。公务用车购置费全年预算数0万元，决算数0万元，预决算差异率0%，主要原因是：</w:t>
      </w:r>
      <w:r>
        <w:rPr>
          <w:rFonts w:hint="eastAsia" w:ascii="仿宋_GB2312" w:eastAsia="仿宋_GB2312"/>
          <w:color w:val="auto"/>
          <w:sz w:val="32"/>
          <w:szCs w:val="32"/>
          <w:highlight w:val="none"/>
          <w:lang w:val="zh-CN" w:eastAsia="zh-CN"/>
        </w:rPr>
        <w:t>公务用车购置费</w:t>
      </w:r>
      <w:r>
        <w:rPr>
          <w:rFonts w:hint="eastAsia" w:ascii="仿宋_GB2312" w:eastAsia="仿宋_GB2312"/>
          <w:color w:val="auto"/>
          <w:sz w:val="32"/>
          <w:szCs w:val="32"/>
          <w:highlight w:val="none"/>
          <w:lang w:val="en-US" w:eastAsia="zh-CN"/>
        </w:rPr>
        <w:t>全年支出为0，</w:t>
      </w:r>
      <w:r>
        <w:rPr>
          <w:rFonts w:hint="eastAsia" w:ascii="仿宋_GB2312" w:eastAsia="仿宋_GB2312"/>
          <w:color w:val="auto"/>
          <w:sz w:val="32"/>
          <w:szCs w:val="32"/>
          <w:lang w:eastAsia="zh-CN"/>
        </w:rPr>
        <w:t>预决算差异率为</w:t>
      </w:r>
      <w:r>
        <w:rPr>
          <w:rFonts w:hint="eastAsia" w:ascii="仿宋_GB2312" w:eastAsia="仿宋_GB2312"/>
          <w:color w:val="auto"/>
          <w:sz w:val="32"/>
          <w:szCs w:val="32"/>
          <w:lang w:val="en-US" w:eastAsia="zh-CN"/>
        </w:rPr>
        <w:t>0</w:t>
      </w:r>
      <w:r>
        <w:rPr>
          <w:rFonts w:hint="default" w:ascii="Times New Roman" w:hAnsi="Times New Roman" w:eastAsia="方正仿宋_GBK" w:cs="Times New Roman"/>
          <w:sz w:val="32"/>
          <w:szCs w:val="32"/>
        </w:rPr>
        <w:t>。公务用车运行维护费全年预算数14.4万元，决算数14.4万元，预决算差异率0%，主要原因是：</w:t>
      </w:r>
      <w:r>
        <w:rPr>
          <w:rFonts w:hint="eastAsia" w:ascii="仿宋_GB2312" w:eastAsia="仿宋_GB2312"/>
          <w:color w:val="auto"/>
          <w:sz w:val="32"/>
          <w:szCs w:val="32"/>
          <w:lang w:eastAsia="zh-CN"/>
        </w:rPr>
        <w:t>车辆编制数未发生变化，预决算差异率为</w:t>
      </w:r>
      <w:r>
        <w:rPr>
          <w:rFonts w:hint="eastAsia" w:ascii="仿宋_GB2312" w:eastAsia="仿宋_GB2312"/>
          <w:color w:val="auto"/>
          <w:sz w:val="32"/>
          <w:szCs w:val="32"/>
          <w:lang w:val="en-US" w:eastAsia="zh-CN"/>
        </w:rPr>
        <w:t>0</w:t>
      </w:r>
      <w:r>
        <w:rPr>
          <w:rFonts w:hint="default" w:ascii="Times New Roman" w:hAnsi="Times New Roman" w:eastAsia="方正仿宋_GBK" w:cs="Times New Roman"/>
          <w:sz w:val="32"/>
          <w:szCs w:val="32"/>
        </w:rPr>
        <w:t>。公务接待费全年预算数0万元，决算数0万元，预决算差异率0%，主要原因是：</w:t>
      </w:r>
      <w:r>
        <w:rPr>
          <w:rFonts w:hint="eastAsia" w:ascii="仿宋_GB2312" w:eastAsia="仿宋_GB2312"/>
          <w:color w:val="auto"/>
          <w:sz w:val="32"/>
          <w:szCs w:val="32"/>
          <w:highlight w:val="none"/>
          <w:lang w:val="zh-CN" w:eastAsia="zh-CN"/>
        </w:rPr>
        <w:t>公务接待费</w:t>
      </w:r>
      <w:r>
        <w:rPr>
          <w:rFonts w:hint="eastAsia" w:ascii="仿宋_GB2312" w:eastAsia="仿宋_GB2312"/>
          <w:color w:val="auto"/>
          <w:sz w:val="32"/>
          <w:szCs w:val="32"/>
          <w:highlight w:val="none"/>
          <w:lang w:val="en-US" w:eastAsia="zh-CN"/>
        </w:rPr>
        <w:t>全年支出为0，</w:t>
      </w:r>
      <w:r>
        <w:rPr>
          <w:rFonts w:hint="eastAsia" w:ascii="仿宋_GB2312" w:eastAsia="仿宋_GB2312"/>
          <w:color w:val="auto"/>
          <w:sz w:val="32"/>
          <w:szCs w:val="32"/>
          <w:highlight w:val="none"/>
          <w:lang w:val="zh-CN" w:eastAsia="zh-CN"/>
        </w:rPr>
        <w:t>预决算差异率为</w:t>
      </w:r>
      <w:r>
        <w:rPr>
          <w:rFonts w:hint="eastAsia" w:ascii="仿宋_GB2312" w:eastAsia="仿宋_GB2312"/>
          <w:color w:val="auto"/>
          <w:sz w:val="32"/>
          <w:szCs w:val="32"/>
          <w:highlight w:val="none"/>
          <w:lang w:val="en-US" w:eastAsia="zh-CN"/>
        </w:rPr>
        <w:t>0</w:t>
      </w:r>
      <w:r>
        <w:rPr>
          <w:rFonts w:hint="default" w:ascii="Times New Roman" w:hAnsi="Times New Roman" w:eastAsia="方正仿宋_GBK" w:cs="Times New Roman"/>
          <w:sz w:val="32"/>
          <w:szCs w:val="32"/>
        </w:rPr>
        <w:t>。</w:t>
      </w:r>
    </w:p>
    <w:p>
      <w:pPr>
        <w:keepNext w:val="0"/>
        <w:keepLines w:val="0"/>
        <w:pageBreakBefore w:val="0"/>
        <w:widowControl w:val="0"/>
        <w:kinsoku/>
        <w:wordWrap/>
        <w:overflowPunct/>
        <w:topLinePunct w:val="0"/>
        <w:autoSpaceDE/>
        <w:autoSpaceDN/>
        <w:bidi w:val="0"/>
        <w:adjustRightInd/>
        <w:snapToGrid/>
        <w:textAlignment w:val="auto"/>
        <w:rPr>
          <w:rFonts w:hint="eastAsia" w:ascii="方正黑体_GBK" w:hAnsi="方正黑体_GBK" w:eastAsia="方正黑体_GBK" w:cs="方正黑体_GBK"/>
          <w:b w:val="0"/>
          <w:bCs w:val="0"/>
          <w:sz w:val="32"/>
          <w:szCs w:val="32"/>
        </w:rPr>
      </w:pPr>
      <w:r>
        <w:rPr>
          <w:rFonts w:hint="eastAsia" w:ascii="方正黑体_GBK" w:hAnsi="方正黑体_GBK" w:eastAsia="方正黑体_GBK" w:cs="方正黑体_GBK"/>
          <w:b w:val="0"/>
          <w:bCs w:val="0"/>
          <w:sz w:val="32"/>
          <w:szCs w:val="32"/>
        </w:rPr>
        <w:t>十、其他重要事项的情况说明</w:t>
      </w:r>
    </w:p>
    <w:p>
      <w:pPr>
        <w:keepNext w:val="0"/>
        <w:keepLines w:val="0"/>
        <w:pageBreakBefore w:val="0"/>
        <w:widowControl w:val="0"/>
        <w:kinsoku/>
        <w:wordWrap/>
        <w:overflowPunct/>
        <w:topLinePunct w:val="0"/>
        <w:autoSpaceDE/>
        <w:autoSpaceDN/>
        <w:bidi w:val="0"/>
        <w:adjustRightInd/>
        <w:snapToGrid/>
        <w:textAlignment w:val="auto"/>
        <w:rPr>
          <w:rFonts w:hint="eastAsia" w:ascii="方正黑体_GBK" w:hAnsi="方正黑体_GBK" w:eastAsia="方正黑体_GBK" w:cs="方正黑体_GBK"/>
          <w:b w:val="0"/>
          <w:bCs w:val="0"/>
          <w:sz w:val="32"/>
          <w:szCs w:val="32"/>
        </w:rPr>
      </w:pPr>
      <w:r>
        <w:rPr>
          <w:rFonts w:hint="eastAsia" w:ascii="方正黑体_GBK" w:hAnsi="方正黑体_GBK" w:eastAsia="方正黑体_GBK" w:cs="方正黑体_GBK"/>
          <w:b w:val="0"/>
          <w:bCs w:val="0"/>
          <w:sz w:val="32"/>
          <w:szCs w:val="32"/>
        </w:rPr>
        <w:t>（一）机关运行经费及公用经费支出情况</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2024年度库尔勒市塔什店镇人民政府单位机关运行经费支出144.85万元</w:t>
      </w:r>
      <w:r>
        <w:rPr>
          <w:rFonts w:hint="eastAsia"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比上年减少4.55万元，下降3.05%，主要原因是：</w:t>
      </w:r>
      <w:r>
        <w:rPr>
          <w:rFonts w:hint="eastAsia" w:eastAsia="仿宋_GB2312" w:cs="Times New Roman"/>
          <w:color w:val="auto"/>
          <w:sz w:val="32"/>
          <w:szCs w:val="32"/>
          <w:highlight w:val="none"/>
          <w:lang w:val="zh-CN" w:eastAsia="zh-CN"/>
        </w:rPr>
        <w:t>人员减少导致机关运行经费相应减少</w:t>
      </w:r>
      <w:r>
        <w:rPr>
          <w:rFonts w:hint="default" w:ascii="Times New Roman" w:hAnsi="Times New Roman" w:eastAsia="方正仿宋_GBK" w:cs="Times New Roman"/>
          <w:sz w:val="32"/>
          <w:szCs w:val="32"/>
        </w:rPr>
        <w:t>。</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b/>
          <w:bCs/>
          <w:sz w:val="32"/>
          <w:szCs w:val="32"/>
        </w:rPr>
      </w:pPr>
      <w:r>
        <w:rPr>
          <w:rFonts w:hint="default" w:ascii="Times New Roman" w:hAnsi="Times New Roman" w:eastAsia="方正仿宋_GBK" w:cs="Times New Roman"/>
          <w:b/>
          <w:bCs/>
          <w:sz w:val="32"/>
          <w:szCs w:val="32"/>
        </w:rPr>
        <w:t>（二）政府采购情况</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2024年度政府采购支出总额84.53万元，其中：政府采购货物支出3.88万元、政府采购工程支出0万元、政府采购服务支出80.65万元。</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授予中小企业合同金额84.53万元，占政府采购支出总额的100%，其中：授予小微企业合同金额83.17万元，占政府采购支出总额的98.39%。</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b/>
          <w:bCs/>
          <w:sz w:val="32"/>
          <w:szCs w:val="32"/>
        </w:rPr>
      </w:pPr>
      <w:r>
        <w:rPr>
          <w:rFonts w:hint="default" w:ascii="Times New Roman" w:hAnsi="Times New Roman" w:eastAsia="方正仿宋_GBK" w:cs="Times New Roman"/>
          <w:b/>
          <w:bCs/>
          <w:sz w:val="32"/>
          <w:szCs w:val="32"/>
        </w:rPr>
        <w:t>（三）国有资产占用情况说明</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截至2024年12月31日，房屋5,916.93平方米，价值568.46万元。车辆15辆，价值131.48万元，其中：副部（省）级及以上领导用车0辆、主要负责人用车0辆、机要通信用车0辆、应急保障用车0辆、执法执勤用车0辆、特种专业技术用车0辆、离退休干部服务用车0辆、其他用车15辆，其他用车主要是：</w:t>
      </w:r>
      <w:r>
        <w:rPr>
          <w:rFonts w:hint="eastAsia" w:eastAsia="仿宋_GB2312" w:cs="Times New Roman"/>
          <w:color w:val="auto"/>
          <w:sz w:val="32"/>
          <w:szCs w:val="32"/>
          <w:highlight w:val="none"/>
          <w:lang w:val="zh-CN" w:eastAsia="zh-CN"/>
        </w:rPr>
        <w:t>机关一般公务车辆</w:t>
      </w:r>
      <w:r>
        <w:rPr>
          <w:rFonts w:hint="eastAsia" w:eastAsia="仿宋_GB2312" w:cs="Times New Roman"/>
          <w:color w:val="auto"/>
          <w:sz w:val="32"/>
          <w:szCs w:val="32"/>
          <w:highlight w:val="none"/>
          <w:lang w:val="en-US" w:eastAsia="zh-CN"/>
        </w:rPr>
        <w:t>3</w:t>
      </w:r>
      <w:r>
        <w:rPr>
          <w:rFonts w:hint="eastAsia" w:eastAsia="仿宋_GB2312" w:cs="Times New Roman"/>
          <w:color w:val="auto"/>
          <w:sz w:val="32"/>
          <w:szCs w:val="32"/>
          <w:highlight w:val="none"/>
          <w:lang w:val="zh-CN" w:eastAsia="zh-CN"/>
        </w:rPr>
        <w:t>辆、社区巡逻车辆</w:t>
      </w:r>
      <w:r>
        <w:rPr>
          <w:rFonts w:hint="eastAsia" w:eastAsia="仿宋_GB2312" w:cs="Times New Roman"/>
          <w:color w:val="auto"/>
          <w:sz w:val="32"/>
          <w:szCs w:val="32"/>
          <w:highlight w:val="none"/>
          <w:lang w:val="en-US" w:eastAsia="zh-CN"/>
        </w:rPr>
        <w:t>7辆、所属事业单位用车5辆；</w:t>
      </w:r>
      <w:r>
        <w:rPr>
          <w:rFonts w:hint="default" w:ascii="Times New Roman" w:hAnsi="Times New Roman" w:eastAsia="方正仿宋_GBK" w:cs="Times New Roman"/>
          <w:sz w:val="32"/>
          <w:szCs w:val="32"/>
        </w:rPr>
        <w:t>单价100万元（含）以上设备（不含车辆）0台（套）。</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eastAsia" w:ascii="方正黑体_GBK" w:hAnsi="方正黑体_GBK" w:eastAsia="方正黑体_GBK" w:cs="方正黑体_GBK"/>
          <w:sz w:val="32"/>
          <w:szCs w:val="32"/>
        </w:rPr>
        <w:t>十一、预算绩效的情况说明</w:t>
      </w:r>
      <w:r>
        <w:rPr>
          <w:rFonts w:hint="default" w:ascii="Times New Roman" w:hAnsi="Times New Roman" w:eastAsia="方正仿宋_GBK" w:cs="Times New Roman"/>
          <w:sz w:val="32"/>
          <w:szCs w:val="32"/>
        </w:rPr>
        <w:t>​​</w:t>
      </w:r>
    </w:p>
    <w:p>
      <w:pPr>
        <w:pStyle w:val="8"/>
        <w:keepNext w:val="0"/>
        <w:keepLines w:val="0"/>
        <w:pageBreakBefore w:val="0"/>
        <w:widowControl w:val="0"/>
        <w:numPr>
          <w:ilvl w:val="0"/>
          <w:numId w:val="0"/>
        </w:numPr>
        <w:kinsoku/>
        <w:wordWrap/>
        <w:overflowPunct/>
        <w:topLinePunct w:val="0"/>
        <w:autoSpaceDE/>
        <w:autoSpaceDN/>
        <w:bidi w:val="0"/>
        <w:adjustRightInd/>
        <w:snapToGrid w:val="0"/>
        <w:spacing w:line="600" w:lineRule="exact"/>
        <w:ind w:firstLine="640" w:firstLineChars="200"/>
        <w:textAlignment w:val="auto"/>
        <w:rPr>
          <w:rFonts w:hint="eastAsia" w:ascii="仿宋" w:hAnsi="仿宋" w:eastAsia="仿宋" w:cs="仿宋"/>
          <w:b w:val="0"/>
          <w:bCs w:val="0"/>
          <w:color w:val="auto"/>
          <w:kern w:val="2"/>
          <w:sz w:val="32"/>
          <w:szCs w:val="32"/>
          <w:highlight w:val="none"/>
          <w:lang w:val="en-US" w:eastAsia="zh-CN" w:bidi="ar-SA"/>
        </w:rPr>
      </w:pPr>
      <w:r>
        <w:rPr>
          <w:rFonts w:hint="default" w:ascii="Times New Roman" w:hAnsi="Times New Roman" w:eastAsia="方正仿宋_GBK" w:cs="Times New Roman"/>
          <w:sz w:val="32"/>
          <w:szCs w:val="32"/>
        </w:rPr>
        <w:t>根据预算绩效管理要求，本单位2024年度预算绩效管理形成整体支出绩效自评表1个，全年预算总额</w:t>
      </w:r>
      <w:r>
        <w:rPr>
          <w:rFonts w:hint="eastAsia" w:ascii="Times New Roman" w:hAnsi="Times New Roman" w:eastAsia="方正仿宋_GBK" w:cs="Times New Roman"/>
          <w:sz w:val="32"/>
          <w:szCs w:val="32"/>
          <w:lang w:val="en-US" w:eastAsia="zh-CN"/>
        </w:rPr>
        <w:t>1741.58</w:t>
      </w:r>
      <w:r>
        <w:rPr>
          <w:rFonts w:hint="default" w:ascii="Times New Roman" w:hAnsi="Times New Roman" w:eastAsia="方正仿宋_GBK" w:cs="Times New Roman"/>
          <w:sz w:val="32"/>
          <w:szCs w:val="32"/>
        </w:rPr>
        <w:t>万元，实际执行总额</w:t>
      </w:r>
      <w:r>
        <w:rPr>
          <w:rFonts w:hint="eastAsia" w:ascii="Times New Roman" w:hAnsi="Times New Roman" w:eastAsia="方正仿宋_GBK" w:cs="Times New Roman"/>
          <w:sz w:val="32"/>
          <w:szCs w:val="32"/>
          <w:lang w:val="en-US" w:eastAsia="zh-CN"/>
        </w:rPr>
        <w:t>1741.58</w:t>
      </w:r>
      <w:r>
        <w:rPr>
          <w:rFonts w:hint="default" w:ascii="Times New Roman" w:hAnsi="Times New Roman" w:eastAsia="方正仿宋_GBK" w:cs="Times New Roman"/>
          <w:sz w:val="32"/>
          <w:szCs w:val="32"/>
        </w:rPr>
        <w:t>万元；预算绩效评价项目</w:t>
      </w:r>
      <w:r>
        <w:rPr>
          <w:rFonts w:hint="eastAsia" w:ascii="Times New Roman" w:hAnsi="Times New Roman" w:eastAsia="方正仿宋_GBK" w:cs="Times New Roman"/>
          <w:sz w:val="32"/>
          <w:szCs w:val="32"/>
          <w:lang w:val="en-US" w:eastAsia="zh-CN"/>
        </w:rPr>
        <w:t>13</w:t>
      </w:r>
      <w:r>
        <w:rPr>
          <w:rFonts w:hint="default" w:ascii="Times New Roman" w:hAnsi="Times New Roman" w:eastAsia="方正仿宋_GBK" w:cs="Times New Roman"/>
          <w:sz w:val="32"/>
          <w:szCs w:val="32"/>
        </w:rPr>
        <w:t>个，全年预算数</w:t>
      </w:r>
      <w:r>
        <w:rPr>
          <w:rFonts w:hint="eastAsia" w:ascii="Times New Roman" w:hAnsi="Times New Roman" w:eastAsia="方正仿宋_GBK" w:cs="Times New Roman"/>
          <w:sz w:val="32"/>
          <w:szCs w:val="32"/>
          <w:lang w:val="en-US" w:eastAsia="zh-CN"/>
        </w:rPr>
        <w:t>301.68</w:t>
      </w:r>
      <w:r>
        <w:rPr>
          <w:rFonts w:hint="default" w:ascii="Times New Roman" w:hAnsi="Times New Roman" w:eastAsia="方正仿宋_GBK" w:cs="Times New Roman"/>
          <w:sz w:val="32"/>
          <w:szCs w:val="32"/>
        </w:rPr>
        <w:t>万元，全年执行数</w:t>
      </w:r>
      <w:bookmarkStart w:id="0" w:name="_GoBack"/>
      <w:r>
        <w:rPr>
          <w:rFonts w:hint="eastAsia" w:ascii="Times New Roman" w:hAnsi="Times New Roman" w:eastAsia="方正仿宋_GBK" w:cs="Times New Roman"/>
          <w:sz w:val="32"/>
          <w:szCs w:val="32"/>
          <w:lang w:val="en-US" w:eastAsia="zh-CN"/>
        </w:rPr>
        <w:t>269.52</w:t>
      </w:r>
      <w:bookmarkEnd w:id="0"/>
      <w:r>
        <w:rPr>
          <w:rFonts w:hint="default" w:ascii="Times New Roman" w:hAnsi="Times New Roman" w:eastAsia="方正仿宋_GBK" w:cs="Times New Roman"/>
          <w:sz w:val="32"/>
          <w:szCs w:val="32"/>
        </w:rPr>
        <w:t>万元。预算绩效管理取得的成效：</w:t>
      </w:r>
      <w:r>
        <w:rPr>
          <w:rFonts w:hint="eastAsia" w:ascii="仿宋" w:hAnsi="仿宋" w:eastAsia="仿宋" w:cs="仿宋"/>
          <w:color w:val="auto"/>
          <w:kern w:val="2"/>
          <w:sz w:val="32"/>
          <w:szCs w:val="32"/>
          <w:highlight w:val="none"/>
          <w:lang w:val="en-US" w:eastAsia="zh-CN" w:bidi="ar-SA"/>
        </w:rPr>
        <w:t>（1）依据《关于印发&lt;自治区财政资金使用跟踪反馈管理暂行办法&gt;的通知》（新财预字【2016】113号）、《中华人民共和国预算法》等相关资金、项目管理办法执行，按比例按资金用途使用，实行专款专用、严禁挤占挪用。加强对项目资金的预算执行及日常监督管理，确保每个项目按照规定的用途实施</w:t>
      </w:r>
      <w:r>
        <w:rPr>
          <w:rFonts w:hint="default" w:ascii="仿宋" w:hAnsi="仿宋" w:eastAsia="仿宋" w:cs="仿宋"/>
          <w:color w:val="auto"/>
          <w:kern w:val="2"/>
          <w:sz w:val="32"/>
          <w:szCs w:val="32"/>
          <w:highlight w:val="none"/>
          <w:lang w:eastAsia="zh-CN" w:bidi="ar-SA"/>
        </w:rPr>
        <w:t>；</w:t>
      </w:r>
      <w:r>
        <w:rPr>
          <w:rFonts w:hint="eastAsia" w:ascii="仿宋" w:hAnsi="仿宋" w:eastAsia="仿宋" w:cs="仿宋"/>
          <w:color w:val="auto"/>
          <w:kern w:val="2"/>
          <w:sz w:val="32"/>
          <w:szCs w:val="32"/>
          <w:highlight w:val="none"/>
          <w:lang w:val="en-US" w:eastAsia="zh-CN" w:bidi="ar-SA"/>
        </w:rPr>
        <w:t>（2）资金拨付审批手续完整。项目资金专款专用，不存在支出依据不合规，序列项目支出，截留，挤占，挪用和超标准支出等现象，使项目资金的运用得到了合理的控制，项目得到了切实的保障</w:t>
      </w:r>
      <w:r>
        <w:rPr>
          <w:rFonts w:hint="default" w:ascii="仿宋" w:hAnsi="仿宋" w:eastAsia="仿宋" w:cs="仿宋"/>
          <w:color w:val="auto"/>
          <w:kern w:val="2"/>
          <w:sz w:val="32"/>
          <w:szCs w:val="32"/>
          <w:highlight w:val="none"/>
          <w:lang w:eastAsia="zh-CN" w:bidi="ar-SA"/>
        </w:rPr>
        <w:t>；</w:t>
      </w:r>
      <w:r>
        <w:rPr>
          <w:rFonts w:hint="eastAsia" w:ascii="仿宋" w:hAnsi="仿宋" w:eastAsia="仿宋" w:cs="仿宋"/>
          <w:color w:val="auto"/>
          <w:kern w:val="2"/>
          <w:sz w:val="32"/>
          <w:szCs w:val="32"/>
          <w:highlight w:val="none"/>
          <w:lang w:val="en-US" w:eastAsia="zh-CN" w:bidi="ar-SA"/>
        </w:rPr>
        <w:t>（3）</w:t>
      </w:r>
      <w:r>
        <w:rPr>
          <w:rFonts w:hint="eastAsia" w:ascii="仿宋_GB2312" w:hAnsi="仿宋_GB2312" w:eastAsia="仿宋_GB2312" w:cs="仿宋_GB2312"/>
          <w:color w:val="auto"/>
          <w:kern w:val="0"/>
          <w:sz w:val="32"/>
          <w:szCs w:val="32"/>
          <w:lang w:val="en-US" w:eastAsia="zh-CN" w:bidi="ar"/>
        </w:rPr>
        <w:t>制定了</w:t>
      </w:r>
      <w:r>
        <w:rPr>
          <w:rFonts w:hint="eastAsia" w:ascii="仿宋" w:hAnsi="仿宋" w:eastAsia="仿宋" w:cs="仿宋"/>
          <w:b w:val="0"/>
          <w:bCs w:val="0"/>
          <w:color w:val="auto"/>
          <w:kern w:val="2"/>
          <w:sz w:val="32"/>
          <w:szCs w:val="32"/>
          <w:highlight w:val="none"/>
          <w:lang w:val="en-US" w:eastAsia="zh-CN" w:bidi="ar-SA"/>
        </w:rPr>
        <w:t>新疆新森农生物科技有限责任公司污水污泥无害化处理及资源循环利用建设项目“三通一平”工程</w:t>
      </w:r>
      <w:r>
        <w:rPr>
          <w:rFonts w:hint="eastAsia" w:ascii="仿宋_GB2312" w:hAnsi="仿宋_GB2312" w:eastAsia="仿宋_GB2312" w:cs="仿宋_GB2312"/>
          <w:color w:val="auto"/>
          <w:kern w:val="0"/>
          <w:sz w:val="32"/>
          <w:szCs w:val="32"/>
          <w:lang w:val="en-US" w:eastAsia="zh-CN" w:bidi="ar"/>
        </w:rPr>
        <w:t>项目实施方案，确保项目</w:t>
      </w:r>
      <w:r>
        <w:rPr>
          <w:rFonts w:hint="eastAsia" w:ascii="仿宋" w:hAnsi="仿宋" w:eastAsia="仿宋" w:cs="仿宋"/>
          <w:b w:val="0"/>
          <w:bCs w:val="0"/>
          <w:color w:val="auto"/>
          <w:kern w:val="2"/>
          <w:sz w:val="32"/>
          <w:szCs w:val="32"/>
          <w:highlight w:val="none"/>
          <w:lang w:val="en-US" w:eastAsia="zh-CN" w:bidi="ar-SA"/>
        </w:rPr>
        <w:t>新疆新森农生物科技有限责任公司污水污泥无害化处理及资源循环利用建设项目“三通一平”工程顺利实施</w:t>
      </w:r>
      <w:r>
        <w:rPr>
          <w:rFonts w:hint="default" w:ascii="仿宋" w:hAnsi="仿宋" w:eastAsia="仿宋" w:cs="仿宋"/>
          <w:b w:val="0"/>
          <w:bCs w:val="0"/>
          <w:color w:val="auto"/>
          <w:kern w:val="2"/>
          <w:sz w:val="32"/>
          <w:szCs w:val="32"/>
          <w:highlight w:val="none"/>
          <w:lang w:eastAsia="zh-CN" w:bidi="ar-SA"/>
        </w:rPr>
        <w:t>；</w:t>
      </w:r>
      <w:r>
        <w:rPr>
          <w:rFonts w:hint="eastAsia" w:ascii="仿宋" w:hAnsi="仿宋" w:eastAsia="仿宋" w:cs="仿宋"/>
          <w:color w:val="auto"/>
          <w:kern w:val="2"/>
          <w:sz w:val="32"/>
          <w:szCs w:val="32"/>
          <w:highlight w:val="none"/>
          <w:lang w:val="en-US" w:eastAsia="zh-CN" w:bidi="ar-SA"/>
        </w:rPr>
        <w:t>（4）</w:t>
      </w:r>
      <w:r>
        <w:rPr>
          <w:rFonts w:hint="eastAsia" w:ascii="仿宋_GB2312" w:hAnsi="仿宋_GB2312" w:eastAsia="仿宋_GB2312" w:cs="仿宋_GB2312"/>
          <w:color w:val="auto"/>
          <w:kern w:val="0"/>
          <w:sz w:val="32"/>
          <w:szCs w:val="32"/>
          <w:lang w:val="en-US" w:eastAsia="zh-CN" w:bidi="ar"/>
        </w:rPr>
        <w:t>认真组织</w:t>
      </w:r>
      <w:r>
        <w:rPr>
          <w:rFonts w:hint="eastAsia" w:ascii="仿宋" w:hAnsi="仿宋" w:eastAsia="仿宋" w:cs="仿宋"/>
          <w:b w:val="0"/>
          <w:bCs w:val="0"/>
          <w:color w:val="auto"/>
          <w:kern w:val="2"/>
          <w:sz w:val="32"/>
          <w:szCs w:val="32"/>
          <w:highlight w:val="none"/>
          <w:lang w:val="en-US" w:eastAsia="zh-CN" w:bidi="ar-SA"/>
        </w:rPr>
        <w:t>新疆新森农生物科技有限责任公司污水污泥无害化处理及资源循环利用建设项目“三通一平”工程</w:t>
      </w:r>
      <w:r>
        <w:rPr>
          <w:rFonts w:hint="eastAsia" w:ascii="仿宋_GB2312" w:hAnsi="仿宋_GB2312" w:eastAsia="仿宋_GB2312" w:cs="仿宋_GB2312"/>
          <w:color w:val="auto"/>
          <w:kern w:val="0"/>
          <w:sz w:val="32"/>
          <w:szCs w:val="32"/>
          <w:lang w:val="en-US" w:eastAsia="zh-CN" w:bidi="ar"/>
        </w:rPr>
        <w:t>项目实施方案项目验收，确保</w:t>
      </w:r>
      <w:r>
        <w:rPr>
          <w:rFonts w:hint="eastAsia" w:ascii="仿宋" w:hAnsi="仿宋" w:eastAsia="仿宋" w:cs="仿宋"/>
          <w:b w:val="0"/>
          <w:bCs w:val="0"/>
          <w:color w:val="auto"/>
          <w:kern w:val="2"/>
          <w:sz w:val="32"/>
          <w:szCs w:val="32"/>
          <w:highlight w:val="none"/>
          <w:lang w:val="en-US" w:eastAsia="zh-CN" w:bidi="ar-SA"/>
        </w:rPr>
        <w:t>该项目符合合同、项目申报书等要求，质量符合国家以及行业相关标准，资金使用合规，杜绝出现资金挪用、截留、超支等问题，保障资金使用安全、规范。</w:t>
      </w:r>
    </w:p>
    <w:p>
      <w:pPr>
        <w:pStyle w:val="8"/>
        <w:keepNext w:val="0"/>
        <w:keepLines w:val="0"/>
        <w:pageBreakBefore w:val="0"/>
        <w:widowControl w:val="0"/>
        <w:numPr>
          <w:ilvl w:val="0"/>
          <w:numId w:val="0"/>
        </w:numPr>
        <w:kinsoku/>
        <w:wordWrap/>
        <w:overflowPunct/>
        <w:topLinePunct w:val="0"/>
        <w:autoSpaceDE/>
        <w:autoSpaceDN/>
        <w:bidi w:val="0"/>
        <w:adjustRightInd/>
        <w:snapToGrid w:val="0"/>
        <w:spacing w:line="60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发现的问题及原因：</w:t>
      </w:r>
      <w:r>
        <w:rPr>
          <w:rStyle w:val="7"/>
          <w:rFonts w:hint="eastAsia" w:ascii="仿宋" w:hAnsi="仿宋" w:eastAsia="仿宋" w:cs="仿宋"/>
          <w:b w:val="0"/>
          <w:color w:val="auto"/>
          <w:spacing w:val="-4"/>
          <w:kern w:val="2"/>
          <w:sz w:val="32"/>
          <w:szCs w:val="32"/>
          <w:highlight w:val="none"/>
          <w:lang w:val="en-US" w:eastAsia="zh-CN" w:bidi="ar-SA"/>
        </w:rPr>
        <w:t>（1）预算绩效观念不深入。在日常绩效监控工作中存在着一定程度的“重分配、轻管理、重支出、轻绩效”的情况，造成该问题的主要原因是自身绩效理念较薄弱，单位绩效目标编制仍有缺失，需要进一步加强对资金绩效管理的重视程度。</w:t>
      </w:r>
      <w:r>
        <w:rPr>
          <w:rStyle w:val="7"/>
          <w:rFonts w:hint="default" w:ascii="仿宋" w:hAnsi="仿宋" w:eastAsia="仿宋" w:cs="仿宋"/>
          <w:b w:val="0"/>
          <w:color w:val="auto"/>
          <w:spacing w:val="-4"/>
          <w:kern w:val="2"/>
          <w:sz w:val="32"/>
          <w:szCs w:val="32"/>
          <w:highlight w:val="none"/>
          <w:lang w:eastAsia="zh-CN" w:bidi="ar-SA"/>
        </w:rPr>
        <w:t>（2）</w:t>
      </w:r>
      <w:r>
        <w:rPr>
          <w:rStyle w:val="7"/>
          <w:rFonts w:hint="eastAsia" w:ascii="仿宋" w:hAnsi="仿宋" w:eastAsia="仿宋" w:cs="仿宋"/>
          <w:b w:val="0"/>
          <w:color w:val="auto"/>
          <w:spacing w:val="-4"/>
          <w:kern w:val="2"/>
          <w:sz w:val="32"/>
          <w:szCs w:val="32"/>
          <w:highlight w:val="none"/>
          <w:lang w:val="en-US" w:eastAsia="zh-CN" w:bidi="ar-SA"/>
        </w:rPr>
        <w:t>预算绩效规范管理有盲点。财务人员面对当前绩效管理工作既没有现成的经验可供借鉴，又缺乏专业性很强的技能储备，只能是边工作、边学习、边积累，短期内部分工作只能停留在表面，难以做到程序规范、管理科学，难以满足当前绩效管理要求</w:t>
      </w:r>
      <w:r>
        <w:rPr>
          <w:rFonts w:hint="default" w:ascii="Times New Roman" w:hAnsi="Times New Roman" w:eastAsia="方正仿宋_GBK" w:cs="Times New Roman"/>
          <w:sz w:val="32"/>
          <w:szCs w:val="32"/>
        </w:rPr>
        <w:t>。</w:t>
      </w:r>
    </w:p>
    <w:p>
      <w:pPr>
        <w:pStyle w:val="8"/>
        <w:keepNext w:val="0"/>
        <w:keepLines w:val="0"/>
        <w:pageBreakBefore w:val="0"/>
        <w:widowControl w:val="0"/>
        <w:numPr>
          <w:ilvl w:val="0"/>
          <w:numId w:val="0"/>
        </w:numPr>
        <w:kinsoku/>
        <w:wordWrap/>
        <w:overflowPunct/>
        <w:topLinePunct w:val="0"/>
        <w:autoSpaceDE/>
        <w:autoSpaceDN/>
        <w:bidi w:val="0"/>
        <w:adjustRightInd/>
        <w:snapToGrid w:val="0"/>
        <w:spacing w:line="60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下一步改进措施：</w:t>
      </w:r>
      <w:r>
        <w:rPr>
          <w:rStyle w:val="7"/>
          <w:rFonts w:hint="eastAsia" w:ascii="仿宋" w:hAnsi="仿宋" w:eastAsia="仿宋" w:cs="仿宋"/>
          <w:b w:val="0"/>
          <w:bCs w:val="0"/>
          <w:color w:val="auto"/>
          <w:spacing w:val="-4"/>
          <w:sz w:val="32"/>
          <w:szCs w:val="32"/>
          <w:highlight w:val="none"/>
          <w:lang w:val="en-US" w:eastAsia="zh-CN"/>
        </w:rPr>
        <w:t>1、进一步完善整体绩效目标设置，确保绩效目标与工作规划有效衔接，规范设置目标，提高绩效指标的针对性，确保覆盖我单位主要职能和重点工作任务；完善绩效运行监控，确保绩效目标和预算执行进度相匹配。2、加强对财务人员及重点业务骨干进行绩效工作培训，提高预算的科学性合理性，提升工作精细化管理，将绩效管理关节贯穿工作的整个环节，及时发现存在问题，提高工作效率</w:t>
      </w:r>
      <w:r>
        <w:rPr>
          <w:rFonts w:hint="default" w:ascii="Times New Roman" w:hAnsi="Times New Roman" w:eastAsia="方正仿宋_GBK" w:cs="Times New Roman"/>
          <w:sz w:val="32"/>
          <w:szCs w:val="32"/>
        </w:rPr>
        <w:t>。具体附部门整体支出绩效自评表，项目支出绩效自评表和部门评价报告。</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方正仿宋_GBK" w:cs="Times New Roman"/>
          <w:sz w:val="32"/>
          <w:szCs w:val="32"/>
        </w:rPr>
      </w:pPr>
      <w:r>
        <w:rPr>
          <w:rFonts w:hint="eastAsia" w:ascii="方正黑体_GBK" w:hAnsi="方正黑体_GBK" w:eastAsia="方正黑体_GBK" w:cs="方正黑体_GBK"/>
          <w:sz w:val="32"/>
          <w:szCs w:val="32"/>
        </w:rPr>
        <w:t>十二、其他需说明的事项</w:t>
      </w:r>
      <w:r>
        <w:rPr>
          <w:rFonts w:hint="default" w:ascii="Times New Roman" w:hAnsi="Times New Roman" w:eastAsia="方正仿宋_GBK" w:cs="Times New Roman"/>
          <w:sz w:val="32"/>
          <w:szCs w:val="32"/>
        </w:rPr>
        <w:t>​​</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本单位无其他需说明事项。</w:t>
      </w:r>
    </w:p>
    <w:p>
      <w:pPr>
        <w:pageBreakBefore w:val="0"/>
        <w:widowControl w:val="0"/>
        <w:kinsoku/>
        <w:wordWrap/>
        <w:overflowPunct/>
        <w:topLinePunct w:val="0"/>
        <w:autoSpaceDE/>
        <w:autoSpaceDN/>
        <w:bidi w:val="0"/>
        <w:adjustRightInd/>
        <w:jc w:val="center"/>
        <w:textAlignment w:val="auto"/>
        <w:rPr>
          <w:rFonts w:hint="default" w:ascii="Times New Roman" w:hAnsi="Times New Roman" w:eastAsia="方正仿宋_GBK" w:cs="Times New Roman"/>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第三部分 专业名词解释</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bCs/>
          <w:sz w:val="32"/>
          <w:szCs w:val="32"/>
        </w:rPr>
        <w:t>一、财政拨款收入</w:t>
      </w:r>
      <w:r>
        <w:rPr>
          <w:rFonts w:hint="default" w:ascii="Times New Roman" w:hAnsi="Times New Roman" w:eastAsia="方正仿宋_GBK" w:cs="Times New Roman"/>
          <w:sz w:val="32"/>
          <w:szCs w:val="32"/>
        </w:rPr>
        <w:t>：指同级财政当年拨付的资金。</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bCs/>
          <w:sz w:val="32"/>
          <w:szCs w:val="32"/>
        </w:rPr>
        <w:t>二、上级补助收入</w:t>
      </w:r>
      <w:r>
        <w:rPr>
          <w:rFonts w:hint="default" w:ascii="Times New Roman" w:hAnsi="Times New Roman" w:eastAsia="方正仿宋_GBK" w:cs="Times New Roman"/>
          <w:sz w:val="32"/>
          <w:szCs w:val="32"/>
        </w:rPr>
        <w:t>：指事业单位从主管部门和上级单位取得的非财政补助收入。</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bCs/>
          <w:sz w:val="32"/>
          <w:szCs w:val="32"/>
        </w:rPr>
        <w:t>三、事业收入：</w:t>
      </w:r>
      <w:r>
        <w:rPr>
          <w:rFonts w:hint="default" w:ascii="Times New Roman" w:hAnsi="Times New Roman" w:eastAsia="方正仿宋_GBK" w:cs="Times New Roman"/>
          <w:sz w:val="32"/>
          <w:szCs w:val="32"/>
        </w:rPr>
        <w:t>指事业单位开展专业业务活动及其辅助活动所取得的收入。</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bCs/>
          <w:sz w:val="32"/>
          <w:szCs w:val="32"/>
        </w:rPr>
        <w:t>四、经营收入：</w:t>
      </w:r>
      <w:r>
        <w:rPr>
          <w:rFonts w:hint="default" w:ascii="Times New Roman" w:hAnsi="Times New Roman" w:eastAsia="方正仿宋_GBK" w:cs="Times New Roman"/>
          <w:sz w:val="32"/>
          <w:szCs w:val="32"/>
        </w:rPr>
        <w:t>指事业单位在专业业务活动及其辅助活动之外开展非独立核算经营活动取得的收入。</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bCs/>
          <w:sz w:val="32"/>
          <w:szCs w:val="32"/>
        </w:rPr>
        <w:t>五、附属单位上缴收入：</w:t>
      </w:r>
      <w:r>
        <w:rPr>
          <w:rFonts w:hint="default" w:ascii="Times New Roman" w:hAnsi="Times New Roman" w:eastAsia="方正仿宋_GBK" w:cs="Times New Roman"/>
          <w:sz w:val="32"/>
          <w:szCs w:val="32"/>
        </w:rPr>
        <w:t>指事业单位附属的独立核算单位按有关规定上缴的收入。</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bCs/>
          <w:sz w:val="32"/>
          <w:szCs w:val="32"/>
        </w:rPr>
        <w:t>六、其他收入：</w:t>
      </w:r>
      <w:r>
        <w:rPr>
          <w:rFonts w:hint="default" w:ascii="Times New Roman" w:hAnsi="Times New Roman" w:eastAsia="方正仿宋_GBK" w:cs="Times New Roman"/>
          <w:sz w:val="32"/>
          <w:szCs w:val="32"/>
        </w:rPr>
        <w:t>指除上述“财政拨款收入”、“事业收入”、“经营收入”、“附属单位上缴收入”等之外取得的收入。</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bCs/>
          <w:sz w:val="32"/>
          <w:szCs w:val="32"/>
        </w:rPr>
        <w:t>七、年初结转和结余：</w:t>
      </w:r>
      <w:r>
        <w:rPr>
          <w:rFonts w:hint="default" w:ascii="Times New Roman" w:hAnsi="Times New Roman" w:eastAsia="方正仿宋_GBK" w:cs="Times New Roman"/>
          <w:sz w:val="32"/>
          <w:szCs w:val="32"/>
        </w:rPr>
        <w:t>指以前年度支出预算因客观条件变化未执行完毕、结转到本年度按有关规定继续使用的资金，既包括财政拨款结转和结余，也包括事业收入、经营收入、其他收入的结转和结余。</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bCs/>
          <w:sz w:val="32"/>
          <w:szCs w:val="32"/>
        </w:rPr>
        <w:t>八、年末结转和结余：</w:t>
      </w:r>
      <w:r>
        <w:rPr>
          <w:rFonts w:hint="default" w:ascii="Times New Roman" w:hAnsi="Times New Roman" w:eastAsia="方正仿宋_GBK" w:cs="Times New Roman"/>
          <w:sz w:val="32"/>
          <w:szCs w:val="32"/>
        </w:rPr>
        <w:t>指本年度或以前年度预算安排、因客观条件发生变化无法按原计划实施，需要延迟到以后年度按有关规定继续使用的资金，既包括财政拨款结转和结余，也包括事业收入、经营收入、其他收入的结转和结余。</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bCs/>
          <w:sz w:val="32"/>
          <w:szCs w:val="32"/>
        </w:rPr>
        <w:t>九、基本支出：</w:t>
      </w:r>
      <w:r>
        <w:rPr>
          <w:rFonts w:hint="default" w:ascii="Times New Roman" w:hAnsi="Times New Roman" w:eastAsia="方正仿宋_GBK" w:cs="Times New Roman"/>
          <w:sz w:val="32"/>
          <w:szCs w:val="32"/>
        </w:rPr>
        <w:t>指为保障机构正常运转、完成日常工作任务而发生的人员支出和公用支出。</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bCs/>
          <w:sz w:val="32"/>
          <w:szCs w:val="32"/>
        </w:rPr>
        <w:t>十、项目支出：</w:t>
      </w:r>
      <w:r>
        <w:rPr>
          <w:rFonts w:hint="default" w:ascii="Times New Roman" w:hAnsi="Times New Roman" w:eastAsia="方正仿宋_GBK" w:cs="Times New Roman"/>
          <w:sz w:val="32"/>
          <w:szCs w:val="32"/>
        </w:rPr>
        <w:t>指在基本支出之外为完成特定行政任务和事业发展目标所发生的支出。</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bCs/>
          <w:sz w:val="32"/>
          <w:szCs w:val="32"/>
        </w:rPr>
        <w:t>十一、经营支出：</w:t>
      </w:r>
      <w:r>
        <w:rPr>
          <w:rFonts w:hint="default" w:ascii="Times New Roman" w:hAnsi="Times New Roman" w:eastAsia="方正仿宋_GBK" w:cs="Times New Roman"/>
          <w:sz w:val="32"/>
          <w:szCs w:val="32"/>
        </w:rPr>
        <w:t>指事业单位在专业业务活动及其辅助活动之外开展非独立核算经营活动发生的支出。</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bCs/>
          <w:sz w:val="32"/>
          <w:szCs w:val="32"/>
        </w:rPr>
        <w:t>十二、对附属单位补助支出：</w:t>
      </w:r>
      <w:r>
        <w:rPr>
          <w:rFonts w:hint="default" w:ascii="Times New Roman" w:hAnsi="Times New Roman" w:eastAsia="方正仿宋_GBK" w:cs="Times New Roman"/>
          <w:sz w:val="32"/>
          <w:szCs w:val="32"/>
        </w:rPr>
        <w:t>指事业单位发生的用非财政预算资金对附属单位的补助支出。</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bCs/>
          <w:sz w:val="32"/>
          <w:szCs w:val="32"/>
        </w:rPr>
        <w:t>十三、“三公”经费：</w:t>
      </w:r>
      <w:r>
        <w:rPr>
          <w:rFonts w:hint="default" w:ascii="Times New Roman" w:hAnsi="Times New Roman" w:eastAsia="方正仿宋_GBK" w:cs="Times New Roman"/>
          <w:sz w:val="32"/>
          <w:szCs w:val="32"/>
        </w:rPr>
        <w:t>指用财政拨款安排的因公出国（境）费、公务用车购置及运行费和公务接待费。其中，因公出国（境）费反映单位公务出国（境）的国际旅费、国外城市间交通费、住宿费、伙食费、培训费、公杂费等支出；公务用车购置反映公务用车购置支出（含车辆购置税、牌照费）；公务用车运行维护费反映单位按规定保留的公务用车燃料费、维修费、过路过桥费、保险费、安全奖励费用等支出；公务接待费反映单位按规定开支的各类公务接待（含外宾接待）费用。</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bCs/>
          <w:sz w:val="32"/>
          <w:szCs w:val="32"/>
        </w:rPr>
        <w:t>十四、机关运行经费：</w:t>
      </w:r>
      <w:r>
        <w:rPr>
          <w:rFonts w:hint="default" w:ascii="Times New Roman" w:hAnsi="Times New Roman" w:eastAsia="方正仿宋_GBK" w:cs="Times New Roman"/>
          <w:sz w:val="32"/>
          <w:szCs w:val="32"/>
        </w:rPr>
        <w:t>行政单位和参照公务员法管理的事业单位财政拨款基本支出中的公用经费支出。</w:t>
      </w:r>
    </w:p>
    <w:p>
      <w:pPr>
        <w:pageBreakBefore w:val="0"/>
        <w:widowControl w:val="0"/>
        <w:kinsoku/>
        <w:wordWrap/>
        <w:overflowPunct/>
        <w:topLinePunct w:val="0"/>
        <w:autoSpaceDE/>
        <w:autoSpaceDN/>
        <w:bidi w:val="0"/>
        <w:adjustRightInd/>
        <w:jc w:val="center"/>
        <w:textAlignment w:val="auto"/>
        <w:rPr>
          <w:rFonts w:hint="default" w:ascii="Times New Roman" w:hAnsi="Times New Roman" w:eastAsia="方正仿宋_GBK" w:cs="Times New Roman"/>
          <w:sz w:val="32"/>
          <w:szCs w:val="32"/>
        </w:rPr>
      </w:pPr>
    </w:p>
    <w:p>
      <w:pPr>
        <w:pageBreakBefore w:val="0"/>
        <w:widowControl w:val="0"/>
        <w:kinsoku/>
        <w:wordWrap/>
        <w:overflowPunct/>
        <w:topLinePunct w:val="0"/>
        <w:autoSpaceDE/>
        <w:autoSpaceDN/>
        <w:bidi w:val="0"/>
        <w:adjustRightInd/>
        <w:jc w:val="center"/>
        <w:textAlignment w:val="auto"/>
        <w:rPr>
          <w:rFonts w:hint="default" w:ascii="Times New Roman" w:hAnsi="Times New Roman" w:eastAsia="方正仿宋_GBK" w:cs="Times New Roman"/>
          <w:sz w:val="32"/>
          <w:szCs w:val="32"/>
        </w:rPr>
      </w:pPr>
    </w:p>
    <w:p>
      <w:pPr>
        <w:pageBreakBefore w:val="0"/>
        <w:widowControl w:val="0"/>
        <w:kinsoku/>
        <w:wordWrap/>
        <w:overflowPunct/>
        <w:topLinePunct w:val="0"/>
        <w:autoSpaceDE/>
        <w:autoSpaceDN/>
        <w:bidi w:val="0"/>
        <w:adjustRightInd/>
        <w:jc w:val="center"/>
        <w:textAlignment w:val="auto"/>
        <w:rPr>
          <w:rFonts w:hint="default" w:ascii="Times New Roman" w:hAnsi="Times New Roman" w:eastAsia="方正仿宋_GBK" w:cs="Times New Roman"/>
          <w:sz w:val="32"/>
          <w:szCs w:val="32"/>
        </w:rPr>
      </w:pPr>
    </w:p>
    <w:p>
      <w:pPr>
        <w:pageBreakBefore w:val="0"/>
        <w:widowControl w:val="0"/>
        <w:kinsoku/>
        <w:wordWrap/>
        <w:overflowPunct/>
        <w:topLinePunct w:val="0"/>
        <w:autoSpaceDE/>
        <w:autoSpaceDN/>
        <w:bidi w:val="0"/>
        <w:adjustRightInd/>
        <w:jc w:val="center"/>
        <w:textAlignment w:val="auto"/>
        <w:rPr>
          <w:rFonts w:hint="default" w:ascii="Times New Roman" w:hAnsi="Times New Roman" w:eastAsia="方正仿宋_GBK" w:cs="Times New Roman"/>
          <w:sz w:val="32"/>
          <w:szCs w:val="32"/>
        </w:rPr>
      </w:pPr>
    </w:p>
    <w:p>
      <w:pPr>
        <w:pageBreakBefore w:val="0"/>
        <w:widowControl w:val="0"/>
        <w:kinsoku/>
        <w:wordWrap/>
        <w:overflowPunct/>
        <w:topLinePunct w:val="0"/>
        <w:autoSpaceDE/>
        <w:autoSpaceDN/>
        <w:bidi w:val="0"/>
        <w:adjustRightInd/>
        <w:jc w:val="center"/>
        <w:textAlignment w:val="auto"/>
        <w:rPr>
          <w:rFonts w:hint="default" w:ascii="Times New Roman" w:hAnsi="Times New Roman" w:eastAsia="方正仿宋_GBK" w:cs="Times New Roman"/>
          <w:sz w:val="32"/>
          <w:szCs w:val="32"/>
        </w:rPr>
      </w:pPr>
    </w:p>
    <w:p>
      <w:pPr>
        <w:pageBreakBefore w:val="0"/>
        <w:widowControl w:val="0"/>
        <w:kinsoku/>
        <w:wordWrap/>
        <w:overflowPunct/>
        <w:topLinePunct w:val="0"/>
        <w:autoSpaceDE/>
        <w:autoSpaceDN/>
        <w:bidi w:val="0"/>
        <w:adjustRightInd/>
        <w:jc w:val="center"/>
        <w:textAlignment w:val="auto"/>
        <w:rPr>
          <w:rFonts w:hint="default" w:ascii="Times New Roman" w:hAnsi="Times New Roman" w:eastAsia="方正仿宋_GBK" w:cs="Times New Roman"/>
          <w:sz w:val="32"/>
          <w:szCs w:val="32"/>
        </w:rPr>
      </w:pPr>
    </w:p>
    <w:p>
      <w:pPr>
        <w:pageBreakBefore w:val="0"/>
        <w:widowControl w:val="0"/>
        <w:kinsoku/>
        <w:wordWrap/>
        <w:overflowPunct/>
        <w:topLinePunct w:val="0"/>
        <w:autoSpaceDE/>
        <w:autoSpaceDN/>
        <w:bidi w:val="0"/>
        <w:adjustRightInd/>
        <w:jc w:val="center"/>
        <w:textAlignment w:val="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第四部分 部门决算报表（见附表）</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一、《收入支出决算总表》</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二、《收入决算表》</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三、《支出决算表》</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四、《财政拨款收入支出决算总表》</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五、《一般公共预算财政拨款支出决算表》</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六、《一般公共预算财政拨款基本支出决算表》</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七、《政府性基金预算财政拨款收入支出决算表》</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八、《国有资本经营预算财政拨款收入支出决算表》</w:t>
      </w: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九、《财政拨款“三公”经费支出决算表》</w:t>
      </w:r>
    </w:p>
    <w:p>
      <w:pPr>
        <w:pStyle w:val="2"/>
        <w:pageBreakBefore w:val="0"/>
        <w:widowControl w:val="0"/>
        <w:kinsoku/>
        <w:wordWrap/>
        <w:overflowPunct/>
        <w:topLinePunct w:val="0"/>
        <w:autoSpaceDE/>
        <w:autoSpaceDN/>
        <w:bidi w:val="0"/>
        <w:adjustRightInd/>
        <w:spacing w:before="0" w:beforeLines="0" w:after="0" w:afterLines="0"/>
        <w:textAlignment w:val="auto"/>
        <w:rPr>
          <w:rFonts w:hint="default" w:ascii="Times New Roman" w:hAnsi="Times New Roman" w:eastAsia="方正仿宋_GBK" w:cs="Times New Roman"/>
          <w:sz w:val="32"/>
          <w:szCs w:val="32"/>
        </w:rPr>
      </w:pP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p>
    <w:p>
      <w:pPr>
        <w:pStyle w:val="2"/>
        <w:pageBreakBefore w:val="0"/>
        <w:widowControl w:val="0"/>
        <w:kinsoku/>
        <w:wordWrap/>
        <w:overflowPunct/>
        <w:topLinePunct w:val="0"/>
        <w:autoSpaceDE/>
        <w:autoSpaceDN/>
        <w:bidi w:val="0"/>
        <w:adjustRightInd/>
        <w:spacing w:before="0" w:beforeLines="0" w:after="0" w:afterLines="0"/>
        <w:textAlignment w:val="auto"/>
        <w:rPr>
          <w:rFonts w:hint="default" w:ascii="Times New Roman" w:hAnsi="Times New Roman" w:eastAsia="方正仿宋_GBK" w:cs="Times New Roman"/>
          <w:sz w:val="32"/>
          <w:szCs w:val="32"/>
        </w:rPr>
      </w:pPr>
    </w:p>
    <w:p>
      <w:pPr>
        <w:pageBreakBefore w:val="0"/>
        <w:widowControl w:val="0"/>
        <w:kinsoku/>
        <w:wordWrap/>
        <w:overflowPunct/>
        <w:topLinePunct w:val="0"/>
        <w:autoSpaceDE/>
        <w:autoSpaceDN/>
        <w:bidi w:val="0"/>
        <w:adjustRightInd/>
        <w:textAlignment w:val="auto"/>
        <w:rPr>
          <w:rFonts w:hint="default" w:ascii="Times New Roman" w:hAnsi="Times New Roman" w:eastAsia="方正仿宋_GBK" w:cs="Times New Roman"/>
          <w:sz w:val="32"/>
          <w:szCs w:val="32"/>
        </w:rPr>
      </w:pPr>
    </w:p>
    <w:p>
      <w:pPr>
        <w:pStyle w:val="2"/>
        <w:pageBreakBefore w:val="0"/>
        <w:widowControl w:val="0"/>
        <w:kinsoku/>
        <w:wordWrap/>
        <w:overflowPunct/>
        <w:topLinePunct w:val="0"/>
        <w:autoSpaceDE/>
        <w:autoSpaceDN/>
        <w:bidi w:val="0"/>
        <w:adjustRightInd/>
        <w:spacing w:before="0" w:beforeLines="0" w:after="0" w:afterLines="0"/>
        <w:textAlignment w:val="auto"/>
        <w:rPr>
          <w:rFonts w:hint="default"/>
        </w:rPr>
      </w:pPr>
    </w:p>
    <w:p>
      <w:pPr>
        <w:pageBreakBefore w:val="0"/>
        <w:widowControl w:val="0"/>
        <w:kinsoku/>
        <w:wordWrap/>
        <w:overflowPunct/>
        <w:topLinePunct w:val="0"/>
        <w:autoSpaceDE/>
        <w:autoSpaceDN/>
        <w:bidi w:val="0"/>
        <w:adjustRightInd/>
        <w:textAlignment w:val="auto"/>
        <w:rPr>
          <w:rFonts w:hint="default"/>
        </w:rPr>
      </w:pPr>
    </w:p>
    <w:p>
      <w:pPr>
        <w:pStyle w:val="2"/>
        <w:pageBreakBefore w:val="0"/>
        <w:widowControl w:val="0"/>
        <w:kinsoku/>
        <w:wordWrap/>
        <w:overflowPunct/>
        <w:topLinePunct w:val="0"/>
        <w:autoSpaceDE/>
        <w:autoSpaceDN/>
        <w:bidi w:val="0"/>
        <w:adjustRightInd/>
        <w:spacing w:before="0" w:beforeLines="0" w:after="0" w:afterLines="0"/>
        <w:textAlignment w:val="auto"/>
        <w:rPr>
          <w:rFonts w:hint="default"/>
        </w:rPr>
      </w:pPr>
    </w:p>
    <w:p>
      <w:pPr>
        <w:pageBreakBefore w:val="0"/>
        <w:widowControl w:val="0"/>
        <w:kinsoku/>
        <w:wordWrap/>
        <w:overflowPunct/>
        <w:topLinePunct w:val="0"/>
        <w:autoSpaceDE/>
        <w:autoSpaceDN/>
        <w:bidi w:val="0"/>
        <w:adjustRightInd/>
        <w:textAlignment w:val="auto"/>
        <w:rPr>
          <w:rFonts w:hint="default"/>
        </w:rPr>
      </w:pPr>
    </w:p>
    <w:p>
      <w:pPr>
        <w:pageBreakBefore w:val="0"/>
        <w:widowControl w:val="0"/>
        <w:kinsoku/>
        <w:wordWrap/>
        <w:overflowPunct/>
        <w:topLinePunct w:val="0"/>
        <w:autoSpaceDE/>
        <w:autoSpaceDN/>
        <w:bidi w:val="0"/>
        <w:adjustRightInd/>
        <w:textAlignment w:val="auto"/>
        <w:rPr>
          <w:rFonts w:hint="default"/>
        </w:rPr>
      </w:pPr>
    </w:p>
    <w:p>
      <w:pPr>
        <w:pStyle w:val="2"/>
        <w:pageBreakBefore w:val="0"/>
        <w:widowControl w:val="0"/>
        <w:kinsoku/>
        <w:wordWrap/>
        <w:overflowPunct/>
        <w:topLinePunct w:val="0"/>
        <w:autoSpaceDE/>
        <w:autoSpaceDN/>
        <w:bidi w:val="0"/>
        <w:adjustRightInd/>
        <w:spacing w:before="0" w:beforeLines="0" w:after="0" w:afterLines="0"/>
        <w:textAlignment w:val="auto"/>
        <w:rPr>
          <w:rFonts w:hint="default"/>
        </w:rPr>
      </w:pP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r>
        <w:drawing>
          <wp:inline distT="0" distB="0" distL="114300" distR="114300">
            <wp:extent cx="5271770" cy="6327775"/>
            <wp:effectExtent l="0" t="0" r="1270" b="1206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5"/>
                    <a:stretch>
                      <a:fillRect/>
                    </a:stretch>
                  </pic:blipFill>
                  <pic:spPr>
                    <a:xfrm>
                      <a:off x="0" y="0"/>
                      <a:ext cx="5271770" cy="6327775"/>
                    </a:xfrm>
                    <a:prstGeom prst="rect">
                      <a:avLst/>
                    </a:prstGeom>
                    <a:noFill/>
                    <a:ln>
                      <a:noFill/>
                    </a:ln>
                  </pic:spPr>
                </pic:pic>
              </a:graphicData>
            </a:graphic>
          </wp:inline>
        </w:drawing>
      </w: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r>
        <w:drawing>
          <wp:anchor distT="0" distB="0" distL="114300" distR="114300" simplePos="0" relativeHeight="251658240" behindDoc="0" locked="0" layoutInCell="1" allowOverlap="1">
            <wp:simplePos x="0" y="0"/>
            <wp:positionH relativeFrom="column">
              <wp:posOffset>-564515</wp:posOffset>
            </wp:positionH>
            <wp:positionV relativeFrom="page">
              <wp:posOffset>1090930</wp:posOffset>
            </wp:positionV>
            <wp:extent cx="6216650" cy="7088505"/>
            <wp:effectExtent l="0" t="0" r="1270" b="13335"/>
            <wp:wrapSquare wrapText="bothSides"/>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6">
                      <a:grayscl/>
                    </a:blip>
                    <a:stretch>
                      <a:fillRect/>
                    </a:stretch>
                  </pic:blipFill>
                  <pic:spPr>
                    <a:xfrm>
                      <a:off x="0" y="0"/>
                      <a:ext cx="6216650" cy="7088505"/>
                    </a:xfrm>
                    <a:prstGeom prst="rect">
                      <a:avLst/>
                    </a:prstGeom>
                    <a:noFill/>
                    <a:ln>
                      <a:noFill/>
                    </a:ln>
                  </pic:spPr>
                </pic:pic>
              </a:graphicData>
            </a:graphic>
          </wp:anchor>
        </w:drawing>
      </w: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r>
        <w:drawing>
          <wp:anchor distT="0" distB="0" distL="114300" distR="114300" simplePos="0" relativeHeight="251659264" behindDoc="0" locked="0" layoutInCell="1" allowOverlap="1">
            <wp:simplePos x="0" y="0"/>
            <wp:positionH relativeFrom="column">
              <wp:posOffset>-394970</wp:posOffset>
            </wp:positionH>
            <wp:positionV relativeFrom="page">
              <wp:posOffset>967740</wp:posOffset>
            </wp:positionV>
            <wp:extent cx="6017895" cy="8019415"/>
            <wp:effectExtent l="0" t="0" r="1905" b="12065"/>
            <wp:wrapSquare wrapText="bothSides"/>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7">
                      <a:grayscl/>
                    </a:blip>
                    <a:stretch>
                      <a:fillRect/>
                    </a:stretch>
                  </pic:blipFill>
                  <pic:spPr>
                    <a:xfrm>
                      <a:off x="0" y="0"/>
                      <a:ext cx="6017895" cy="8019415"/>
                    </a:xfrm>
                    <a:prstGeom prst="rect">
                      <a:avLst/>
                    </a:prstGeom>
                    <a:noFill/>
                    <a:ln>
                      <a:noFill/>
                    </a:ln>
                  </pic:spPr>
                </pic:pic>
              </a:graphicData>
            </a:graphic>
          </wp:anchor>
        </w:drawing>
      </w: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r>
        <w:drawing>
          <wp:anchor distT="0" distB="0" distL="114300" distR="114300" simplePos="0" relativeHeight="251660288" behindDoc="0" locked="0" layoutInCell="1" allowOverlap="1">
            <wp:simplePos x="0" y="0"/>
            <wp:positionH relativeFrom="column">
              <wp:posOffset>-290830</wp:posOffset>
            </wp:positionH>
            <wp:positionV relativeFrom="page">
              <wp:posOffset>914400</wp:posOffset>
            </wp:positionV>
            <wp:extent cx="5962015" cy="6929755"/>
            <wp:effectExtent l="0" t="0" r="12065" b="4445"/>
            <wp:wrapSquare wrapText="bothSides"/>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8"/>
                    <a:stretch>
                      <a:fillRect/>
                    </a:stretch>
                  </pic:blipFill>
                  <pic:spPr>
                    <a:xfrm>
                      <a:off x="0" y="0"/>
                      <a:ext cx="5962015" cy="6929755"/>
                    </a:xfrm>
                    <a:prstGeom prst="rect">
                      <a:avLst/>
                    </a:prstGeom>
                    <a:noFill/>
                    <a:ln>
                      <a:noFill/>
                    </a:ln>
                  </pic:spPr>
                </pic:pic>
              </a:graphicData>
            </a:graphic>
          </wp:anchor>
        </w:drawing>
      </w: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r>
        <w:drawing>
          <wp:anchor distT="0" distB="0" distL="114300" distR="114300" simplePos="0" relativeHeight="251661312" behindDoc="0" locked="0" layoutInCell="1" allowOverlap="1">
            <wp:simplePos x="0" y="0"/>
            <wp:positionH relativeFrom="column">
              <wp:posOffset>-422910</wp:posOffset>
            </wp:positionH>
            <wp:positionV relativeFrom="page">
              <wp:posOffset>1005840</wp:posOffset>
            </wp:positionV>
            <wp:extent cx="6174740" cy="8730615"/>
            <wp:effectExtent l="0" t="0" r="12700" b="1905"/>
            <wp:wrapSquare wrapText="bothSides"/>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9">
                      <a:grayscl/>
                    </a:blip>
                    <a:stretch>
                      <a:fillRect/>
                    </a:stretch>
                  </pic:blipFill>
                  <pic:spPr>
                    <a:xfrm>
                      <a:off x="0" y="0"/>
                      <a:ext cx="6174740" cy="8730615"/>
                    </a:xfrm>
                    <a:prstGeom prst="rect">
                      <a:avLst/>
                    </a:prstGeom>
                    <a:noFill/>
                    <a:ln>
                      <a:noFill/>
                    </a:ln>
                  </pic:spPr>
                </pic:pic>
              </a:graphicData>
            </a:graphic>
          </wp:anchor>
        </w:drawing>
      </w: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r>
        <w:drawing>
          <wp:anchor distT="0" distB="0" distL="114300" distR="114300" simplePos="0" relativeHeight="251662336" behindDoc="0" locked="0" layoutInCell="1" allowOverlap="1">
            <wp:simplePos x="0" y="0"/>
            <wp:positionH relativeFrom="column">
              <wp:posOffset>-517525</wp:posOffset>
            </wp:positionH>
            <wp:positionV relativeFrom="page">
              <wp:posOffset>1196340</wp:posOffset>
            </wp:positionV>
            <wp:extent cx="6289675" cy="7244715"/>
            <wp:effectExtent l="0" t="0" r="4445" b="9525"/>
            <wp:wrapSquare wrapText="bothSides"/>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0"/>
                    <a:stretch>
                      <a:fillRect/>
                    </a:stretch>
                  </pic:blipFill>
                  <pic:spPr>
                    <a:xfrm>
                      <a:off x="0" y="0"/>
                      <a:ext cx="6289675" cy="7244715"/>
                    </a:xfrm>
                    <a:prstGeom prst="rect">
                      <a:avLst/>
                    </a:prstGeom>
                    <a:noFill/>
                    <a:ln>
                      <a:noFill/>
                    </a:ln>
                  </pic:spPr>
                </pic:pic>
              </a:graphicData>
            </a:graphic>
          </wp:anchor>
        </w:drawing>
      </w: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r>
        <w:drawing>
          <wp:anchor distT="0" distB="0" distL="114300" distR="114300" simplePos="0" relativeHeight="251663360" behindDoc="0" locked="0" layoutInCell="1" allowOverlap="1">
            <wp:simplePos x="0" y="0"/>
            <wp:positionH relativeFrom="column">
              <wp:posOffset>-245110</wp:posOffset>
            </wp:positionH>
            <wp:positionV relativeFrom="page">
              <wp:posOffset>929640</wp:posOffset>
            </wp:positionV>
            <wp:extent cx="5764530" cy="2181860"/>
            <wp:effectExtent l="0" t="0" r="11430" b="12700"/>
            <wp:wrapSquare wrapText="bothSides"/>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1"/>
                    <a:stretch>
                      <a:fillRect/>
                    </a:stretch>
                  </pic:blipFill>
                  <pic:spPr>
                    <a:xfrm>
                      <a:off x="0" y="0"/>
                      <a:ext cx="5764530" cy="2181860"/>
                    </a:xfrm>
                    <a:prstGeom prst="rect">
                      <a:avLst/>
                    </a:prstGeom>
                    <a:noFill/>
                    <a:ln>
                      <a:noFill/>
                    </a:ln>
                  </pic:spPr>
                </pic:pic>
              </a:graphicData>
            </a:graphic>
          </wp:anchor>
        </w:drawing>
      </w: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p>
    <w:p>
      <w:pPr>
        <w:pageBreakBefore w:val="0"/>
        <w:widowControl w:val="0"/>
        <w:kinsoku/>
        <w:wordWrap/>
        <w:overflowPunct/>
        <w:topLinePunct w:val="0"/>
        <w:autoSpaceDE/>
        <w:autoSpaceDN/>
        <w:bidi w:val="0"/>
        <w:adjustRightInd/>
        <w:textAlignment w:val="auto"/>
      </w:pPr>
    </w:p>
    <w:p>
      <w:pPr>
        <w:pStyle w:val="2"/>
        <w:pageBreakBefore w:val="0"/>
        <w:widowControl w:val="0"/>
        <w:kinsoku/>
        <w:wordWrap/>
        <w:overflowPunct/>
        <w:topLinePunct w:val="0"/>
        <w:autoSpaceDE/>
        <w:autoSpaceDN/>
        <w:bidi w:val="0"/>
        <w:adjustRightInd/>
        <w:spacing w:before="0" w:beforeLines="0" w:after="0" w:afterLines="0"/>
        <w:textAlignment w:val="auto"/>
      </w:pPr>
    </w:p>
    <w:p>
      <w:pPr>
        <w:pageBreakBefore w:val="0"/>
        <w:widowControl w:val="0"/>
        <w:kinsoku/>
        <w:wordWrap/>
        <w:overflowPunct/>
        <w:topLinePunct w:val="0"/>
        <w:autoSpaceDE/>
        <w:autoSpaceDN/>
        <w:bidi w:val="0"/>
        <w:adjustRightInd/>
        <w:textAlignment w:val="auto"/>
        <w:rPr>
          <w:rFonts w:hint="default"/>
        </w:rPr>
      </w:pPr>
    </w:p>
    <w:p>
      <w:pPr>
        <w:pStyle w:val="2"/>
        <w:rPr>
          <w:rFonts w:hint="default"/>
        </w:rPr>
      </w:pPr>
    </w:p>
    <w:p>
      <w:pPr>
        <w:rPr>
          <w:rFonts w:hint="default"/>
        </w:rPr>
      </w:pPr>
    </w:p>
    <w:p>
      <w:pPr>
        <w:pStyle w:val="2"/>
        <w:rPr>
          <w:rFonts w:hint="default"/>
        </w:rPr>
      </w:pPr>
    </w:p>
    <w:p>
      <w:pPr>
        <w:rPr>
          <w:rFonts w:hint="default"/>
        </w:rPr>
      </w:pPr>
    </w:p>
    <w:p>
      <w:pPr>
        <w:pStyle w:val="2"/>
        <w:rPr>
          <w:rFonts w:hint="default"/>
        </w:rPr>
      </w:pPr>
    </w:p>
    <w:p>
      <w:pPr>
        <w:rPr>
          <w:rFonts w:hint="default"/>
        </w:rPr>
      </w:pPr>
    </w:p>
    <w:p>
      <w:pPr>
        <w:pStyle w:val="2"/>
        <w:rPr>
          <w:rFonts w:hint="default"/>
        </w:rPr>
      </w:pPr>
    </w:p>
    <w:p>
      <w:pPr>
        <w:rPr>
          <w:rFonts w:hint="default"/>
        </w:rPr>
      </w:pPr>
    </w:p>
    <w:p>
      <w:pPr>
        <w:pStyle w:val="2"/>
        <w:rPr>
          <w:rFonts w:hint="default"/>
        </w:rPr>
      </w:pPr>
    </w:p>
    <w:p>
      <w:pPr>
        <w:rPr>
          <w:rFonts w:hint="default"/>
        </w:rPr>
      </w:pPr>
    </w:p>
    <w:p>
      <w:pPr>
        <w:pStyle w:val="2"/>
        <w:rPr>
          <w:rFonts w:hint="default"/>
        </w:rPr>
      </w:pPr>
      <w:r>
        <w:drawing>
          <wp:anchor distT="0" distB="0" distL="114300" distR="114300" simplePos="0" relativeHeight="251664384" behindDoc="0" locked="0" layoutInCell="1" allowOverlap="1">
            <wp:simplePos x="0" y="0"/>
            <wp:positionH relativeFrom="column">
              <wp:posOffset>-262890</wp:posOffset>
            </wp:positionH>
            <wp:positionV relativeFrom="page">
              <wp:posOffset>990600</wp:posOffset>
            </wp:positionV>
            <wp:extent cx="5861050" cy="2455545"/>
            <wp:effectExtent l="0" t="0" r="6350" b="13335"/>
            <wp:wrapSquare wrapText="bothSides"/>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2">
                      <a:grayscl/>
                    </a:blip>
                    <a:stretch>
                      <a:fillRect/>
                    </a:stretch>
                  </pic:blipFill>
                  <pic:spPr>
                    <a:xfrm>
                      <a:off x="0" y="0"/>
                      <a:ext cx="5861050" cy="2455545"/>
                    </a:xfrm>
                    <a:prstGeom prst="rect">
                      <a:avLst/>
                    </a:prstGeom>
                    <a:noFill/>
                    <a:ln>
                      <a:noFill/>
                    </a:ln>
                  </pic:spPr>
                </pic:pic>
              </a:graphicData>
            </a:graphic>
          </wp:anchor>
        </w:drawing>
      </w:r>
    </w:p>
    <w:p>
      <w:pPr>
        <w:rPr>
          <w:rFonts w:hint="default"/>
        </w:rPr>
      </w:pPr>
    </w:p>
    <w:p>
      <w:pPr>
        <w:pStyle w:val="2"/>
        <w:rPr>
          <w:rFonts w:hint="default"/>
        </w:rPr>
      </w:pPr>
    </w:p>
    <w:p>
      <w:pPr>
        <w:rPr>
          <w:rFonts w:hint="default"/>
        </w:rPr>
      </w:pPr>
    </w:p>
    <w:p>
      <w:pPr>
        <w:pStyle w:val="2"/>
        <w:rPr>
          <w:rFonts w:hint="default"/>
        </w:rPr>
      </w:pPr>
    </w:p>
    <w:p>
      <w:pPr>
        <w:rPr>
          <w:rFonts w:hint="default"/>
        </w:rPr>
      </w:pPr>
    </w:p>
    <w:p>
      <w:pPr>
        <w:pStyle w:val="2"/>
        <w:rPr>
          <w:rFonts w:hint="default"/>
        </w:rPr>
      </w:pPr>
    </w:p>
    <w:p>
      <w:pPr>
        <w:rPr>
          <w:rFonts w:hint="default"/>
        </w:rPr>
      </w:pPr>
    </w:p>
    <w:p>
      <w:pPr>
        <w:pStyle w:val="2"/>
        <w:rPr>
          <w:rFonts w:hint="default"/>
        </w:rPr>
      </w:pPr>
    </w:p>
    <w:p>
      <w:pPr>
        <w:rPr>
          <w:rFonts w:hint="default"/>
        </w:rPr>
      </w:pPr>
    </w:p>
    <w:p>
      <w:pPr>
        <w:pStyle w:val="2"/>
        <w:rPr>
          <w:rFonts w:hint="default"/>
        </w:rPr>
      </w:pPr>
    </w:p>
    <w:p>
      <w:pPr>
        <w:rPr>
          <w:rFonts w:hint="default"/>
        </w:rPr>
      </w:pPr>
    </w:p>
    <w:p>
      <w:pPr>
        <w:pStyle w:val="2"/>
        <w:rPr>
          <w:rFonts w:hint="default"/>
        </w:rPr>
      </w:pPr>
      <w:r>
        <w:drawing>
          <wp:anchor distT="0" distB="0" distL="114300" distR="114300" simplePos="0" relativeHeight="251665408" behindDoc="0" locked="0" layoutInCell="1" allowOverlap="1">
            <wp:simplePos x="0" y="0"/>
            <wp:positionH relativeFrom="column">
              <wp:posOffset>-601345</wp:posOffset>
            </wp:positionH>
            <wp:positionV relativeFrom="page">
              <wp:posOffset>990600</wp:posOffset>
            </wp:positionV>
            <wp:extent cx="6371590" cy="1487805"/>
            <wp:effectExtent l="0" t="0" r="13970" b="5715"/>
            <wp:wrapSquare wrapText="bothSides"/>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3"/>
                    <a:stretch>
                      <a:fillRect/>
                    </a:stretch>
                  </pic:blipFill>
                  <pic:spPr>
                    <a:xfrm>
                      <a:off x="0" y="0"/>
                      <a:ext cx="6371590" cy="1487805"/>
                    </a:xfrm>
                    <a:prstGeom prst="rect">
                      <a:avLst/>
                    </a:prstGeom>
                    <a:noFill/>
                    <a:ln>
                      <a:noFill/>
                    </a:ln>
                  </pic:spPr>
                </pic:pic>
              </a:graphicData>
            </a:graphic>
          </wp:anchor>
        </w:drawing>
      </w:r>
    </w:p>
    <w:p>
      <w:pPr>
        <w:rPr>
          <w:rFonts w:hint="default"/>
        </w:rPr>
      </w:pPr>
    </w:p>
    <w:p>
      <w:pPr>
        <w:pStyle w:val="2"/>
        <w:rPr>
          <w:rFonts w:hint="default"/>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_GBK">
    <w:panose1 w:val="03000509000000000000"/>
    <w:charset w:val="86"/>
    <w:family w:val="auto"/>
    <w:pitch w:val="default"/>
    <w:sig w:usb0="00000001" w:usb1="080E0000" w:usb2="00000000" w:usb3="00000000" w:csb0="00040000" w:csb1="00000000"/>
  </w:font>
  <w:font w:name="方正黑体_GBK">
    <w:panose1 w:val="03000509000000000000"/>
    <w:charset w:val="86"/>
    <w:family w:val="auto"/>
    <w:pitch w:val="default"/>
    <w:sig w:usb0="00000001" w:usb1="080E0000" w:usb2="00000000" w:usb3="00000000" w:csb0="00040000" w:csb1="00000000"/>
  </w:font>
  <w:font w:name="方正仿宋_GBK">
    <w:panose1 w:val="03000509000000000000"/>
    <w:charset w:val="86"/>
    <w:family w:val="auto"/>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3"/>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vert="horz" wrap="none" lIns="0" tIns="0" rIns="0" bIns="0" anchor="t" anchorCtr="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M6pebnPAAAABQEAAA8AAAAAAAAAAQAgAAAAIgAAAGRycy9kb3ducmV2LnhtbFBLAQIU&#10;ABQAAAAIAIdO4kAgtDAhwwEAAHADAAAOAAAAAAAAAAEAIAAAAB4BAABkcnMvZTJvRG9jLnhtbFBL&#10;BQYAAAAABgAGAFkBAABTBQAAAAA=&#10;">
              <v:fill on="f" focussize="0,0"/>
              <v:stroke on="f"/>
              <v:imagedata o:title=""/>
              <o:lock v:ext="edit" aspectratio="f"/>
              <v:textbox inset="0mm,0mm,0mm,0mm" style="mso-fit-shape-to-text:t;">
                <w:txbxContent>
                  <w:p>
                    <w:pPr>
                      <w:pStyle w:val="3"/>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U4NzNhYzNlN2VjYTdmOTcxY2FiMTIzNjc2ODRiYWUifQ=="/>
  </w:docVars>
  <w:rsids>
    <w:rsidRoot w:val="00000000"/>
    <w:rsid w:val="06214EC1"/>
    <w:rsid w:val="0E6E7BA9"/>
    <w:rsid w:val="18994731"/>
    <w:rsid w:val="23B2157E"/>
    <w:rsid w:val="3C646C6C"/>
    <w:rsid w:val="40A75053"/>
    <w:rsid w:val="443B5FD6"/>
    <w:rsid w:val="4D4821FF"/>
    <w:rsid w:val="4E52777D"/>
    <w:rsid w:val="4EEC1008"/>
    <w:rsid w:val="53403C8D"/>
    <w:rsid w:val="61712F1D"/>
    <w:rsid w:val="686F3C52"/>
    <w:rsid w:val="6DE27FA2"/>
    <w:rsid w:val="781F10B2"/>
    <w:rsid w:val="79EE26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6">
    <w:name w:val="Default Paragraph Font"/>
    <w:semiHidden/>
    <w:qFormat/>
    <w:uiPriority w:val="0"/>
  </w:style>
  <w:style w:type="table" w:default="1" w:styleId="5">
    <w:name w:val="Normal Table"/>
    <w:semiHidden/>
    <w:qFormat/>
    <w:uiPriority w:val="0"/>
    <w:tblPr>
      <w:tblLayout w:type="fixed"/>
      <w:tblCellMar>
        <w:top w:w="0" w:type="dxa"/>
        <w:left w:w="108" w:type="dxa"/>
        <w:bottom w:w="0" w:type="dxa"/>
        <w:right w:w="108" w:type="dxa"/>
      </w:tblCellMar>
    </w:tbl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character" w:styleId="7">
    <w:name w:val="Strong"/>
    <w:basedOn w:val="6"/>
    <w:qFormat/>
    <w:uiPriority w:val="0"/>
    <w:rPr>
      <w:b/>
      <w:bCs/>
    </w:rPr>
  </w:style>
  <w:style w:type="paragraph" w:styleId="8">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21</Pages>
  <Words>8534</Words>
  <Characters>9273</Characters>
  <Lines>0</Lines>
  <Paragraphs>0</Paragraphs>
  <TotalTime>15</TotalTime>
  <ScaleCrop>false</ScaleCrop>
  <LinksUpToDate>false</LinksUpToDate>
  <CharactersWithSpaces>9300</CharactersWithSpaces>
  <Application>WPS Office_11.1.0.9021_F1E327BC-269C-435d-A152-05C5408002CA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2025-08-13T02:33:00Z</dcterms:created>
  <dc:creator>Administrator</dc:creator>
  <cp:lastModifiedBy>Administrator</cp:lastModifiedBy>
  <dcterms:modified xsi:type="dcterms:W3CDTF">2025-08-20T10:53:43Z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2052-11.1.0.9021</vt:lpwstr>
  </property>
  <property fmtid="{D5CDD505-2E9C-101B-9397-08002B2CF9AE}" pid="3" name="ICV">
    <vt:lpwstr>5CFFEA18B9C94E36ADCA231ABB344897</vt:lpwstr>
  </property>
</Properties>
</file>