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default" w:ascii="Times New Roman" w:hAnsi="Times New Roman" w:eastAsia="宋体" w:cs="Times New Roman"/>
          <w:sz w:val="31"/>
          <w:szCs w:val="31"/>
        </w:rPr>
      </w:pPr>
    </w:p>
    <w:p>
      <w:pPr>
        <w:widowControl/>
        <w:spacing w:before="0" w:beforeLines="0" w:beforeAutospacing="0" w:after="0" w:afterLines="0" w:afterAutospacing="0" w:line="240" w:lineRule="auto"/>
        <w:jc w:val="left"/>
        <w:rPr>
          <w:rFonts w:hint="default" w:ascii="Times New Roman" w:hAnsi="Times New Roman" w:eastAsia="宋体" w:cs="Times New Roman"/>
          <w:sz w:val="31"/>
          <w:szCs w:val="31"/>
        </w:rPr>
      </w:pPr>
    </w:p>
    <w:p>
      <w:pPr>
        <w:widowControl/>
        <w:spacing w:before="0" w:beforeLines="0" w:beforeAutospacing="0" w:after="0" w:afterLines="0" w:afterAutospacing="0" w:line="240" w:lineRule="auto"/>
        <w:jc w:val="left"/>
        <w:rPr>
          <w:rFonts w:hint="default" w:ascii="Times New Roman" w:hAnsi="Times New Roman" w:eastAsia="宋体" w:cs="Times New Roman"/>
          <w:sz w:val="31"/>
          <w:szCs w:val="31"/>
        </w:rPr>
      </w:pPr>
    </w:p>
    <w:p>
      <w:pPr>
        <w:widowControl/>
        <w:spacing w:before="0" w:beforeLines="0" w:beforeAutospacing="0" w:after="0" w:afterLines="0" w:afterAutospacing="0" w:line="240" w:lineRule="auto"/>
        <w:jc w:val="left"/>
        <w:rPr>
          <w:rFonts w:hint="default" w:ascii="Times New Roman" w:hAnsi="Times New Roman" w:eastAsia="宋体" w:cs="Times New Roman"/>
          <w:sz w:val="31"/>
          <w:szCs w:val="31"/>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sz w:val="40"/>
          <w:szCs w:val="40"/>
          <w:highlight w:val="none"/>
        </w:rPr>
      </w:pPr>
      <w:r>
        <w:rPr>
          <w:rFonts w:hint="default" w:ascii="Times New Roman" w:hAnsi="Times New Roman" w:eastAsia="方正小标宋_GBK" w:cs="Times New Roman"/>
          <w:color w:val="auto"/>
          <w:sz w:val="40"/>
          <w:szCs w:val="40"/>
          <w:highlight w:val="none"/>
        </w:rPr>
        <w:t>202</w:t>
      </w:r>
      <w:r>
        <w:rPr>
          <w:rFonts w:hint="default" w:ascii="Times New Roman" w:hAnsi="Times New Roman" w:eastAsia="方正小标宋_GBK" w:cs="Times New Roman"/>
          <w:color w:val="auto"/>
          <w:sz w:val="40"/>
          <w:szCs w:val="40"/>
          <w:highlight w:val="none"/>
          <w:lang w:val="en-US" w:eastAsia="zh-CN"/>
        </w:rPr>
        <w:t>4</w:t>
      </w:r>
      <w:r>
        <w:rPr>
          <w:rFonts w:hint="default" w:ascii="Times New Roman" w:hAnsi="Times New Roman" w:eastAsia="方正小标宋_GBK" w:cs="Times New Roman"/>
          <w:color w:val="auto"/>
          <w:sz w:val="40"/>
          <w:szCs w:val="40"/>
          <w:highlight w:val="none"/>
        </w:rPr>
        <w:t>年度新疆巴州库尔勒市</w:t>
      </w:r>
      <w:r>
        <w:rPr>
          <w:rFonts w:hint="default" w:ascii="Times New Roman" w:hAnsi="Times New Roman" w:eastAsia="方正小标宋_GBK" w:cs="Times New Roman"/>
          <w:color w:val="auto"/>
          <w:sz w:val="40"/>
          <w:szCs w:val="40"/>
          <w:highlight w:val="none"/>
          <w:lang w:eastAsia="zh-CN"/>
        </w:rPr>
        <w:t>团结街道办事处</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00"/>
        <w:jc w:val="center"/>
        <w:textAlignment w:val="auto"/>
        <w:rPr>
          <w:rFonts w:hint="default" w:ascii="Times New Roman" w:hAnsi="Times New Roman" w:eastAsia="方正小标宋_GBK" w:cs="Times New Roman"/>
          <w:color w:val="auto"/>
          <w:sz w:val="40"/>
          <w:szCs w:val="40"/>
          <w:highlight w:val="none"/>
        </w:rPr>
      </w:pPr>
      <w:r>
        <w:rPr>
          <w:rFonts w:hint="default" w:ascii="Times New Roman" w:hAnsi="Times New Roman" w:eastAsia="方正小标宋_GBK" w:cs="Times New Roman"/>
          <w:color w:val="auto"/>
          <w:sz w:val="40"/>
          <w:szCs w:val="40"/>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bCs w:val="0"/>
          <w:color w:val="auto"/>
          <w:kern w:val="0"/>
          <w:sz w:val="40"/>
          <w:szCs w:val="40"/>
          <w:highlight w:val="none"/>
        </w:rPr>
        <w:sectPr>
          <w:pgSz w:w="11906" w:h="16838"/>
          <w:pgMar w:top="1928" w:right="1474" w:bottom="1474" w:left="1474" w:header="851" w:footer="992" w:gutter="0"/>
          <w:pgNumType w:fmt="decimal" w:start="1"/>
          <w:cols w:space="720" w:num="1"/>
          <w:rtlGutter w:val="0"/>
          <w:docGrid w:type="lines" w:linePitch="312" w:charSpace="0"/>
        </w:sectPr>
      </w:pPr>
    </w:p>
    <w:p>
      <w:pPr>
        <w:widowControl/>
        <w:spacing w:before="0" w:beforeLines="0" w:beforeAutospacing="0" w:after="0" w:afterLines="0" w:afterAutospacing="0" w:line="240" w:lineRule="auto"/>
        <w:jc w:val="center"/>
        <w:rPr>
          <w:rFonts w:hint="default" w:ascii="Times New Roman" w:hAnsi="Times New Roman" w:eastAsia="黑体" w:cs="Times New Roman"/>
          <w:sz w:val="31"/>
          <w:szCs w:val="31"/>
        </w:rPr>
      </w:pPr>
      <w:r>
        <w:rPr>
          <w:rFonts w:hint="default" w:ascii="Times New Roman" w:hAnsi="Times New Roman" w:eastAsia="黑体" w:cs="Times New Roman"/>
          <w:b/>
          <w:sz w:val="31"/>
          <w:szCs w:val="31"/>
        </w:rPr>
        <w:t>目录</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第一部分单位概况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一、主要职能</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二、机构设置及人员情况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第二部分部门决算情况说明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一、收入支出决算总体情况说明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二、收入决算情况说明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三、支出决算情况说明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四、财政拨款收入支出决算总体情况说明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五、一般公共预算财政拨款支出决算情况说明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（一）一般公共预算财政拨款支出决算总体情况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（二）一般公共预算财政拨款支出决算结构情况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（三）一般公共预算财政拨款支出决算具体情况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六、一般公共预算财政拨款基本支出决算情况说明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七、政府性基金预算财政拨款收入支出决算情况说明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八、国有资本经营预算财政拨款收入支出决算情况说明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九、财政拨款“三公”经费支出决算情况说明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十、其他重要事项的情况说明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（一）机关运行经费及公用经费支出情况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（二）政府采购情况</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（三）国有资产占用情况说明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十一、预算绩效的情况说明</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十二、其他需说明的事项</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第三部分专业名词解释</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第四部分部门决算报表（见附表）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一、《收入支出决算总表》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二、《收入决算表》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三、《支出决算表》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四、《财政拨款收入支出决算总表》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五、《一般公共预算财政拨款支出决算表》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六、《一般公共预算财政拨款基本支出决算表》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七、《政府性基金预算财政拨款收入支出决算表》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八、《国有资本经营预算财政拨款收入支出决算表》</w:t>
      </w:r>
    </w:p>
    <w:p>
      <w:pPr>
        <w:widowControl/>
        <w:spacing w:before="0" w:beforeLines="0" w:beforeAutospacing="0" w:after="0" w:afterLines="0" w:afterAutospacing="0" w:line="240" w:lineRule="auto"/>
        <w:jc w:val="left"/>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九、《财政拨款“三公”经费支出决算表》</w:t>
      </w:r>
    </w:p>
    <w:p>
      <w:pPr>
        <w:widowControl/>
        <w:rPr>
          <w:rFonts w:hint="default" w:ascii="Times New Roman" w:hAnsi="Times New Roman" w:cs="Times New Roman"/>
          <w:sz w:val="31"/>
          <w:szCs w:val="31"/>
        </w:rPr>
      </w:pPr>
      <w:r>
        <w:rPr>
          <w:rFonts w:hint="default" w:ascii="Times New Roman" w:hAnsi="Times New Roman" w:cs="Times New Roman"/>
          <w:b w:val="0"/>
          <w:sz w:val="31"/>
          <w:szCs w:val="31"/>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第一部分单位概况</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b w:val="0"/>
          <w:sz w:val="31"/>
          <w:szCs w:val="31"/>
        </w:rPr>
      </w:pPr>
      <w:r>
        <w:rPr>
          <w:rFonts w:hint="default" w:ascii="Times New Roman" w:hAnsi="Times New Roman" w:eastAsia="黑体" w:cs="Times New Roman"/>
          <w:b w:val="0"/>
          <w:sz w:val="31"/>
          <w:szCs w:val="31"/>
        </w:rPr>
        <w:t>主要职能</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 xml:space="preserve">1、贯彻执行党和国家的各项方针、政策、法规和上级人民政府关于街道工作方面的决定，制定具体的管理办法并组织实施。  </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 xml:space="preserve">2、负责辖区内的社会管理综合治理，人民调解、法律服务工作，依照有关规定管理外来流动人员。 </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 xml:space="preserve">3、开展社区服务、拥军优属工作，负责社区优抚、社会救济、社会福利工作，做好社区文化、科普、体育、教育工作。 </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 xml:space="preserve">4、按照职责范围做好计划生育、爱国卫生、绿化、环境保护、劳动就业、安全生产等管理工作。    </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5、配合有关部门做好防汛、防风、防火、防震、抢险和防灾救灾工作。</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6、会同有关部门做好本辖区综合治理等工作；</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7、负责辖区内市容市貌和环境卫生的日常管理工作，发动辖区单位和群众保护环境，开展爱国卫生运动；</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8、指导和帮助居民委员会的工作，调解解决行政事务、社会管理和公共服务方面的问题，促进居民委员会的依法建设。</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9、协助武装部门做好国防动员、民兵训练和公民服兵役工作；</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10、维护老年人、妇女、青少年、儿童和残疾人的合法权益。</w:t>
      </w:r>
    </w:p>
    <w:p>
      <w:pPr>
        <w:pStyle w:val="5"/>
        <w:keepNext w:val="0"/>
        <w:keepLines w:val="0"/>
        <w:pageBreakBefore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 xml:space="preserve">11、动员和领导居民及各单位、各部门开展社区建设工作；制定并实施社区建设规划和年度计划； </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b w:val="0"/>
          <w:sz w:val="31"/>
          <w:szCs w:val="31"/>
          <w:lang w:val="en-US" w:eastAsia="zh-CN"/>
        </w:rPr>
      </w:pPr>
      <w:r>
        <w:rPr>
          <w:rFonts w:hint="default" w:ascii="Times New Roman" w:hAnsi="Times New Roman" w:eastAsia="仿宋_GB2312" w:cs="Times New Roman"/>
          <w:b w:val="0"/>
          <w:sz w:val="31"/>
          <w:szCs w:val="31"/>
        </w:rPr>
        <w:t>12、承办市党委、市政府交办的其他事项。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库尔勒市团结街道办事处2024年度，实有人数74人，其中：在职人员53人，减少1人；离休人员0人，较上年无变化；退休人员21人，增加1人。</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eastAsia="仿宋_GB2312" w:cs="Times New Roman"/>
          <w:b w:val="0"/>
          <w:sz w:val="31"/>
          <w:szCs w:val="31"/>
          <w:lang w:val="en-US" w:eastAsia="zh-CN"/>
        </w:rPr>
        <w:sectPr>
          <w:footerReference r:id="rId3" w:type="default"/>
          <w:pgSz w:w="11906" w:h="16838"/>
          <w:pgMar w:top="1440" w:right="1803" w:bottom="1440" w:left="1803" w:header="851" w:footer="992" w:gutter="0"/>
          <w:pgNumType w:fmt="decimal" w:start="1"/>
          <w:cols w:space="0" w:num="1"/>
          <w:rtlGutter w:val="0"/>
          <w:docGrid w:type="lines" w:linePitch="312" w:charSpace="0"/>
        </w:sectPr>
      </w:pPr>
      <w:r>
        <w:rPr>
          <w:rFonts w:hint="default" w:ascii="Times New Roman" w:hAnsi="Times New Roman" w:eastAsia="仿宋_GB2312" w:cs="Times New Roman"/>
          <w:b w:val="0"/>
          <w:sz w:val="31"/>
          <w:szCs w:val="31"/>
        </w:rPr>
        <w:t>库尔勒市团结街道办事处无下属预算单位，</w:t>
      </w:r>
      <w:r>
        <w:rPr>
          <w:rFonts w:hint="default" w:ascii="Times New Roman" w:hAnsi="Times New Roman" w:eastAsia="仿宋_GB2312" w:cs="Times New Roman"/>
          <w:b w:val="0"/>
          <w:sz w:val="31"/>
          <w:szCs w:val="31"/>
          <w:lang w:val="en-US" w:eastAsia="zh-CN"/>
        </w:rPr>
        <w:t>下设7个处室，分别是：党建工作办公室、综合协调办公室、综合执法办公室、党群服务中心、综治和网格化服务中心、社会事务服务中心（退役军人服务站）、经济发展中心。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方正黑体_GBK" w:cs="Times New Roman"/>
          <w:b w:val="0"/>
          <w:sz w:val="31"/>
          <w:szCs w:val="31"/>
        </w:rPr>
      </w:pPr>
      <w:r>
        <w:rPr>
          <w:rFonts w:hint="default" w:ascii="Times New Roman" w:hAnsi="Times New Roman" w:eastAsia="方正黑体_GBK" w:cs="Times New Roman"/>
          <w:b w:val="0"/>
          <w:sz w:val="31"/>
          <w:szCs w:val="31"/>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0"/>
        <w:rPr>
          <w:rFonts w:hint="default" w:ascii="Times New Roman" w:hAnsi="Times New Roman" w:eastAsia="方正黑体_GBK" w:cs="Times New Roman"/>
          <w:b w:val="0"/>
          <w:sz w:val="31"/>
          <w:szCs w:val="31"/>
        </w:rPr>
      </w:pPr>
      <w:r>
        <w:rPr>
          <w:rFonts w:hint="default" w:ascii="Times New Roman" w:hAnsi="Times New Roman" w:eastAsia="方正黑体_GBK" w:cs="Times New Roman"/>
          <w:b w:val="0"/>
          <w:sz w:val="31"/>
          <w:szCs w:val="31"/>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2024年度收入总计2,212.12万元，其中：本年收入合计2,212.12万元，使用非财政拨款结余（含专用结余）0.00万元，年初结转和结余0.00万元。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2024年度支出总计2,212.12万元，其中：本年支出合计2,212.12万元，结余分配0.00万元，年末结转和结余0.00万元。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收入支出总体与上年相比，增加173.00万元，增长8.48%，主要原因是</w:t>
      </w:r>
      <w:r>
        <w:rPr>
          <w:rFonts w:hint="default" w:ascii="Times New Roman" w:hAnsi="Times New Roman" w:eastAsia="仿宋_GB2312" w:cs="Times New Roman"/>
          <w:b w:val="0"/>
          <w:sz w:val="31"/>
          <w:szCs w:val="31"/>
          <w:lang w:eastAsia="zh-CN"/>
        </w:rPr>
        <w:t>：一是人员工资增长；二是</w:t>
      </w:r>
      <w:r>
        <w:rPr>
          <w:rFonts w:hint="default" w:ascii="Times New Roman" w:hAnsi="Times New Roman" w:eastAsia="仿宋_GB2312" w:cs="Times New Roman"/>
          <w:b w:val="0"/>
          <w:sz w:val="31"/>
          <w:szCs w:val="31"/>
        </w:rPr>
        <w:t>本年保障了社区党建经费和网格经费的拨付。</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本年收入2,212.12万元，其中：财政拨款收入2,212.12万元,占100.00%；上级补助收入0.00万元,占0.00%；事业收入0.00万元，占0.00%；经营收入0.00万元,占0.00%；附属单位上缴收入0.00万元，占0.00%；其他收入0.00万元，占0.00%。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本年支出2,212.12万元，其中：基本支出2,111.20万元，占95.44%；项目支出100.92万元，占4.56%；上缴上级支出0.00万元，占0.00%；经营支出0.00万元，占0.00%；对附属单位补助支出0.00万元，占0.00%。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财政拨款收入总计2,212.12万元，其中：年初财政拨款结转和结余0.00万元，本年财政拨款收入2,212.12万元。财政拨款支出总计2,212.12万元，其中：年末财政拨款结转和结余0.00万元，本年财政拨款支出2,212.12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财政拨款收入支出总体与上年相比，增加173.00万元，增长8.48%，主要原因是：</w:t>
      </w:r>
      <w:r>
        <w:rPr>
          <w:rFonts w:hint="default" w:ascii="Times New Roman" w:hAnsi="Times New Roman" w:eastAsia="仿宋_GB2312" w:cs="Times New Roman"/>
          <w:b w:val="0"/>
          <w:sz w:val="31"/>
          <w:szCs w:val="31"/>
          <w:lang w:eastAsia="zh-CN"/>
        </w:rPr>
        <w:t>一是人员工资增长；二是</w:t>
      </w:r>
      <w:r>
        <w:rPr>
          <w:rFonts w:hint="default" w:ascii="Times New Roman" w:hAnsi="Times New Roman" w:eastAsia="仿宋_GB2312" w:cs="Times New Roman"/>
          <w:b w:val="0"/>
          <w:sz w:val="31"/>
          <w:szCs w:val="31"/>
        </w:rPr>
        <w:t>本年保障了社区党建经费和网格经费的拨付。与年初预算相比，年初预算数2,611.51万元，决算数2,212.12万元，预决算差异率-15.29%，主要原因是：长期聘用人员2024年辞职15人，遗属人员2024年减少2人。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2024年度一般公共预算财政拨款支出2,131.20万元，占本年支出合计的96.34%。与上年相比，增加121.57万元，增长6.05%，主要原因是：</w:t>
      </w:r>
      <w:r>
        <w:rPr>
          <w:rFonts w:hint="eastAsia" w:ascii="Times New Roman" w:hAnsi="Times New Roman" w:eastAsia="仿宋_GB2312" w:cs="Times New Roman"/>
          <w:b w:val="0"/>
          <w:sz w:val="31"/>
          <w:szCs w:val="31"/>
          <w:lang w:eastAsia="zh-CN"/>
        </w:rPr>
        <w:t>一是人员工资增长；二是</w:t>
      </w:r>
      <w:r>
        <w:rPr>
          <w:rFonts w:hint="eastAsia" w:ascii="Times New Roman" w:hAnsi="Times New Roman" w:eastAsia="仿宋_GB2312" w:cs="Times New Roman"/>
          <w:b w:val="0"/>
          <w:sz w:val="31"/>
          <w:szCs w:val="31"/>
        </w:rPr>
        <w:t>本年保障了社区党建经费和网格经费的拨付</w:t>
      </w:r>
      <w:r>
        <w:rPr>
          <w:rFonts w:hint="default" w:ascii="Times New Roman" w:hAnsi="Times New Roman" w:eastAsia="仿宋_GB2312" w:cs="Times New Roman"/>
          <w:b w:val="0"/>
          <w:sz w:val="31"/>
          <w:szCs w:val="31"/>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与年初预算相比，年初预算数2,553.13万元，决算数2,131.20万元，预决算差异率-16.53%，主要原因是：长期聘用人员2024年辞职15人，遗属人员2024年减少2人。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一般公共服务支出（类）1,881.74万元，占88.29%。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教育支出（类）1.72万元，占0.08%。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文化旅游体育与传媒支出（类）4.70万元，占0.22%。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社会保障和就业支出（类）125.79万元，占5.90%。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卫生健康支出（类）45.83万元，占2.15%。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住房保障支出（类）67.65万元，占3.17%。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其他支出（类）3.76万元，占0.18%。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一般公共服务支出（类）人大事务（款）代表工作（项）：支出决算数为0.77万元，比上年决算增加0.77万元，增长100.00%，主要原因是：</w:t>
      </w:r>
      <w:r>
        <w:rPr>
          <w:rFonts w:hint="default" w:ascii="Times New Roman" w:hAnsi="Times New Roman" w:eastAsia="仿宋_GB2312" w:cs="Times New Roman"/>
          <w:b w:val="0"/>
          <w:sz w:val="31"/>
          <w:szCs w:val="31"/>
          <w:lang w:val="en-US" w:eastAsia="zh-CN"/>
        </w:rPr>
        <w:t>上年度未安排此科目预算</w:t>
      </w:r>
      <w:r>
        <w:rPr>
          <w:rFonts w:hint="default" w:ascii="Times New Roman" w:hAnsi="Times New Roman" w:eastAsia="仿宋_GB2312" w:cs="Times New Roman"/>
          <w:b w:val="0"/>
          <w:sz w:val="31"/>
          <w:szCs w:val="31"/>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eastAsia="仿宋_GB2312" w:cs="Times New Roman"/>
          <w:b w:val="0"/>
          <w:sz w:val="31"/>
          <w:szCs w:val="31"/>
          <w:lang w:val="zh-CN" w:eastAsia="zh-CN"/>
        </w:rPr>
      </w:pPr>
      <w:r>
        <w:rPr>
          <w:rFonts w:hint="default" w:ascii="Times New Roman" w:hAnsi="Times New Roman" w:eastAsia="仿宋_GB2312" w:cs="Times New Roman"/>
          <w:b w:val="0"/>
          <w:sz w:val="31"/>
          <w:szCs w:val="31"/>
        </w:rPr>
        <w:t>一般公共服务支出（类）政府办公厅（室）及相关机构事务（款）行政运行（项）：支出决算数为1,675.67万元，比上年决算增加5.19万元，增长0.31%，主要原因是：</w:t>
      </w:r>
      <w:r>
        <w:rPr>
          <w:rFonts w:hint="default" w:ascii="Times New Roman" w:hAnsi="Times New Roman" w:eastAsia="仿宋_GB2312" w:cs="Times New Roman"/>
          <w:b w:val="0"/>
          <w:sz w:val="31"/>
          <w:szCs w:val="31"/>
          <w:lang w:val="en-US" w:eastAsia="zh-CN"/>
        </w:rPr>
        <w:t>人员工资增长</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一般公共服务支出（类）政府办公厅（室）及相关机构事务（款）其他政府办公厅（室）及相关机构事务支出（项）：支出决算数为155.96万元，比上年决算增加140.96万元，增长939.73%，主要原因是：本年</w:t>
      </w:r>
      <w:r>
        <w:rPr>
          <w:rFonts w:hint="default" w:ascii="Times New Roman" w:hAnsi="Times New Roman" w:eastAsia="仿宋_GB2312" w:cs="Times New Roman"/>
          <w:b w:val="0"/>
          <w:sz w:val="31"/>
          <w:szCs w:val="31"/>
          <w:lang w:val="en-US" w:eastAsia="zh-CN"/>
        </w:rPr>
        <w:t>度</w:t>
      </w:r>
      <w:r>
        <w:rPr>
          <w:rFonts w:hint="default" w:ascii="Times New Roman" w:hAnsi="Times New Roman" w:eastAsia="仿宋_GB2312" w:cs="Times New Roman"/>
          <w:b w:val="0"/>
          <w:sz w:val="31"/>
          <w:szCs w:val="31"/>
        </w:rPr>
        <w:t>保障了社区党建经费和网格经费的拨付。</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一般公共服务支出（类）纪检监察事务（款）其他纪检监察事务支出（项）：支出决算数为2.00万元，比上年决算增加0.50万元，增长33.33%，主要原因是：</w:t>
      </w:r>
      <w:r>
        <w:rPr>
          <w:rFonts w:hint="default" w:ascii="Times New Roman" w:hAnsi="Times New Roman" w:eastAsia="仿宋_GB2312" w:cs="Times New Roman"/>
          <w:b w:val="0"/>
          <w:sz w:val="31"/>
          <w:szCs w:val="31"/>
          <w:lang w:val="en-US" w:eastAsia="zh-CN"/>
        </w:rPr>
        <w:t>为保障</w:t>
      </w:r>
      <w:r>
        <w:rPr>
          <w:rFonts w:hint="default" w:ascii="Times New Roman" w:hAnsi="Times New Roman" w:eastAsia="仿宋_GB2312" w:cs="Times New Roman"/>
          <w:b w:val="0"/>
          <w:sz w:val="31"/>
          <w:szCs w:val="31"/>
          <w:lang w:val="zh-CN" w:eastAsia="zh-CN"/>
        </w:rPr>
        <w:t>纪检各项工作顺利开展，本年度上级纪检专项经费下拨数增加，购买了纪检办案设备和办公用品等。</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val="en-US" w:eastAsia="zh-CN"/>
        </w:rPr>
      </w:pPr>
      <w:r>
        <w:rPr>
          <w:rFonts w:hint="default" w:ascii="Times New Roman" w:hAnsi="Times New Roman" w:eastAsia="仿宋_GB2312" w:cs="Times New Roman"/>
          <w:b w:val="0"/>
          <w:sz w:val="31"/>
          <w:szCs w:val="31"/>
        </w:rPr>
        <w:t>一般公共服务支出（类）组织事务（款）其他组织事务支出（项）：支出决算数为40.46万元，比上年决算增加17.21万元，增长74.02%，主要原因是：</w:t>
      </w:r>
      <w:r>
        <w:rPr>
          <w:rFonts w:hint="eastAsia" w:ascii="Times New Roman" w:hAnsi="Times New Roman" w:eastAsia="仿宋_GB2312" w:cs="Times New Roman"/>
          <w:b w:val="0"/>
          <w:sz w:val="31"/>
          <w:szCs w:val="31"/>
          <w:lang w:val="en-US" w:eastAsia="zh-CN"/>
        </w:rPr>
        <w:t>本年度新增了</w:t>
      </w:r>
      <w:r>
        <w:rPr>
          <w:rFonts w:hint="default" w:ascii="Times New Roman" w:hAnsi="Times New Roman" w:eastAsia="仿宋_GB2312" w:cs="Times New Roman"/>
          <w:b w:val="0"/>
          <w:sz w:val="31"/>
          <w:szCs w:val="31"/>
        </w:rPr>
        <w:t>2024年自治区基层组织建设资金</w:t>
      </w:r>
      <w:r>
        <w:rPr>
          <w:rFonts w:hint="eastAsia" w:ascii="Times New Roman" w:hAnsi="Times New Roman" w:eastAsia="仿宋_GB2312" w:cs="Times New Roman"/>
          <w:b w:val="0"/>
          <w:sz w:val="31"/>
          <w:szCs w:val="31"/>
          <w:lang w:val="en-US" w:eastAsia="zh-CN"/>
        </w:rPr>
        <w:t>20万元。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eastAsia="zh-CN"/>
        </w:rPr>
      </w:pPr>
      <w:r>
        <w:rPr>
          <w:rFonts w:hint="default" w:ascii="Times New Roman" w:hAnsi="Times New Roman" w:eastAsia="仿宋_GB2312" w:cs="Times New Roman"/>
          <w:b w:val="0"/>
          <w:sz w:val="31"/>
          <w:szCs w:val="31"/>
        </w:rPr>
        <w:t>一般公共服务支出（类）统战事务（款）宗教事务（项）：支出决算数为0.91万元，比上年决算减少0.09万元，下降9.00%，主要原因是</w:t>
      </w:r>
      <w:r>
        <w:rPr>
          <w:rFonts w:hint="default" w:ascii="Times New Roman" w:hAnsi="Times New Roman" w:eastAsia="仿宋_GB2312" w:cs="Times New Roman"/>
          <w:b w:val="0"/>
          <w:sz w:val="31"/>
          <w:szCs w:val="31"/>
          <w:lang w:eastAsia="zh-CN"/>
        </w:rPr>
        <w:t>：</w:t>
      </w:r>
      <w:r>
        <w:rPr>
          <w:rFonts w:hint="eastAsia" w:ascii="Times New Roman" w:hAnsi="Times New Roman" w:eastAsia="仿宋_GB2312" w:cs="Times New Roman"/>
          <w:b w:val="0"/>
          <w:sz w:val="31"/>
          <w:szCs w:val="31"/>
          <w:lang w:val="en-US" w:eastAsia="zh-CN"/>
        </w:rPr>
        <w:t>根据中央八项规定，厉行节约，严格控制</w:t>
      </w:r>
      <w:r>
        <w:rPr>
          <w:rFonts w:hint="default" w:ascii="Times New Roman" w:hAnsi="Times New Roman" w:eastAsia="仿宋_GB2312" w:cs="Times New Roman"/>
          <w:b w:val="0"/>
          <w:sz w:val="31"/>
          <w:szCs w:val="31"/>
          <w:lang w:eastAsia="zh-CN"/>
        </w:rPr>
        <w:t>经费支出。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val="en-US" w:eastAsia="zh-CN"/>
        </w:rPr>
      </w:pPr>
      <w:r>
        <w:rPr>
          <w:rFonts w:hint="default" w:ascii="Times New Roman" w:hAnsi="Times New Roman" w:eastAsia="仿宋_GB2312" w:cs="Times New Roman"/>
          <w:b w:val="0"/>
          <w:sz w:val="31"/>
          <w:szCs w:val="31"/>
        </w:rPr>
        <w:t>一般公共服务支出（类）统战事务（款）其他统战事务支出（项）：支出决算数为5.97万元，比上年决算减少2.40万元，下降28.67%，主要原因是：</w:t>
      </w:r>
      <w:r>
        <w:rPr>
          <w:rFonts w:hint="default" w:ascii="Times New Roman" w:hAnsi="Times New Roman" w:eastAsia="仿宋_GB2312" w:cs="Times New Roman"/>
          <w:b w:val="0"/>
          <w:sz w:val="31"/>
          <w:szCs w:val="31"/>
          <w:lang w:eastAsia="zh-CN"/>
        </w:rPr>
        <w:t>本年度管委会人员补助标准下调，所以</w:t>
      </w:r>
      <w:r>
        <w:rPr>
          <w:rFonts w:hint="default" w:ascii="Times New Roman" w:hAnsi="Times New Roman" w:eastAsia="仿宋_GB2312" w:cs="Times New Roman"/>
          <w:b w:val="0"/>
          <w:sz w:val="31"/>
          <w:szCs w:val="31"/>
        </w:rPr>
        <w:t>比上年决算</w:t>
      </w:r>
      <w:r>
        <w:rPr>
          <w:rFonts w:hint="default" w:ascii="Times New Roman" w:hAnsi="Times New Roman" w:eastAsia="仿宋_GB2312" w:cs="Times New Roman"/>
          <w:b w:val="0"/>
          <w:sz w:val="31"/>
          <w:szCs w:val="31"/>
          <w:lang w:eastAsia="zh-CN"/>
        </w:rPr>
        <w:t>支出</w:t>
      </w:r>
      <w:r>
        <w:rPr>
          <w:rFonts w:hint="default" w:ascii="Times New Roman" w:hAnsi="Times New Roman" w:eastAsia="仿宋_GB2312" w:cs="Times New Roman"/>
          <w:b w:val="0"/>
          <w:sz w:val="31"/>
          <w:szCs w:val="31"/>
        </w:rPr>
        <w:t>减少</w:t>
      </w:r>
      <w:r>
        <w:rPr>
          <w:rFonts w:hint="default" w:ascii="Times New Roman" w:hAnsi="Times New Roman" w:eastAsia="仿宋_GB2312" w:cs="Times New Roman"/>
          <w:b w:val="0"/>
          <w:sz w:val="31"/>
          <w:szCs w:val="3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教育支出（类）进修及培训（款）培训支出（项）：支出决算数为1.72万元，比上年决算减少1.52万元，下降46.91%，主要原因是：</w:t>
      </w:r>
      <w:r>
        <w:rPr>
          <w:rFonts w:hint="default" w:ascii="Times New Roman" w:hAnsi="Times New Roman" w:eastAsia="仿宋_GB2312" w:cs="Times New Roman"/>
          <w:b w:val="0"/>
          <w:sz w:val="31"/>
          <w:szCs w:val="31"/>
          <w:lang w:eastAsia="zh-CN"/>
        </w:rPr>
        <w:t>上年度</w:t>
      </w:r>
      <w:r>
        <w:rPr>
          <w:rFonts w:hint="default" w:ascii="Times New Roman" w:hAnsi="Times New Roman" w:eastAsia="仿宋_GB2312" w:cs="Times New Roman"/>
          <w:b w:val="0"/>
          <w:sz w:val="31"/>
          <w:szCs w:val="31"/>
          <w:lang w:val="zh-CN" w:eastAsia="zh-CN"/>
        </w:rPr>
        <w:t>为提高基层干部工作能力，市委组织基层书记、干部到内地进行考察学习，所以培训费用较本年增加。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val="zh-CN" w:eastAsia="zh-CN"/>
        </w:rPr>
      </w:pPr>
      <w:r>
        <w:rPr>
          <w:rFonts w:hint="default" w:ascii="Times New Roman" w:hAnsi="Times New Roman" w:eastAsia="仿宋_GB2312" w:cs="Times New Roman"/>
          <w:b w:val="0"/>
          <w:sz w:val="31"/>
          <w:szCs w:val="31"/>
        </w:rPr>
        <w:t>文化旅游体育与传媒支出（类）文化和旅游（款）其他文化和旅游支出（项）：支出决算数为4.70万元，比上年决算增加0.41万元，增长9.56%，主要原因是：</w:t>
      </w:r>
      <w:r>
        <w:rPr>
          <w:rFonts w:hint="default" w:ascii="Times New Roman" w:hAnsi="Times New Roman" w:eastAsia="仿宋_GB2312" w:cs="Times New Roman"/>
          <w:b w:val="0"/>
          <w:sz w:val="31"/>
          <w:szCs w:val="31"/>
          <w:lang w:val="en-US" w:eastAsia="zh-CN"/>
        </w:rPr>
        <w:t>因预算科目调整，本年度此科目包含</w:t>
      </w:r>
      <w:r>
        <w:rPr>
          <w:rFonts w:hint="default" w:ascii="Times New Roman" w:hAnsi="Times New Roman" w:eastAsia="仿宋_GB2312" w:cs="Times New Roman"/>
          <w:b w:val="0"/>
          <w:sz w:val="31"/>
          <w:szCs w:val="31"/>
        </w:rPr>
        <w:t>文化旅游体育与传媒支出（类）其他文化旅游体育与传媒支出（款）其他文化旅游体育与传媒支出（项）</w:t>
      </w:r>
      <w:r>
        <w:rPr>
          <w:rFonts w:hint="default" w:ascii="Times New Roman" w:hAnsi="Times New Roman" w:eastAsia="仿宋_GB2312" w:cs="Times New Roman"/>
          <w:b w:val="0"/>
          <w:sz w:val="31"/>
          <w:szCs w:val="31"/>
          <w:lang w:val="en-US" w:eastAsia="zh-CN"/>
        </w:rPr>
        <w:t>科目预算。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eastAsia="zh-CN"/>
        </w:rPr>
      </w:pPr>
      <w:r>
        <w:rPr>
          <w:rFonts w:hint="default" w:ascii="Times New Roman" w:hAnsi="Times New Roman" w:eastAsia="仿宋_GB2312" w:cs="Times New Roman"/>
          <w:b w:val="0"/>
          <w:sz w:val="31"/>
          <w:szCs w:val="31"/>
        </w:rPr>
        <w:t>文化旅游体育与传媒支出（类）其他文化旅游体育与传媒支出（款）其他文化旅游体育与传媒支出（项）：支出决算数为0.00万元，比上年决算减少0.70万元，下降100.00%，主要原因是</w:t>
      </w:r>
      <w:r>
        <w:rPr>
          <w:rFonts w:hint="default" w:ascii="Times New Roman" w:hAnsi="Times New Roman" w:eastAsia="仿宋_GB2312" w:cs="Times New Roman"/>
          <w:b w:val="0"/>
          <w:sz w:val="31"/>
          <w:szCs w:val="31"/>
          <w:lang w:eastAsia="zh-CN"/>
        </w:rPr>
        <w:t>：</w:t>
      </w:r>
      <w:r>
        <w:rPr>
          <w:rFonts w:hint="default" w:ascii="Times New Roman" w:hAnsi="Times New Roman" w:eastAsia="仿宋_GB2312" w:cs="Times New Roman"/>
          <w:b w:val="0"/>
          <w:sz w:val="31"/>
          <w:szCs w:val="31"/>
          <w:lang w:val="en-US" w:eastAsia="zh-CN"/>
        </w:rPr>
        <w:t>因预算科目调整，本年度此科目纳入</w:t>
      </w:r>
      <w:r>
        <w:rPr>
          <w:rFonts w:hint="default" w:ascii="Times New Roman" w:hAnsi="Times New Roman" w:eastAsia="仿宋_GB2312" w:cs="Times New Roman"/>
          <w:b w:val="0"/>
          <w:sz w:val="31"/>
          <w:szCs w:val="31"/>
        </w:rPr>
        <w:t>文化旅游体育与传媒支出（类）文化和旅游（款）其他文化和旅游支出（项）</w:t>
      </w:r>
      <w:r>
        <w:rPr>
          <w:rFonts w:hint="default" w:ascii="Times New Roman" w:hAnsi="Times New Roman" w:eastAsia="仿宋_GB2312" w:cs="Times New Roman"/>
          <w:b w:val="0"/>
          <w:sz w:val="31"/>
          <w:szCs w:val="31"/>
          <w:lang w:eastAsia="zh-CN"/>
        </w:rPr>
        <w:t>科目预算。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社会保障和就业支出（类）行政事业单位养老支出（款）行政单位离退休（项）：支出决算数为16.34万元，比上年决算增加2.13万元，增长14.99%，主要原因是：</w:t>
      </w:r>
      <w:r>
        <w:rPr>
          <w:rFonts w:hint="default" w:ascii="Times New Roman" w:hAnsi="Times New Roman" w:eastAsia="仿宋_GB2312" w:cs="Times New Roman"/>
          <w:b w:val="0"/>
          <w:sz w:val="31"/>
          <w:szCs w:val="31"/>
          <w:lang w:val="en-US" w:eastAsia="zh-CN"/>
        </w:rPr>
        <w:t>一是本年度增加一名退休人员；二是本年度退休人员绩效奖较上年增加</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社会保障和就业支出（类）行政事业单位养老支出（款）机关事业单位基本养老保险缴费支出（项）：支出决算数为90.64万元，比上年决算增加15.41万元，增长20.48%，主要原因是：</w:t>
      </w:r>
      <w:r>
        <w:rPr>
          <w:rFonts w:hint="default" w:ascii="Times New Roman" w:hAnsi="Times New Roman" w:eastAsia="仿宋_GB2312" w:cs="Times New Roman"/>
          <w:b w:val="0"/>
          <w:sz w:val="31"/>
          <w:szCs w:val="31"/>
          <w:lang w:val="en-US" w:eastAsia="zh-CN"/>
        </w:rPr>
        <w:t>社保缴费基数提高</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val="zh-CN" w:eastAsia="zh-CN"/>
        </w:rPr>
      </w:pPr>
      <w:r>
        <w:rPr>
          <w:rFonts w:hint="default" w:ascii="Times New Roman" w:hAnsi="Times New Roman" w:eastAsia="仿宋_GB2312" w:cs="Times New Roman"/>
          <w:b w:val="0"/>
          <w:sz w:val="31"/>
          <w:szCs w:val="31"/>
        </w:rPr>
        <w:t>社会保障和就业支出（类）行政事业单位养老支出（款）机关事业单位职业年金缴费支出（项）：支出决算数为13.95万元，比上年决算增加7.01万元，增长101.01%，主要原因是：</w:t>
      </w:r>
      <w:r>
        <w:rPr>
          <w:rFonts w:hint="default" w:ascii="Times New Roman" w:hAnsi="Times New Roman" w:eastAsia="仿宋_GB2312" w:cs="Times New Roman"/>
          <w:b w:val="0"/>
          <w:sz w:val="31"/>
          <w:szCs w:val="31"/>
          <w:lang w:val="zh-CN" w:eastAsia="zh-CN"/>
        </w:rPr>
        <w:t>本年度增加一名退休人员。</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val="en-US" w:eastAsia="zh-CN"/>
        </w:rPr>
      </w:pPr>
      <w:r>
        <w:rPr>
          <w:rFonts w:hint="default" w:ascii="Times New Roman" w:hAnsi="Times New Roman" w:eastAsia="仿宋_GB2312" w:cs="Times New Roman"/>
          <w:b w:val="0"/>
          <w:sz w:val="31"/>
          <w:szCs w:val="31"/>
        </w:rPr>
        <w:t>社会保障和就业支出（类）企业改革补助（款）其他企业改革发展补助（项）：支出决算数为4.86万元，比上年决算减少2.05万元，下降29.67%，主要原因是：</w:t>
      </w:r>
      <w:r>
        <w:rPr>
          <w:rFonts w:hint="eastAsia" w:ascii="Times New Roman" w:hAnsi="Times New Roman" w:eastAsia="仿宋_GB2312" w:cs="Times New Roman"/>
          <w:b w:val="0"/>
          <w:sz w:val="31"/>
          <w:szCs w:val="31"/>
          <w:lang w:val="en-US" w:eastAsia="zh-CN"/>
        </w:rPr>
        <w:t>此项资金</w:t>
      </w:r>
      <w:r>
        <w:rPr>
          <w:rFonts w:hint="default" w:ascii="Times New Roman" w:hAnsi="Times New Roman" w:eastAsia="仿宋_GB2312" w:cs="Times New Roman"/>
          <w:b w:val="0"/>
          <w:sz w:val="31"/>
          <w:szCs w:val="31"/>
        </w:rPr>
        <w:t>用于</w:t>
      </w:r>
      <w:r>
        <w:rPr>
          <w:rFonts w:hint="eastAsia" w:ascii="Times New Roman" w:hAnsi="Times New Roman" w:eastAsia="仿宋_GB2312" w:cs="Times New Roman"/>
          <w:b w:val="0"/>
          <w:sz w:val="31"/>
          <w:szCs w:val="31"/>
          <w:lang w:val="en-US" w:eastAsia="zh-CN"/>
        </w:rPr>
        <w:t>保障和钢</w:t>
      </w:r>
      <w:r>
        <w:rPr>
          <w:rFonts w:hint="default" w:ascii="Times New Roman" w:hAnsi="Times New Roman" w:eastAsia="仿宋_GB2312" w:cs="Times New Roman"/>
          <w:b w:val="0"/>
          <w:sz w:val="31"/>
          <w:szCs w:val="31"/>
        </w:rPr>
        <w:t>破产企业</w:t>
      </w:r>
      <w:r>
        <w:rPr>
          <w:rFonts w:hint="eastAsia" w:ascii="Times New Roman" w:hAnsi="Times New Roman" w:eastAsia="仿宋_GB2312" w:cs="Times New Roman"/>
          <w:b w:val="0"/>
          <w:sz w:val="31"/>
          <w:szCs w:val="31"/>
          <w:lang w:val="en-US" w:eastAsia="zh-CN"/>
        </w:rPr>
        <w:t>77</w:t>
      </w:r>
      <w:r>
        <w:rPr>
          <w:rFonts w:hint="default" w:ascii="Times New Roman" w:hAnsi="Times New Roman" w:eastAsia="仿宋_GB2312" w:cs="Times New Roman"/>
          <w:b w:val="0"/>
          <w:sz w:val="31"/>
          <w:szCs w:val="31"/>
        </w:rPr>
        <w:t>名退休职工 2024年</w:t>
      </w:r>
      <w:r>
        <w:rPr>
          <w:rFonts w:hint="eastAsia" w:ascii="Times New Roman" w:hAnsi="Times New Roman" w:eastAsia="仿宋_GB2312" w:cs="Times New Roman"/>
          <w:b w:val="0"/>
          <w:sz w:val="31"/>
          <w:szCs w:val="31"/>
          <w:lang w:val="en-US" w:eastAsia="zh-CN"/>
        </w:rPr>
        <w:t>医疗费和</w:t>
      </w:r>
      <w:r>
        <w:rPr>
          <w:rFonts w:hint="default" w:ascii="Times New Roman" w:hAnsi="Times New Roman" w:eastAsia="仿宋_GB2312" w:cs="Times New Roman"/>
          <w:b w:val="0"/>
          <w:sz w:val="31"/>
          <w:szCs w:val="31"/>
        </w:rPr>
        <w:t>冬季取暖补贴。</w:t>
      </w:r>
      <w:r>
        <w:rPr>
          <w:rFonts w:hint="eastAsia" w:ascii="Times New Roman" w:hAnsi="Times New Roman" w:eastAsia="仿宋_GB2312" w:cs="Times New Roman"/>
          <w:b w:val="0"/>
          <w:sz w:val="31"/>
          <w:szCs w:val="31"/>
          <w:lang w:val="en-US" w:eastAsia="zh-CN"/>
        </w:rPr>
        <w:t>因2024年</w:t>
      </w:r>
      <w:r>
        <w:rPr>
          <w:rFonts w:hint="default" w:ascii="Times New Roman" w:hAnsi="Times New Roman" w:eastAsia="仿宋_GB2312" w:cs="Times New Roman"/>
          <w:b w:val="0"/>
          <w:sz w:val="31"/>
          <w:szCs w:val="31"/>
          <w:lang w:val="en-US" w:eastAsia="zh-CN"/>
        </w:rPr>
        <w:t>退休人员医疗</w:t>
      </w:r>
      <w:r>
        <w:rPr>
          <w:rFonts w:hint="eastAsia" w:ascii="Times New Roman" w:hAnsi="Times New Roman" w:eastAsia="仿宋_GB2312" w:cs="Times New Roman"/>
          <w:b w:val="0"/>
          <w:sz w:val="31"/>
          <w:szCs w:val="31"/>
          <w:lang w:val="en-US" w:eastAsia="zh-CN"/>
        </w:rPr>
        <w:t>费缴费</w:t>
      </w:r>
      <w:r>
        <w:rPr>
          <w:rFonts w:hint="default" w:ascii="Times New Roman" w:hAnsi="Times New Roman" w:eastAsia="仿宋_GB2312" w:cs="Times New Roman"/>
          <w:b w:val="0"/>
          <w:sz w:val="31"/>
          <w:szCs w:val="31"/>
          <w:lang w:val="en-US" w:eastAsia="zh-CN"/>
        </w:rPr>
        <w:t>年限</w:t>
      </w:r>
      <w:r>
        <w:rPr>
          <w:rFonts w:hint="eastAsia" w:ascii="Times New Roman" w:hAnsi="Times New Roman" w:eastAsia="仿宋_GB2312" w:cs="Times New Roman"/>
          <w:b w:val="0"/>
          <w:sz w:val="31"/>
          <w:szCs w:val="31"/>
          <w:lang w:val="en-US" w:eastAsia="zh-CN"/>
        </w:rPr>
        <w:t>满的人员</w:t>
      </w:r>
      <w:r>
        <w:rPr>
          <w:rFonts w:hint="default" w:ascii="Times New Roman" w:hAnsi="Times New Roman" w:eastAsia="仿宋_GB2312" w:cs="Times New Roman"/>
          <w:b w:val="0"/>
          <w:sz w:val="31"/>
          <w:szCs w:val="31"/>
          <w:lang w:val="en-US" w:eastAsia="zh-CN"/>
        </w:rPr>
        <w:t>不</w:t>
      </w:r>
      <w:r>
        <w:rPr>
          <w:rFonts w:hint="eastAsia" w:ascii="Times New Roman" w:hAnsi="Times New Roman" w:eastAsia="仿宋_GB2312" w:cs="Times New Roman"/>
          <w:b w:val="0"/>
          <w:sz w:val="31"/>
          <w:szCs w:val="31"/>
          <w:lang w:val="en-US" w:eastAsia="zh-CN"/>
        </w:rPr>
        <w:t>需再缴费</w:t>
      </w:r>
      <w:r>
        <w:rPr>
          <w:rFonts w:hint="default" w:ascii="Times New Roman" w:hAnsi="Times New Roman" w:eastAsia="仿宋_GB2312" w:cs="Times New Roman"/>
          <w:b w:val="0"/>
          <w:sz w:val="31"/>
          <w:szCs w:val="31"/>
          <w:lang w:val="en-US" w:eastAsia="zh-CN"/>
        </w:rPr>
        <w:t>，结余</w:t>
      </w:r>
      <w:r>
        <w:rPr>
          <w:rFonts w:hint="eastAsia" w:ascii="Times New Roman" w:hAnsi="Times New Roman" w:eastAsia="仿宋_GB2312" w:cs="Times New Roman"/>
          <w:b w:val="0"/>
          <w:sz w:val="31"/>
          <w:szCs w:val="31"/>
          <w:lang w:val="en-US" w:eastAsia="zh-CN"/>
        </w:rPr>
        <w:t>医疗费1.07万</w:t>
      </w:r>
      <w:r>
        <w:rPr>
          <w:rFonts w:hint="default" w:ascii="Times New Roman" w:hAnsi="Times New Roman" w:eastAsia="仿宋_GB2312" w:cs="Times New Roman"/>
          <w:b w:val="0"/>
          <w:sz w:val="31"/>
          <w:szCs w:val="31"/>
          <w:lang w:val="en-US" w:eastAsia="zh-CN"/>
        </w:rPr>
        <w:t>元，去逝</w:t>
      </w:r>
      <w:r>
        <w:rPr>
          <w:rFonts w:hint="eastAsia" w:ascii="Times New Roman" w:hAnsi="Times New Roman" w:eastAsia="仿宋_GB2312" w:cs="Times New Roman"/>
          <w:b w:val="0"/>
          <w:sz w:val="31"/>
          <w:szCs w:val="31"/>
          <w:lang w:val="en-US" w:eastAsia="zh-CN"/>
        </w:rPr>
        <w:t>4</w:t>
      </w:r>
      <w:r>
        <w:rPr>
          <w:rFonts w:hint="default" w:ascii="Times New Roman" w:hAnsi="Times New Roman" w:eastAsia="仿宋_GB2312" w:cs="Times New Roman"/>
          <w:b w:val="0"/>
          <w:sz w:val="31"/>
          <w:szCs w:val="31"/>
          <w:lang w:val="en-US" w:eastAsia="zh-CN"/>
        </w:rPr>
        <w:t>人结余取暖费</w:t>
      </w:r>
      <w:r>
        <w:rPr>
          <w:rFonts w:hint="eastAsia" w:ascii="Times New Roman" w:hAnsi="Times New Roman" w:eastAsia="仿宋_GB2312" w:cs="Times New Roman"/>
          <w:b w:val="0"/>
          <w:sz w:val="31"/>
          <w:szCs w:val="31"/>
          <w:lang w:val="en-US" w:eastAsia="zh-CN"/>
        </w:rPr>
        <w:t>0.27万</w:t>
      </w:r>
      <w:r>
        <w:rPr>
          <w:rFonts w:hint="default" w:ascii="Times New Roman" w:hAnsi="Times New Roman" w:eastAsia="仿宋_GB2312" w:cs="Times New Roman"/>
          <w:b w:val="0"/>
          <w:sz w:val="31"/>
          <w:szCs w:val="31"/>
          <w:lang w:val="en-US" w:eastAsia="zh-CN"/>
        </w:rPr>
        <w:t>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b w:val="0"/>
          <w:sz w:val="31"/>
          <w:szCs w:val="31"/>
        </w:rPr>
        <w:t>社会保障和就业支出（类）就业补助（款）公益性岗位补贴（项）：支出决算数为0.00万元，比上年决算减少84.53万元，下降100.00%，主要原因是：</w:t>
      </w:r>
      <w:r>
        <w:rPr>
          <w:rFonts w:hint="default" w:ascii="Times New Roman" w:hAnsi="Times New Roman" w:eastAsia="仿宋_GB2312" w:cs="Times New Roman"/>
          <w:b w:val="0"/>
          <w:sz w:val="31"/>
          <w:szCs w:val="31"/>
          <w:lang w:eastAsia="zh-CN"/>
        </w:rPr>
        <w:t>本年</w:t>
      </w:r>
      <w:r>
        <w:rPr>
          <w:rFonts w:hint="eastAsia" w:ascii="Times New Roman" w:hAnsi="Times New Roman" w:eastAsia="仿宋_GB2312" w:cs="Times New Roman"/>
          <w:b w:val="0"/>
          <w:sz w:val="31"/>
          <w:szCs w:val="31"/>
          <w:lang w:val="en-US" w:eastAsia="zh-CN"/>
        </w:rPr>
        <w:t>度</w:t>
      </w:r>
      <w:r>
        <w:rPr>
          <w:rFonts w:hint="default" w:ascii="Times New Roman" w:hAnsi="Times New Roman" w:eastAsia="仿宋_GB2312" w:cs="Times New Roman"/>
          <w:b w:val="0"/>
          <w:sz w:val="31"/>
          <w:szCs w:val="31"/>
        </w:rPr>
        <w:t>公益性岗位</w:t>
      </w:r>
      <w:r>
        <w:rPr>
          <w:rFonts w:hint="default" w:ascii="Times New Roman" w:hAnsi="Times New Roman" w:eastAsia="仿宋_GB2312" w:cs="Times New Roman"/>
          <w:b w:val="0"/>
          <w:sz w:val="31"/>
          <w:szCs w:val="31"/>
          <w:lang w:eastAsia="zh-CN"/>
        </w:rPr>
        <w:t>人员交由劳务派遣公司管理</w:t>
      </w:r>
      <w:r>
        <w:rPr>
          <w:rFonts w:hint="eastAsia" w:ascii="Times New Roman" w:hAnsi="Times New Roman" w:eastAsia="仿宋_GB2312" w:cs="Times New Roman"/>
          <w:b w:val="0"/>
          <w:sz w:val="31"/>
          <w:szCs w:val="31"/>
          <w:lang w:eastAsia="zh-CN"/>
        </w:rPr>
        <w:t>，</w:t>
      </w:r>
      <w:r>
        <w:rPr>
          <w:rFonts w:hint="eastAsia" w:ascii="Times New Roman" w:hAnsi="Times New Roman" w:eastAsia="仿宋_GB2312" w:cs="Times New Roman"/>
          <w:b w:val="0"/>
          <w:sz w:val="31"/>
          <w:szCs w:val="31"/>
          <w:lang w:val="en-US" w:eastAsia="zh-CN"/>
        </w:rPr>
        <w:t>无此项预算</w:t>
      </w:r>
      <w:r>
        <w:rPr>
          <w:rFonts w:hint="default" w:ascii="Times New Roman" w:hAnsi="Times New Roman" w:eastAsia="仿宋_GB2312" w:cs="Times New Roman"/>
          <w:b w:val="0"/>
          <w:sz w:val="31"/>
          <w:szCs w:val="3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卫生健康支出（类）行政事业单位医疗（款）行政单位医疗（项）：支出决算数为40.87万元，比上年决算增加11.04万元，增长37.01%，主要原因是：</w:t>
      </w:r>
      <w:r>
        <w:rPr>
          <w:rFonts w:hint="default" w:ascii="Times New Roman" w:hAnsi="Times New Roman" w:eastAsia="仿宋_GB2312" w:cs="Times New Roman"/>
          <w:b w:val="0"/>
          <w:sz w:val="31"/>
          <w:szCs w:val="31"/>
          <w:lang w:val="en-US" w:eastAsia="zh-CN"/>
        </w:rPr>
        <w:t>医保缴费基数提高</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卫生健康支出（类）行政事业单位医疗（款）公务员医疗补助（项）：支出决算数为4.96万元，比上年决算增加0.93万元，增长23.08%，主要原因是：公务员医疗补助</w:t>
      </w:r>
      <w:r>
        <w:rPr>
          <w:rFonts w:hint="default" w:ascii="Times New Roman" w:hAnsi="Times New Roman" w:eastAsia="仿宋_GB2312" w:cs="Times New Roman"/>
          <w:b w:val="0"/>
          <w:sz w:val="31"/>
          <w:szCs w:val="31"/>
          <w:lang w:val="en-US" w:eastAsia="zh-CN"/>
        </w:rPr>
        <w:t>缴费基数提高</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lang w:eastAsia="zh-CN"/>
        </w:rPr>
      </w:pPr>
      <w:r>
        <w:rPr>
          <w:rFonts w:hint="default" w:ascii="Times New Roman" w:hAnsi="Times New Roman" w:eastAsia="仿宋_GB2312" w:cs="Times New Roman"/>
          <w:b w:val="0"/>
          <w:sz w:val="31"/>
          <w:szCs w:val="31"/>
        </w:rPr>
        <w:t>农林水支出（类）巩固脱贫攻坚成果衔接乡村振兴（款）其他巩固脱贫攻坚成果衔接乡村振兴支出（项）：支出决算数为0.00万元，比上年决算减少0.30万元，下降100.00%，主要原因是：</w:t>
      </w:r>
      <w:r>
        <w:rPr>
          <w:rFonts w:hint="default" w:ascii="Times New Roman" w:hAnsi="Times New Roman" w:eastAsia="仿宋_GB2312" w:cs="Times New Roman"/>
          <w:b w:val="0"/>
          <w:sz w:val="31"/>
          <w:szCs w:val="31"/>
          <w:lang w:eastAsia="zh-CN"/>
        </w:rPr>
        <w:t>上年度</w:t>
      </w:r>
      <w:r>
        <w:rPr>
          <w:rFonts w:hint="default" w:ascii="Times New Roman" w:hAnsi="Times New Roman" w:eastAsia="仿宋_GB2312" w:cs="Times New Roman"/>
          <w:b w:val="0"/>
          <w:sz w:val="31"/>
          <w:szCs w:val="31"/>
          <w:lang w:val="en-US" w:eastAsia="zh-CN"/>
        </w:rPr>
        <w:t>0.3万元</w:t>
      </w:r>
      <w:r>
        <w:rPr>
          <w:rFonts w:hint="default" w:ascii="Times New Roman" w:hAnsi="Times New Roman" w:eastAsia="仿宋_GB2312" w:cs="Times New Roman"/>
          <w:b w:val="0"/>
          <w:sz w:val="31"/>
          <w:szCs w:val="31"/>
          <w:lang w:val="zh-CN" w:eastAsia="zh-CN"/>
        </w:rPr>
        <w:t>为“雨露计划”资金，用于支付</w:t>
      </w:r>
      <w:r>
        <w:rPr>
          <w:rFonts w:hint="default" w:ascii="Times New Roman" w:hAnsi="Times New Roman" w:eastAsia="仿宋_GB2312" w:cs="Times New Roman"/>
          <w:b w:val="0"/>
          <w:sz w:val="31"/>
          <w:szCs w:val="31"/>
          <w:lang w:val="en-US" w:eastAsia="zh-CN"/>
        </w:rPr>
        <w:t>2022年秋季一名入学新生2022年秋季和2023年春季两学期助学金0.3万元，2024年度无符合条件人员，所以比上年决算</w:t>
      </w:r>
      <w:r>
        <w:rPr>
          <w:rFonts w:hint="default" w:ascii="Times New Roman" w:hAnsi="Times New Roman" w:eastAsia="仿宋_GB2312" w:cs="Times New Roman"/>
          <w:b w:val="0"/>
          <w:sz w:val="31"/>
          <w:szCs w:val="31"/>
        </w:rPr>
        <w:t>减少</w:t>
      </w:r>
      <w:r>
        <w:rPr>
          <w:rFonts w:hint="default" w:ascii="Times New Roman" w:hAnsi="Times New Roman" w:eastAsia="仿宋_GB2312" w:cs="Times New Roman"/>
          <w:b w:val="0"/>
          <w:sz w:val="31"/>
          <w:szCs w:val="31"/>
          <w:lang w:val="en-US" w:eastAsia="zh-CN"/>
        </w:rPr>
        <w:t>0.30万元</w:t>
      </w:r>
      <w:r>
        <w:rPr>
          <w:rFonts w:hint="default" w:ascii="Times New Roman" w:hAnsi="Times New Roman" w:eastAsia="仿宋_GB2312" w:cs="Times New Roman"/>
          <w:b w:val="0"/>
          <w:sz w:val="31"/>
          <w:szCs w:val="3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住房保障支出（类）住房改革支出（款）住房公积金（项）：支出决算数为67.65万元，比上年决算增加7.82万元，增长13.07%，主要原因是：</w:t>
      </w:r>
      <w:r>
        <w:rPr>
          <w:rFonts w:hint="default" w:ascii="Times New Roman" w:hAnsi="Times New Roman" w:eastAsia="仿宋_GB2312" w:cs="Times New Roman"/>
          <w:b w:val="0"/>
          <w:sz w:val="31"/>
          <w:szCs w:val="31"/>
          <w:lang w:val="en-US" w:eastAsia="zh-CN"/>
        </w:rPr>
        <w:t>住房公积金缴费基数提高</w:t>
      </w:r>
      <w:r>
        <w:rPr>
          <w:rFonts w:hint="default" w:ascii="Times New Roman" w:hAnsi="Times New Roman" w:eastAsia="仿宋_GB2312" w:cs="Times New Roman"/>
          <w:b w:val="0"/>
          <w:sz w:val="31"/>
          <w:szCs w:val="31"/>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default" w:ascii="Times New Roman" w:hAnsi="Times New Roman" w:eastAsia="仿宋_GB2312" w:cs="Times New Roman"/>
          <w:sz w:val="31"/>
          <w:szCs w:val="31"/>
          <w:highlight w:val="none"/>
          <w:lang w:val="en-US" w:eastAsia="zh-CN"/>
        </w:rPr>
      </w:pPr>
      <w:r>
        <w:rPr>
          <w:rFonts w:hint="default" w:ascii="Times New Roman" w:hAnsi="Times New Roman" w:eastAsia="仿宋_GB2312" w:cs="Times New Roman"/>
          <w:b w:val="0"/>
          <w:sz w:val="31"/>
          <w:szCs w:val="31"/>
        </w:rPr>
        <w:t>其他支出（类）其他支出（款）其他支出（项）：支出决算数为3.76万元，比上年决算增加3.76万元，增长100.00%，</w:t>
      </w:r>
      <w:r>
        <w:rPr>
          <w:rFonts w:hint="default" w:ascii="Times New Roman" w:hAnsi="Times New Roman" w:eastAsia="仿宋_GB2312" w:cs="Times New Roman"/>
          <w:b w:val="0"/>
          <w:sz w:val="31"/>
          <w:szCs w:val="31"/>
          <w:highlight w:val="none"/>
        </w:rPr>
        <w:t>主要原因是：</w:t>
      </w:r>
      <w:r>
        <w:rPr>
          <w:rFonts w:hint="eastAsia" w:ascii="Times New Roman" w:hAnsi="Times New Roman" w:eastAsia="仿宋_GB2312" w:cs="Times New Roman"/>
          <w:b w:val="0"/>
          <w:sz w:val="31"/>
          <w:szCs w:val="31"/>
          <w:highlight w:val="none"/>
          <w:lang w:val="en-US" w:eastAsia="zh-CN"/>
        </w:rPr>
        <w:t>本年度新增了</w:t>
      </w:r>
      <w:r>
        <w:rPr>
          <w:rFonts w:hint="default" w:ascii="Times New Roman" w:hAnsi="Times New Roman" w:eastAsia="仿宋_GB2312" w:cs="Times New Roman"/>
          <w:b w:val="0"/>
          <w:sz w:val="31"/>
          <w:szCs w:val="31"/>
          <w:highlight w:val="none"/>
        </w:rPr>
        <w:t>2024年自治区驻村工作专项经费</w:t>
      </w:r>
      <w:r>
        <w:rPr>
          <w:rFonts w:hint="eastAsia" w:ascii="Times New Roman" w:hAnsi="Times New Roman" w:eastAsia="仿宋_GB2312" w:cs="Times New Roman"/>
          <w:b w:val="0"/>
          <w:sz w:val="31"/>
          <w:szCs w:val="31"/>
          <w:highlight w:val="none"/>
          <w:lang w:val="en-US" w:eastAsia="zh-CN"/>
        </w:rPr>
        <w:t>2万元，拨付辖区2024年3户困难家庭</w:t>
      </w:r>
      <w:r>
        <w:rPr>
          <w:rFonts w:hint="default" w:ascii="Times New Roman" w:hAnsi="Times New Roman" w:eastAsia="仿宋_GB2312" w:cs="Times New Roman"/>
          <w:b w:val="0"/>
          <w:sz w:val="31"/>
          <w:szCs w:val="31"/>
          <w:highlight w:val="none"/>
        </w:rPr>
        <w:t>纾困救助</w:t>
      </w:r>
      <w:r>
        <w:rPr>
          <w:rFonts w:hint="eastAsia" w:ascii="Times New Roman" w:hAnsi="Times New Roman" w:eastAsia="仿宋_GB2312" w:cs="Times New Roman"/>
          <w:b w:val="0"/>
          <w:sz w:val="31"/>
          <w:szCs w:val="31"/>
          <w:highlight w:val="none"/>
          <w:lang w:val="en-US" w:eastAsia="zh-CN"/>
        </w:rPr>
        <w:t>款1.76万元。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一般公共预算财政拨款基本支出2,111.20万元，其中：人员经费1,919.37万元，包括：基本工资、津贴补贴、奖金、机关事业单位基本养老保险缴费、职业年金缴费、职工基本医疗保险缴费、公务员医疗补助缴费、其他社会保障缴费、住房公积金、其他工资福利支出、退休费、抚恤金、生活补助、救济费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公用经费191.82万元，包括：办公费、水费、电费、邮电费、取暖费、维修（护）费、租赁费、培训费、劳务费、工会经费、福利费、公务用车运行维护费和办公设备购置。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2024年度国有资本经营预算财政拨款收入总计80.92万元，其中：年初结转和结余0.00万元，本年收入80.92万元。国有资本经营预算财政拨款支出总计80.92万元，其中：年末结转和结余0.00万元，本年支出80.92万元。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lang w:val="en-US" w:eastAsia="zh-CN"/>
        </w:rPr>
      </w:pPr>
      <w:r>
        <w:rPr>
          <w:rFonts w:hint="default" w:ascii="Times New Roman" w:hAnsi="Times New Roman" w:eastAsia="仿宋_GB2312" w:cs="Times New Roman"/>
          <w:b w:val="0"/>
          <w:sz w:val="31"/>
          <w:szCs w:val="31"/>
        </w:rPr>
        <w:t>国有资本经营预算财政拨款收入支出总体与上年相比，增加57.43万元，增长244.49%，</w:t>
      </w:r>
      <w:r>
        <w:rPr>
          <w:rFonts w:hint="default" w:ascii="Times New Roman" w:hAnsi="Times New Roman" w:eastAsia="仿宋_GB2312" w:cs="Times New Roman"/>
          <w:b w:val="0"/>
          <w:sz w:val="31"/>
          <w:szCs w:val="31"/>
          <w:highlight w:val="none"/>
        </w:rPr>
        <w:t>主要原因是：</w:t>
      </w:r>
      <w:r>
        <w:rPr>
          <w:rFonts w:hint="eastAsia" w:ascii="Times New Roman" w:hAnsi="Times New Roman" w:eastAsia="仿宋_GB2312" w:cs="Times New Roman"/>
          <w:b w:val="0"/>
          <w:sz w:val="31"/>
          <w:szCs w:val="31"/>
          <w:highlight w:val="none"/>
          <w:lang w:eastAsia="zh-CN"/>
        </w:rPr>
        <w:t>本年预算含</w:t>
      </w:r>
      <w:r>
        <w:rPr>
          <w:rFonts w:hint="eastAsia" w:ascii="Times New Roman" w:hAnsi="Times New Roman" w:eastAsia="仿宋_GB2312" w:cs="Times New Roman"/>
          <w:b w:val="0"/>
          <w:sz w:val="31"/>
          <w:szCs w:val="31"/>
          <w:highlight w:val="none"/>
          <w:lang w:val="en-US" w:eastAsia="zh-CN"/>
        </w:rPr>
        <w:t>2022年、2023年资金58.38万元</w:t>
      </w:r>
      <w:r>
        <w:rPr>
          <w:rFonts w:hint="default" w:ascii="Times New Roman" w:hAnsi="Times New Roman" w:eastAsia="仿宋_GB2312" w:cs="Times New Roman"/>
          <w:b w:val="0"/>
          <w:sz w:val="31"/>
          <w:szCs w:val="31"/>
          <w:highlight w:val="none"/>
        </w:rPr>
        <w:t>。与年</w:t>
      </w:r>
      <w:r>
        <w:rPr>
          <w:rFonts w:hint="default" w:ascii="Times New Roman" w:hAnsi="Times New Roman" w:eastAsia="仿宋_GB2312" w:cs="Times New Roman"/>
          <w:b w:val="0"/>
          <w:sz w:val="31"/>
          <w:szCs w:val="31"/>
        </w:rPr>
        <w:t>初预算相比，年初预算数58.38万元，决算数80.92万元，预决算差异率38.61%，主要原因是：</w:t>
      </w:r>
      <w:r>
        <w:rPr>
          <w:rFonts w:hint="default" w:ascii="Times New Roman" w:hAnsi="Times New Roman" w:eastAsia="仿宋_GB2312" w:cs="Times New Roman"/>
          <w:b w:val="0"/>
          <w:sz w:val="31"/>
          <w:szCs w:val="31"/>
          <w:lang w:val="en-US" w:eastAsia="zh-CN"/>
        </w:rPr>
        <w:t>年初预算数</w:t>
      </w:r>
      <w:r>
        <w:rPr>
          <w:rFonts w:hint="eastAsia" w:ascii="Times New Roman" w:hAnsi="Times New Roman" w:eastAsia="仿宋_GB2312" w:cs="Times New Roman"/>
          <w:b w:val="0"/>
          <w:sz w:val="31"/>
          <w:szCs w:val="31"/>
          <w:lang w:val="en-US" w:eastAsia="zh-CN"/>
        </w:rPr>
        <w:t>不含</w:t>
      </w:r>
      <w:r>
        <w:rPr>
          <w:rFonts w:hint="default" w:ascii="Times New Roman" w:hAnsi="Times New Roman" w:eastAsia="仿宋_GB2312" w:cs="Times New Roman"/>
          <w:b w:val="0"/>
          <w:sz w:val="31"/>
          <w:szCs w:val="31"/>
          <w:lang w:val="en-US" w:eastAsia="zh-CN"/>
        </w:rPr>
        <w:t>2024年4月下达当年资金。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国有资本经营预算财政拨款支出80.92万元。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20" w:firstLineChars="200"/>
        <w:textAlignment w:val="auto"/>
        <w:rPr>
          <w:rFonts w:hint="eastAsia" w:ascii="Times New Roman" w:hAnsi="Times New Roman" w:eastAsia="仿宋_GB2312" w:cs="Times New Roman"/>
          <w:sz w:val="31"/>
          <w:szCs w:val="31"/>
          <w:highlight w:val="none"/>
          <w:lang w:eastAsia="zh-CN"/>
        </w:rPr>
      </w:pPr>
      <w:r>
        <w:rPr>
          <w:rFonts w:hint="default" w:ascii="Times New Roman" w:hAnsi="Times New Roman" w:eastAsia="仿宋_GB2312" w:cs="Times New Roman"/>
          <w:b w:val="0"/>
          <w:sz w:val="31"/>
          <w:szCs w:val="31"/>
        </w:rPr>
        <w:t>国有资本经营预算支出（类）解决历史遗留问题及改革成本支出（款）国有企业退休人员社会化管理补助支出（项）：支出决算数为80.92万元，比上年决算增加57.43万元，增长244.49%，</w:t>
      </w:r>
      <w:r>
        <w:rPr>
          <w:rFonts w:hint="default" w:ascii="Times New Roman" w:hAnsi="Times New Roman" w:eastAsia="仿宋_GB2312" w:cs="Times New Roman"/>
          <w:b w:val="0"/>
          <w:sz w:val="31"/>
          <w:szCs w:val="31"/>
          <w:highlight w:val="none"/>
        </w:rPr>
        <w:t>主要原因是：</w:t>
      </w:r>
      <w:r>
        <w:rPr>
          <w:rFonts w:hint="eastAsia" w:ascii="Times New Roman" w:hAnsi="Times New Roman" w:eastAsia="仿宋_GB2312" w:cs="Times New Roman"/>
          <w:b w:val="0"/>
          <w:sz w:val="31"/>
          <w:szCs w:val="31"/>
          <w:highlight w:val="none"/>
          <w:lang w:eastAsia="zh-CN"/>
        </w:rPr>
        <w:t>本年度增加劳务派遣人员相关费用从此项经费中支付。</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2024年度财政拨款“三公”经费支出3.00万元，比上年减少1.42万元，下降32.13%，主要原因是：</w:t>
      </w:r>
      <w:r>
        <w:rPr>
          <w:rFonts w:hint="default" w:ascii="Times New Roman" w:hAnsi="Times New Roman" w:eastAsia="仿宋_GB2312" w:cs="Times New Roman"/>
          <w:b w:val="0"/>
          <w:sz w:val="31"/>
          <w:szCs w:val="31"/>
          <w:lang w:val="en-US" w:eastAsia="zh-CN"/>
        </w:rPr>
        <w:t>根据中央八项规定，厉行节约</w:t>
      </w:r>
      <w:r>
        <w:rPr>
          <w:rFonts w:hint="eastAsia" w:ascii="Times New Roman" w:hAnsi="Times New Roman" w:eastAsia="仿宋_GB2312" w:cs="Times New Roman"/>
          <w:b w:val="0"/>
          <w:sz w:val="31"/>
          <w:szCs w:val="31"/>
          <w:lang w:val="en-US" w:eastAsia="zh-CN"/>
        </w:rPr>
        <w:t>，</w:t>
      </w:r>
      <w:r>
        <w:rPr>
          <w:rFonts w:hint="default" w:ascii="Times New Roman" w:hAnsi="Times New Roman" w:eastAsia="仿宋_GB2312" w:cs="Times New Roman"/>
          <w:b w:val="0"/>
          <w:sz w:val="31"/>
          <w:szCs w:val="31"/>
          <w:lang w:val="en-US" w:eastAsia="zh-CN"/>
        </w:rPr>
        <w:t>严格控制三公经费支出</w:t>
      </w:r>
      <w:r>
        <w:rPr>
          <w:rFonts w:hint="default" w:ascii="Times New Roman" w:hAnsi="Times New Roman" w:eastAsia="仿宋_GB2312" w:cs="Times New Roman"/>
          <w:b w:val="0"/>
          <w:sz w:val="31"/>
          <w:szCs w:val="31"/>
        </w:rPr>
        <w:t>。其中：因公出国（境）费支出0.00万元,占0.00%，与上年相比无变化，主要原因是：</w:t>
      </w:r>
      <w:r>
        <w:rPr>
          <w:rFonts w:hint="default" w:ascii="Times New Roman" w:hAnsi="Times New Roman" w:eastAsia="仿宋_GB2312" w:cs="Times New Roman"/>
          <w:b w:val="0"/>
          <w:sz w:val="31"/>
          <w:szCs w:val="31"/>
          <w:lang w:val="en-US" w:eastAsia="zh-CN"/>
        </w:rPr>
        <w:t>我单位无因公出国（境）费支出</w:t>
      </w:r>
      <w:r>
        <w:rPr>
          <w:rFonts w:hint="default" w:ascii="Times New Roman" w:hAnsi="Times New Roman" w:eastAsia="仿宋_GB2312" w:cs="Times New Roman"/>
          <w:b w:val="0"/>
          <w:sz w:val="31"/>
          <w:szCs w:val="31"/>
        </w:rPr>
        <w:t>；公务用车购置及运行维护费支出3.00万元，占100.00%，比上年减少1.42万元，下降32.13%，主要原因是：</w:t>
      </w:r>
      <w:r>
        <w:rPr>
          <w:rFonts w:hint="default" w:ascii="Times New Roman" w:hAnsi="Times New Roman" w:eastAsia="仿宋_GB2312" w:cs="Times New Roman"/>
          <w:b w:val="0"/>
          <w:sz w:val="31"/>
          <w:szCs w:val="31"/>
          <w:lang w:val="en-US" w:eastAsia="zh-CN"/>
        </w:rPr>
        <w:t>根据中央八项规定，厉行节约，严格控制三公经费支出</w:t>
      </w:r>
      <w:r>
        <w:rPr>
          <w:rFonts w:hint="default" w:ascii="Times New Roman" w:hAnsi="Times New Roman" w:eastAsia="仿宋_GB2312" w:cs="Times New Roman"/>
          <w:b w:val="0"/>
          <w:sz w:val="31"/>
          <w:szCs w:val="31"/>
        </w:rPr>
        <w:t>；公务接待费支出0.00万元，占0.00%，与上年相比无变化，主要原因是：</w:t>
      </w:r>
      <w:r>
        <w:rPr>
          <w:rFonts w:hint="default" w:ascii="Times New Roman" w:hAnsi="Times New Roman" w:eastAsia="仿宋_GB2312" w:cs="Times New Roman"/>
          <w:b w:val="0"/>
          <w:sz w:val="31"/>
          <w:szCs w:val="31"/>
          <w:lang w:val="en-US" w:eastAsia="zh-CN"/>
        </w:rPr>
        <w:t>我单位无公务接待费支出</w:t>
      </w:r>
      <w:r>
        <w:rPr>
          <w:rFonts w:hint="default" w:ascii="Times New Roman" w:hAnsi="Times New Roman" w:eastAsia="仿宋_GB2312" w:cs="Times New Roman"/>
          <w:b w:val="0"/>
          <w:sz w:val="31"/>
          <w:szCs w:val="31"/>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因公出国（境）费支出0.00万元，开支内容包括0。单位全年安排的因公出国（境）团组0个，因公出国（境）0人次。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公务用车购置及运行维护费3.00万元，其中：公务用车购置费0.00万元，公务用车运行维护费3.00万元。公务用车运行维护费开支内容包括</w:t>
      </w:r>
      <w:r>
        <w:rPr>
          <w:rFonts w:hint="default" w:ascii="Times New Roman" w:hAnsi="Times New Roman" w:eastAsia="仿宋_GB2312" w:cs="Times New Roman"/>
          <w:b w:val="0"/>
          <w:sz w:val="31"/>
          <w:szCs w:val="31"/>
          <w:lang w:val="en-US" w:eastAsia="zh-CN"/>
        </w:rPr>
        <w:t>车辆燃油费、年审费、保险费、维修费等</w:t>
      </w:r>
      <w:r>
        <w:rPr>
          <w:rFonts w:hint="default" w:ascii="Times New Roman" w:hAnsi="Times New Roman" w:eastAsia="仿宋_GB2312" w:cs="Times New Roman"/>
          <w:b w:val="0"/>
          <w:sz w:val="31"/>
          <w:szCs w:val="31"/>
        </w:rPr>
        <w:t>。公务用车购置数0辆，公务用车保有量5辆。国有资产占用情况中固定资产车辆7辆，与公务用车保有量差异原因是：</w:t>
      </w:r>
      <w:r>
        <w:rPr>
          <w:rFonts w:hint="default" w:ascii="Times New Roman" w:hAnsi="Times New Roman" w:eastAsia="仿宋_GB2312" w:cs="Times New Roman"/>
          <w:b w:val="0"/>
          <w:sz w:val="31"/>
          <w:szCs w:val="31"/>
          <w:lang w:eastAsia="zh-CN"/>
        </w:rPr>
        <w:t>空车辆编制</w:t>
      </w:r>
      <w:r>
        <w:rPr>
          <w:rFonts w:hint="default" w:ascii="Times New Roman" w:hAnsi="Times New Roman" w:eastAsia="仿宋_GB2312" w:cs="Times New Roman"/>
          <w:b w:val="0"/>
          <w:sz w:val="31"/>
          <w:szCs w:val="31"/>
          <w:lang w:val="en-US" w:eastAsia="zh-CN"/>
        </w:rPr>
        <w:t>1辆，</w:t>
      </w:r>
      <w:r>
        <w:rPr>
          <w:rFonts w:hint="default" w:ascii="Times New Roman" w:hAnsi="Times New Roman" w:eastAsia="仿宋_GB2312" w:cs="Times New Roman"/>
          <w:b w:val="0"/>
          <w:sz w:val="31"/>
          <w:szCs w:val="31"/>
          <w:lang w:val="zh-CN" w:eastAsia="zh-CN"/>
        </w:rPr>
        <w:t>有三辆巡逻执法用车不在编制内，未在编制内三辆车由单位经费保障运转。</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公务接待费0.00万元，开支内容包括0。单位全年安排的国内公务接待0批次，0人次。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与全年预算相比，财政拨款“三公”经费支出全年预算数3.00万元，决算数3.00万元，预决算差异率0.00%，主要原因是：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hint="default" w:ascii="Times New Roman" w:hAnsi="Times New Roman" w:eastAsia="仿宋_GB2312" w:cs="Times New Roman"/>
          <w:b w:val="0"/>
          <w:sz w:val="31"/>
          <w:szCs w:val="31"/>
        </w:rPr>
        <w:t>。其中：因公出国（境）费全年预算数0.00万元，决算数0.00万元，预决算差异率0.00%，主要原因是：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hint="default" w:ascii="Times New Roman" w:hAnsi="Times New Roman" w:eastAsia="仿宋_GB2312" w:cs="Times New Roman"/>
          <w:b w:val="0"/>
          <w:sz w:val="31"/>
          <w:szCs w:val="31"/>
        </w:rPr>
        <w:t>。公务用车购置费全年预算数0.00万元，决算数0.00万元，预决算差异率0.00%，主要原因是：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hint="default" w:ascii="Times New Roman" w:hAnsi="Times New Roman" w:eastAsia="仿宋_GB2312" w:cs="Times New Roman"/>
          <w:b w:val="0"/>
          <w:sz w:val="31"/>
          <w:szCs w:val="31"/>
        </w:rPr>
        <w:t>。公务用车运行维护费全年预算数3.00万元，决算数3.00万元，预决算差异率0.00%，主要原因是：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hint="default" w:ascii="Times New Roman" w:hAnsi="Times New Roman" w:eastAsia="仿宋_GB2312" w:cs="Times New Roman"/>
          <w:b w:val="0"/>
          <w:sz w:val="31"/>
          <w:szCs w:val="31"/>
        </w:rPr>
        <w:t>。公务接待费全年预算数0.00万元，决算数0.00万元，预决算差异率0.00%，主要原因是：</w:t>
      </w:r>
      <w:r>
        <w:rPr>
          <w:rFonts w:hint="default" w:ascii="Times New Roman" w:hAnsi="Times New Roman" w:eastAsia="仿宋_GB2312" w:cs="Times New Roman"/>
          <w:b w:val="0"/>
          <w:sz w:val="31"/>
          <w:szCs w:val="31"/>
          <w:lang w:val="en-US" w:eastAsia="zh-CN"/>
        </w:rPr>
        <w:t>严格控制三公经费，预决算无差异</w:t>
      </w:r>
      <w:r>
        <w:rPr>
          <w:rFonts w:hint="default" w:ascii="Times New Roman" w:hAnsi="Times New Roman" w:eastAsia="仿宋_GB2312" w:cs="Times New Roman"/>
          <w:b w:val="0"/>
          <w:sz w:val="31"/>
          <w:szCs w:val="31"/>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（一）机关运行经费及公用经费支出情况</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2024年度库尔勒市团结街道办事处单位机关运行经费支出191.82万元，比上年增加144.01万元，增长301.21%，主要原因是：本年保障了社区党建经费和网格经费的拨付。</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2024年度政府采购支出总额26.36万元，其中：政府采购货物支出6.25万元、政府采购工程支出0.00万元、政府采购服务支出20.12万元。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授予中小企业合同金额17.60万元，占政府采购支出总额的66.77%，其中：授予小微企业合同金额7.91万元，占政府采购支出总额的30.01%。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outlineLvl w:val="2"/>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截至2024年12月31日，房屋8,900.00平方米，价值1,426.05万元。车辆7辆，价值38.09万元，其中：副部（省）级及以上领导用车0辆、主要负责人用车0辆、机要通信用车0辆、应急保障用车0辆、执法执勤用车0辆、特种专业技术用车0辆、离退休干部服务用车0辆、其他用车7辆，其他用车主要是</w:t>
      </w:r>
      <w:r>
        <w:rPr>
          <w:rFonts w:hint="eastAsia" w:ascii="Times New Roman" w:hAnsi="Times New Roman" w:eastAsia="仿宋_GB2312" w:cs="Times New Roman"/>
          <w:b w:val="0"/>
          <w:sz w:val="31"/>
          <w:szCs w:val="31"/>
          <w:lang w:val="en-US" w:eastAsia="zh-CN"/>
        </w:rPr>
        <w:t>街道、纪工委和各社区开展业务用车</w:t>
      </w:r>
      <w:r>
        <w:rPr>
          <w:rFonts w:hint="eastAsia" w:ascii="Times New Roman" w:hAnsi="Times New Roman" w:eastAsia="仿宋_GB2312" w:cs="Times New Roman"/>
          <w:b w:val="0"/>
          <w:sz w:val="31"/>
          <w:szCs w:val="31"/>
          <w:lang w:val="zh-CN" w:eastAsia="zh-CN"/>
        </w:rPr>
        <w:t>；</w:t>
      </w:r>
      <w:r>
        <w:rPr>
          <w:rFonts w:hint="default" w:ascii="Times New Roman" w:hAnsi="Times New Roman" w:eastAsia="仿宋_GB2312" w:cs="Times New Roman"/>
          <w:b w:val="0"/>
          <w:sz w:val="31"/>
          <w:szCs w:val="31"/>
        </w:rPr>
        <w:t>单价100万元（含）以上设备（不含车辆）1台。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十一、预算绩效的情况说明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eastAsia" w:ascii="Times New Roman" w:hAnsi="Times New Roman" w:eastAsia="仿宋_GB2312" w:cs="Times New Roman"/>
          <w:b w:val="0"/>
          <w:sz w:val="31"/>
          <w:szCs w:val="31"/>
          <w:lang w:val="en-US" w:eastAsia="zh-CN"/>
        </w:rPr>
      </w:pPr>
      <w:r>
        <w:rPr>
          <w:rFonts w:hint="default" w:ascii="Times New Roman" w:hAnsi="Times New Roman" w:eastAsia="仿宋_GB2312" w:cs="Times New Roman"/>
          <w:b w:val="0"/>
          <w:sz w:val="31"/>
          <w:szCs w:val="31"/>
        </w:rPr>
        <w:t>根据预算绩效管理要求，本单位2024年度预算绩效管理形成整体支出绩效自评表1个，全年预算总额</w:t>
      </w:r>
      <w:r>
        <w:rPr>
          <w:rFonts w:hint="eastAsia" w:ascii="Times New Roman" w:hAnsi="Times New Roman" w:eastAsia="仿宋_GB2312" w:cs="Times New Roman"/>
          <w:b w:val="0"/>
          <w:sz w:val="31"/>
          <w:szCs w:val="31"/>
          <w:lang w:val="en-US" w:eastAsia="zh-CN"/>
        </w:rPr>
        <w:t>2611.51</w:t>
      </w:r>
      <w:r>
        <w:rPr>
          <w:rFonts w:hint="default" w:ascii="Times New Roman" w:hAnsi="Times New Roman" w:eastAsia="仿宋_GB2312" w:cs="Times New Roman"/>
          <w:b w:val="0"/>
          <w:sz w:val="31"/>
          <w:szCs w:val="31"/>
        </w:rPr>
        <w:t>万元，实际执行总额</w:t>
      </w:r>
      <w:r>
        <w:rPr>
          <w:rFonts w:hint="eastAsia" w:ascii="Times New Roman" w:hAnsi="Times New Roman" w:eastAsia="仿宋_GB2312" w:cs="Times New Roman"/>
          <w:b w:val="0"/>
          <w:sz w:val="31"/>
          <w:szCs w:val="31"/>
          <w:lang w:val="en-US" w:eastAsia="zh-CN"/>
        </w:rPr>
        <w:t>2212.12</w:t>
      </w:r>
      <w:r>
        <w:rPr>
          <w:rFonts w:hint="default" w:ascii="Times New Roman" w:hAnsi="Times New Roman" w:eastAsia="仿宋_GB2312" w:cs="Times New Roman"/>
          <w:b w:val="0"/>
          <w:sz w:val="31"/>
          <w:szCs w:val="31"/>
        </w:rPr>
        <w:t>万元；预算</w:t>
      </w:r>
      <w:bookmarkStart w:id="0" w:name="_GoBack"/>
      <w:bookmarkEnd w:id="0"/>
      <w:r>
        <w:rPr>
          <w:rFonts w:hint="default" w:ascii="Times New Roman" w:hAnsi="Times New Roman" w:eastAsia="仿宋_GB2312" w:cs="Times New Roman"/>
          <w:b w:val="0"/>
          <w:sz w:val="31"/>
          <w:szCs w:val="31"/>
        </w:rPr>
        <w:t>绩效评价项目</w:t>
      </w:r>
      <w:r>
        <w:rPr>
          <w:rFonts w:hint="eastAsia" w:ascii="Times New Roman" w:hAnsi="Times New Roman" w:eastAsia="仿宋_GB2312" w:cs="Times New Roman"/>
          <w:b w:val="0"/>
          <w:sz w:val="31"/>
          <w:szCs w:val="31"/>
          <w:lang w:val="en-US" w:eastAsia="zh-CN"/>
        </w:rPr>
        <w:t>8</w:t>
      </w:r>
      <w:r>
        <w:rPr>
          <w:rFonts w:hint="default" w:ascii="Times New Roman" w:hAnsi="Times New Roman" w:eastAsia="仿宋_GB2312" w:cs="Times New Roman"/>
          <w:b w:val="0"/>
          <w:sz w:val="31"/>
          <w:szCs w:val="31"/>
        </w:rPr>
        <w:t>个，全年预算数</w:t>
      </w:r>
      <w:r>
        <w:rPr>
          <w:rFonts w:hint="eastAsia" w:ascii="Times New Roman" w:hAnsi="Times New Roman" w:eastAsia="仿宋_GB2312" w:cs="Times New Roman"/>
          <w:b w:val="0"/>
          <w:sz w:val="31"/>
          <w:szCs w:val="31"/>
          <w:lang w:val="en-US" w:eastAsia="zh-CN"/>
        </w:rPr>
        <w:t>222.06</w:t>
      </w:r>
      <w:r>
        <w:rPr>
          <w:rFonts w:hint="default" w:ascii="Times New Roman" w:hAnsi="Times New Roman" w:eastAsia="仿宋_GB2312" w:cs="Times New Roman"/>
          <w:b w:val="0"/>
          <w:sz w:val="31"/>
          <w:szCs w:val="31"/>
        </w:rPr>
        <w:t>万元，全年执行数</w:t>
      </w:r>
      <w:r>
        <w:rPr>
          <w:rFonts w:hint="eastAsia" w:ascii="Times New Roman" w:hAnsi="Times New Roman" w:eastAsia="仿宋_GB2312" w:cs="Times New Roman"/>
          <w:b w:val="0"/>
          <w:sz w:val="31"/>
          <w:szCs w:val="31"/>
          <w:lang w:val="en-US" w:eastAsia="zh-CN"/>
        </w:rPr>
        <w:t>198.59</w:t>
      </w:r>
      <w:r>
        <w:rPr>
          <w:rFonts w:hint="default" w:ascii="Times New Roman" w:hAnsi="Times New Roman" w:eastAsia="仿宋_GB2312" w:cs="Times New Roman"/>
          <w:b w:val="0"/>
          <w:sz w:val="31"/>
          <w:szCs w:val="31"/>
        </w:rPr>
        <w:t>万元。预算绩效管理取得的成效：</w:t>
      </w:r>
      <w:r>
        <w:rPr>
          <w:rFonts w:hint="eastAsia" w:ascii="Times New Roman" w:hAnsi="Times New Roman" w:eastAsia="仿宋_GB2312" w:cs="Times New Roman"/>
          <w:b w:val="0"/>
          <w:sz w:val="31"/>
          <w:szCs w:val="31"/>
          <w:lang w:val="en-US" w:eastAsia="zh-CN"/>
        </w:rPr>
        <w:t>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w:t>
      </w:r>
      <w:r>
        <w:rPr>
          <w:rFonts w:hint="default" w:ascii="Times New Roman" w:hAnsi="Times New Roman" w:eastAsia="仿宋_GB2312" w:cs="Times New Roman"/>
          <w:b w:val="0"/>
          <w:sz w:val="31"/>
          <w:szCs w:val="31"/>
        </w:rPr>
        <w:t>。下一步改进措施：</w:t>
      </w:r>
      <w:r>
        <w:rPr>
          <w:rFonts w:hint="eastAsia" w:ascii="Times New Roman" w:hAnsi="Times New Roman" w:eastAsia="仿宋_GB2312" w:cs="Times New Roman"/>
          <w:b w:val="0"/>
          <w:sz w:val="31"/>
          <w:szCs w:val="31"/>
          <w:lang w:val="en-US" w:eastAsia="zh-CN"/>
        </w:rPr>
        <w:t>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jc w:val="left"/>
        <w:textAlignment w:val="auto"/>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sz w:val="31"/>
          <w:szCs w:val="31"/>
        </w:rPr>
      </w:pPr>
      <w:r>
        <w:rPr>
          <w:rFonts w:hint="default" w:ascii="Times New Roman" w:hAnsi="Times New Roman" w:cs="Times New Roman"/>
          <w:b w:val="0"/>
          <w:sz w:val="31"/>
          <w:szCs w:val="31"/>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一、财政拨款收入：</w:t>
      </w:r>
      <w:r>
        <w:rPr>
          <w:rFonts w:hint="default" w:ascii="Times New Roman" w:hAnsi="Times New Roman" w:eastAsia="仿宋_GB2312" w:cs="Times New Roman"/>
          <w:b w:val="0"/>
          <w:sz w:val="31"/>
          <w:szCs w:val="31"/>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二、上级补助收入：</w:t>
      </w:r>
      <w:r>
        <w:rPr>
          <w:rFonts w:hint="default" w:ascii="Times New Roman" w:hAnsi="Times New Roman" w:eastAsia="仿宋_GB2312" w:cs="Times New Roman"/>
          <w:b w:val="0"/>
          <w:sz w:val="31"/>
          <w:szCs w:val="31"/>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三、事业收入：</w:t>
      </w:r>
      <w:r>
        <w:rPr>
          <w:rFonts w:hint="default" w:ascii="Times New Roman" w:hAnsi="Times New Roman" w:eastAsia="仿宋_GB2312" w:cs="Times New Roman"/>
          <w:b w:val="0"/>
          <w:sz w:val="31"/>
          <w:szCs w:val="31"/>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四、经营收入：</w:t>
      </w:r>
      <w:r>
        <w:rPr>
          <w:rFonts w:hint="default" w:ascii="Times New Roman" w:hAnsi="Times New Roman" w:eastAsia="仿宋_GB2312" w:cs="Times New Roman"/>
          <w:b w:val="0"/>
          <w:sz w:val="31"/>
          <w:szCs w:val="31"/>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五、附属单位上缴收入：</w:t>
      </w:r>
      <w:r>
        <w:rPr>
          <w:rFonts w:hint="default" w:ascii="Times New Roman" w:hAnsi="Times New Roman" w:eastAsia="仿宋_GB2312" w:cs="Times New Roman"/>
          <w:b w:val="0"/>
          <w:sz w:val="31"/>
          <w:szCs w:val="31"/>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六、其他收入：</w:t>
      </w:r>
      <w:r>
        <w:rPr>
          <w:rFonts w:hint="default" w:ascii="Times New Roman" w:hAnsi="Times New Roman" w:eastAsia="仿宋_GB2312" w:cs="Times New Roman"/>
          <w:b w:val="0"/>
          <w:sz w:val="31"/>
          <w:szCs w:val="31"/>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七、年初结转和结余：</w:t>
      </w:r>
      <w:r>
        <w:rPr>
          <w:rFonts w:hint="default" w:ascii="Times New Roman" w:hAnsi="Times New Roman" w:eastAsia="仿宋_GB2312" w:cs="Times New Roman"/>
          <w:b w:val="0"/>
          <w:sz w:val="31"/>
          <w:szCs w:val="31"/>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八、年末结转和结余：</w:t>
      </w:r>
      <w:r>
        <w:rPr>
          <w:rFonts w:hint="default" w:ascii="Times New Roman" w:hAnsi="Times New Roman" w:eastAsia="仿宋_GB2312" w:cs="Times New Roman"/>
          <w:b w:val="0"/>
          <w:sz w:val="31"/>
          <w:szCs w:val="31"/>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九、基本支出：</w:t>
      </w:r>
      <w:r>
        <w:rPr>
          <w:rFonts w:hint="default" w:ascii="Times New Roman" w:hAnsi="Times New Roman" w:eastAsia="仿宋_GB2312" w:cs="Times New Roman"/>
          <w:b w:val="0"/>
          <w:sz w:val="31"/>
          <w:szCs w:val="31"/>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十、项目支出：</w:t>
      </w:r>
      <w:r>
        <w:rPr>
          <w:rFonts w:hint="default" w:ascii="Times New Roman" w:hAnsi="Times New Roman" w:eastAsia="仿宋_GB2312" w:cs="Times New Roman"/>
          <w:b w:val="0"/>
          <w:sz w:val="31"/>
          <w:szCs w:val="31"/>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十一、经营支出：</w:t>
      </w:r>
      <w:r>
        <w:rPr>
          <w:rFonts w:hint="default" w:ascii="Times New Roman" w:hAnsi="Times New Roman" w:eastAsia="仿宋_GB2312" w:cs="Times New Roman"/>
          <w:b w:val="0"/>
          <w:sz w:val="31"/>
          <w:szCs w:val="31"/>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十二、对附属单位补助支出：</w:t>
      </w:r>
      <w:r>
        <w:rPr>
          <w:rFonts w:hint="default" w:ascii="Times New Roman" w:hAnsi="Times New Roman" w:eastAsia="仿宋_GB2312" w:cs="Times New Roman"/>
          <w:b w:val="0"/>
          <w:sz w:val="31"/>
          <w:szCs w:val="31"/>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十三、“三公”经费：</w:t>
      </w:r>
      <w:r>
        <w:rPr>
          <w:rFonts w:hint="default" w:ascii="Times New Roman" w:hAnsi="Times New Roman" w:eastAsia="仿宋_GB2312" w:cs="Times New Roman"/>
          <w:b w:val="0"/>
          <w:sz w:val="31"/>
          <w:szCs w:val="31"/>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2" w:firstLineChars="200"/>
        <w:jc w:val="left"/>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b/>
          <w:sz w:val="31"/>
          <w:szCs w:val="31"/>
        </w:rPr>
        <w:t>十四、机关运行经费：</w:t>
      </w:r>
      <w:r>
        <w:rPr>
          <w:rFonts w:hint="default" w:ascii="Times New Roman" w:hAnsi="Times New Roman" w:eastAsia="仿宋_GB2312" w:cs="Times New Roman"/>
          <w:b w:val="0"/>
          <w:sz w:val="31"/>
          <w:szCs w:val="31"/>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sz w:val="31"/>
          <w:szCs w:val="31"/>
        </w:rPr>
      </w:pPr>
      <w:r>
        <w:rPr>
          <w:rFonts w:hint="default" w:ascii="Times New Roman" w:hAnsi="Times New Roman" w:cs="Times New Roman"/>
          <w:b w:val="0"/>
          <w:sz w:val="31"/>
          <w:szCs w:val="31"/>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1"/>
          <w:szCs w:val="31"/>
        </w:rPr>
      </w:pPr>
      <w:r>
        <w:rPr>
          <w:rFonts w:hint="default" w:ascii="Times New Roman" w:hAnsi="Times New Roman" w:eastAsia="黑体" w:cs="Times New Roman"/>
          <w:b w:val="0"/>
          <w:sz w:val="31"/>
          <w:szCs w:val="31"/>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sz w:val="31"/>
          <w:szCs w:val="31"/>
        </w:rPr>
      </w:pPr>
      <w:r>
        <w:rPr>
          <w:rFonts w:hint="default" w:ascii="Times New Roman" w:hAnsi="Times New Roman" w:eastAsia="仿宋_GB2312" w:cs="Times New Roman"/>
          <w:b w:val="0"/>
          <w:sz w:val="31"/>
          <w:szCs w:val="31"/>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b w:val="0"/>
          <w:sz w:val="31"/>
          <w:szCs w:val="31"/>
        </w:rPr>
      </w:pPr>
      <w:r>
        <w:rPr>
          <w:rFonts w:hint="default" w:ascii="Times New Roman" w:hAnsi="Times New Roman" w:eastAsia="仿宋_GB2312" w:cs="Times New Roman"/>
          <w:b w:val="0"/>
          <w:sz w:val="31"/>
          <w:szCs w:val="31"/>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b w:val="0"/>
          <w:sz w:val="31"/>
          <w:szCs w:val="31"/>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b w:val="0"/>
          <w:sz w:val="31"/>
          <w:szCs w:val="31"/>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b w:val="0"/>
          <w:sz w:val="31"/>
          <w:szCs w:val="31"/>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21"/>
          <w:szCs w:val="21"/>
        </w:rPr>
      </w:pPr>
      <w:r>
        <w:drawing>
          <wp:inline distT="0" distB="0" distL="114300" distR="114300">
            <wp:extent cx="5479415" cy="4791710"/>
            <wp:effectExtent l="0" t="0" r="698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479415" cy="4791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ind w:firstLine="620" w:firstLineChars="200"/>
        <w:jc w:val="left"/>
        <w:outlineLvl w:val="1"/>
        <w:rPr>
          <w:rFonts w:hint="default" w:ascii="Times New Roman" w:hAnsi="Times New Roman" w:eastAsia="仿宋_GB2312" w:cs="Times New Roman"/>
          <w:b w:val="0"/>
          <w:sz w:val="31"/>
          <w:szCs w:val="31"/>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5605" cy="6402070"/>
            <wp:effectExtent l="0" t="0" r="10795" b="177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475605" cy="64020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8145" cy="6177280"/>
            <wp:effectExtent l="0" t="0" r="8255"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5478145" cy="61772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1160" cy="6100445"/>
            <wp:effectExtent l="0" t="0" r="15240" b="1460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5471160" cy="61004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6240" cy="7291070"/>
            <wp:effectExtent l="0" t="0" r="10160" b="508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9"/>
                    <a:stretch>
                      <a:fillRect/>
                    </a:stretch>
                  </pic:blipFill>
                  <pic:spPr>
                    <a:xfrm>
                      <a:off x="0" y="0"/>
                      <a:ext cx="5476240" cy="72910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9415" cy="5075555"/>
            <wp:effectExtent l="0" t="0" r="6985" b="1079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0"/>
                    <a:stretch>
                      <a:fillRect/>
                    </a:stretch>
                  </pic:blipFill>
                  <pic:spPr>
                    <a:xfrm>
                      <a:off x="0" y="0"/>
                      <a:ext cx="5479415" cy="507555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80685" cy="2158365"/>
            <wp:effectExtent l="0" t="0" r="5715" b="1333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1"/>
                    <a:stretch>
                      <a:fillRect/>
                    </a:stretch>
                  </pic:blipFill>
                  <pic:spPr>
                    <a:xfrm>
                      <a:off x="0" y="0"/>
                      <a:ext cx="5480685" cy="21583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82590" cy="2012315"/>
            <wp:effectExtent l="0" t="0" r="3810" b="698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2"/>
                    <a:stretch>
                      <a:fillRect/>
                    </a:stretch>
                  </pic:blipFill>
                  <pic:spPr>
                    <a:xfrm>
                      <a:off x="0" y="0"/>
                      <a:ext cx="5482590" cy="201231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r>
        <w:drawing>
          <wp:inline distT="0" distB="0" distL="114300" distR="114300">
            <wp:extent cx="5476240" cy="1496695"/>
            <wp:effectExtent l="0" t="0" r="10160" b="825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3"/>
                    <a:stretch>
                      <a:fillRect/>
                    </a:stretch>
                  </pic:blipFill>
                  <pic:spPr>
                    <a:xfrm>
                      <a:off x="0" y="0"/>
                      <a:ext cx="5476240" cy="14966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p>
      <w:pPr>
        <w:widowControl/>
        <w:spacing w:before="0" w:beforeLines="0" w:beforeAutospacing="0" w:after="0" w:afterLines="0" w:afterAutospacing="0" w:line="240" w:lineRule="auto"/>
        <w:jc w:val="left"/>
        <w:outlineLvl w:val="1"/>
        <w:rPr>
          <w:rFonts w:hint="default" w:ascii="Times New Roman" w:hAnsi="Times New Roman" w:eastAsia="仿宋_GB2312" w:cs="Times New Roman"/>
          <w:b w:val="0"/>
          <w:sz w:val="31"/>
          <w:szCs w:val="31"/>
          <w:lang w:eastAsia="zh-CN"/>
        </w:rPr>
      </w:pPr>
    </w:p>
    <w:sectPr>
      <w:pgSz w:w="12240" w:h="15840"/>
      <w:pgMar w:top="1440" w:right="1803" w:bottom="1440" w:left="1803" w:header="720" w:footer="720" w:gutter="0"/>
      <w:cols w:space="0" w:num="1"/>
      <w:rtlGutter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438E6"/>
    <w:multiLevelType w:val="singleLevel"/>
    <w:tmpl w:val="625438E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815EB"/>
    <w:rsid w:val="08B54592"/>
    <w:rsid w:val="09C55976"/>
    <w:rsid w:val="0DB74130"/>
    <w:rsid w:val="12AC09C6"/>
    <w:rsid w:val="12E21781"/>
    <w:rsid w:val="148854BE"/>
    <w:rsid w:val="14D06106"/>
    <w:rsid w:val="15445B78"/>
    <w:rsid w:val="156655A8"/>
    <w:rsid w:val="188A30D0"/>
    <w:rsid w:val="1A216A8A"/>
    <w:rsid w:val="1A5D7CE6"/>
    <w:rsid w:val="1CCB4F85"/>
    <w:rsid w:val="1F365E18"/>
    <w:rsid w:val="20B96F74"/>
    <w:rsid w:val="21EB0234"/>
    <w:rsid w:val="22E73571"/>
    <w:rsid w:val="26E85164"/>
    <w:rsid w:val="2AC131A7"/>
    <w:rsid w:val="2AD42AF4"/>
    <w:rsid w:val="2EA2079A"/>
    <w:rsid w:val="2F424D69"/>
    <w:rsid w:val="306125B5"/>
    <w:rsid w:val="32347AC6"/>
    <w:rsid w:val="37A67296"/>
    <w:rsid w:val="38FF68B7"/>
    <w:rsid w:val="3D9C2882"/>
    <w:rsid w:val="3ED47CB9"/>
    <w:rsid w:val="40A80DD6"/>
    <w:rsid w:val="431C44AA"/>
    <w:rsid w:val="45D12C73"/>
    <w:rsid w:val="46A12B1C"/>
    <w:rsid w:val="48F16D5D"/>
    <w:rsid w:val="4C951620"/>
    <w:rsid w:val="4CA45C4B"/>
    <w:rsid w:val="4E1B00ED"/>
    <w:rsid w:val="4E482BFF"/>
    <w:rsid w:val="4F042122"/>
    <w:rsid w:val="4FE629F1"/>
    <w:rsid w:val="506E72E7"/>
    <w:rsid w:val="53612848"/>
    <w:rsid w:val="555D66B2"/>
    <w:rsid w:val="556E6D5B"/>
    <w:rsid w:val="590D1876"/>
    <w:rsid w:val="59685D4E"/>
    <w:rsid w:val="5C262CC6"/>
    <w:rsid w:val="5E433703"/>
    <w:rsid w:val="5E6B791A"/>
    <w:rsid w:val="5EFE7DB8"/>
    <w:rsid w:val="5F115799"/>
    <w:rsid w:val="605E1CDF"/>
    <w:rsid w:val="62366905"/>
    <w:rsid w:val="661121A6"/>
    <w:rsid w:val="671E17CB"/>
    <w:rsid w:val="67955334"/>
    <w:rsid w:val="6A241A87"/>
    <w:rsid w:val="6D732148"/>
    <w:rsid w:val="73F70596"/>
    <w:rsid w:val="746B1DAF"/>
    <w:rsid w:val="753352D6"/>
    <w:rsid w:val="7563412B"/>
    <w:rsid w:val="75ED5DAF"/>
    <w:rsid w:val="7A2E7AA9"/>
    <w:rsid w:val="7BD541D6"/>
    <w:rsid w:val="7CBF07B2"/>
    <w:rsid w:val="7DEA2EED"/>
    <w:rsid w:val="7F132988"/>
    <w:rsid w:val="7F4A401F"/>
    <w:rsid w:val="7F734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TotalTime>22</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2025-08-13T09:34:00Z</dcterms:created>
  <dc:creator>Administrator</dc:creator>
  <cp:lastModifiedBy>Administrator</cp:lastModifiedBy>
  <dcterms:modified xsi:type="dcterms:W3CDTF">2025-08-19T10:33:52Z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F09A702135E147509F15F1360340DE48_13</vt:lpwstr>
  </property>
</Properties>
</file>