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F32A4">
      <w:pPr>
        <w:spacing w:line="540" w:lineRule="exact"/>
        <w:jc w:val="center"/>
        <w:rPr>
          <w:rFonts w:hint="default" w:ascii="Times New Roman" w:hAnsi="Times New Roman" w:eastAsia="华文中宋" w:cs="Times New Roman"/>
          <w:b/>
          <w:kern w:val="0"/>
          <w:sz w:val="52"/>
          <w:szCs w:val="52"/>
        </w:rPr>
      </w:pPr>
    </w:p>
    <w:p w14:paraId="48FDA766">
      <w:pPr>
        <w:spacing w:line="540" w:lineRule="exact"/>
        <w:rPr>
          <w:rFonts w:hint="default" w:ascii="Times New Roman" w:hAnsi="Times New Roman" w:eastAsia="华文中宋" w:cs="Times New Roman"/>
          <w:b/>
          <w:kern w:val="0"/>
          <w:sz w:val="52"/>
          <w:szCs w:val="52"/>
        </w:rPr>
      </w:pPr>
    </w:p>
    <w:p w14:paraId="6E0D574B">
      <w:pPr>
        <w:spacing w:line="540" w:lineRule="exact"/>
        <w:jc w:val="center"/>
        <w:rPr>
          <w:rFonts w:hint="default" w:ascii="Times New Roman" w:hAnsi="Times New Roman" w:eastAsia="华文中宋" w:cs="Times New Roman"/>
          <w:b/>
          <w:kern w:val="0"/>
          <w:sz w:val="52"/>
          <w:szCs w:val="52"/>
        </w:rPr>
      </w:pPr>
    </w:p>
    <w:p w14:paraId="12CA64EC">
      <w:pPr>
        <w:spacing w:line="540" w:lineRule="exact"/>
        <w:jc w:val="center"/>
        <w:rPr>
          <w:rFonts w:hint="default" w:ascii="Times New Roman" w:hAnsi="Times New Roman" w:eastAsia="华文中宋" w:cs="Times New Roman"/>
          <w:b/>
          <w:kern w:val="0"/>
          <w:sz w:val="52"/>
          <w:szCs w:val="52"/>
        </w:rPr>
      </w:pPr>
    </w:p>
    <w:p w14:paraId="5D996E6F">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eastAsia="zh-CN"/>
        </w:rPr>
        <w:t>《</w:t>
      </w:r>
      <w:r>
        <w:rPr>
          <w:rFonts w:hint="default" w:ascii="Times New Roman" w:hAnsi="Times New Roman" w:eastAsia="方正小标宋_GBK" w:cs="Times New Roman"/>
          <w:kern w:val="0"/>
          <w:sz w:val="48"/>
          <w:szCs w:val="48"/>
        </w:rPr>
        <w:t>巴财企[2024]38号关于拨付2024年度服务业发展资金的通知</w:t>
      </w:r>
      <w:r>
        <w:rPr>
          <w:rFonts w:hint="eastAsia" w:eastAsia="方正小标宋_GBK" w:cs="Times New Roman"/>
          <w:kern w:val="0"/>
          <w:sz w:val="48"/>
          <w:szCs w:val="48"/>
          <w:lang w:eastAsia="zh-CN"/>
        </w:rPr>
        <w:t>》</w:t>
      </w:r>
      <w:r>
        <w:rPr>
          <w:rFonts w:hint="default" w:ascii="Times New Roman" w:hAnsi="Times New Roman" w:eastAsia="方正小标宋_GBK" w:cs="Times New Roman"/>
          <w:kern w:val="0"/>
          <w:sz w:val="48"/>
          <w:szCs w:val="48"/>
        </w:rPr>
        <w:t>项目支出绩效评价报告</w:t>
      </w:r>
    </w:p>
    <w:p w14:paraId="7B5E1CAF">
      <w:pPr>
        <w:spacing w:line="540" w:lineRule="exact"/>
        <w:jc w:val="center"/>
        <w:rPr>
          <w:rFonts w:hint="default" w:ascii="Times New Roman" w:hAnsi="Times New Roman" w:eastAsia="华文中宋" w:cs="Times New Roman"/>
          <w:b/>
          <w:kern w:val="0"/>
          <w:sz w:val="52"/>
          <w:szCs w:val="52"/>
        </w:rPr>
      </w:pPr>
    </w:p>
    <w:p w14:paraId="2D3C2816">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54A570D1">
      <w:pPr>
        <w:spacing w:line="540" w:lineRule="exact"/>
        <w:jc w:val="center"/>
        <w:rPr>
          <w:rFonts w:hint="default" w:ascii="Times New Roman" w:hAnsi="Times New Roman" w:eastAsia="仿宋_GB2312" w:cs="Times New Roman"/>
          <w:kern w:val="0"/>
          <w:sz w:val="30"/>
          <w:szCs w:val="30"/>
        </w:rPr>
      </w:pPr>
    </w:p>
    <w:p w14:paraId="2C02C609">
      <w:pPr>
        <w:spacing w:line="540" w:lineRule="exact"/>
        <w:jc w:val="center"/>
        <w:rPr>
          <w:rFonts w:hint="default" w:ascii="Times New Roman" w:hAnsi="Times New Roman" w:eastAsia="仿宋_GB2312" w:cs="Times New Roman"/>
          <w:kern w:val="0"/>
          <w:sz w:val="30"/>
          <w:szCs w:val="30"/>
        </w:rPr>
      </w:pPr>
    </w:p>
    <w:p w14:paraId="27167ECC">
      <w:pPr>
        <w:spacing w:line="540" w:lineRule="exact"/>
        <w:jc w:val="center"/>
        <w:rPr>
          <w:rFonts w:hint="default" w:ascii="Times New Roman" w:hAnsi="Times New Roman" w:eastAsia="仿宋_GB2312" w:cs="Times New Roman"/>
          <w:kern w:val="0"/>
          <w:sz w:val="30"/>
          <w:szCs w:val="30"/>
        </w:rPr>
      </w:pPr>
    </w:p>
    <w:p w14:paraId="716EDD36">
      <w:pPr>
        <w:pStyle w:val="11"/>
        <w:rPr>
          <w:rFonts w:hint="default" w:ascii="Times New Roman" w:hAnsi="Times New Roman" w:cs="Times New Roman"/>
        </w:rPr>
      </w:pPr>
    </w:p>
    <w:p w14:paraId="739E2D0C">
      <w:pPr>
        <w:spacing w:line="540" w:lineRule="exact"/>
        <w:jc w:val="center"/>
        <w:rPr>
          <w:rFonts w:hint="default" w:ascii="Times New Roman" w:hAnsi="Times New Roman" w:eastAsia="仿宋_GB2312" w:cs="Times New Roman"/>
          <w:kern w:val="0"/>
          <w:sz w:val="30"/>
          <w:szCs w:val="30"/>
        </w:rPr>
      </w:pPr>
    </w:p>
    <w:p w14:paraId="11104382">
      <w:pPr>
        <w:spacing w:line="540" w:lineRule="exact"/>
        <w:rPr>
          <w:rFonts w:hint="default" w:ascii="Times New Roman" w:hAnsi="Times New Roman" w:eastAsia="仿宋_GB2312" w:cs="Times New Roman"/>
          <w:kern w:val="0"/>
          <w:sz w:val="30"/>
          <w:szCs w:val="30"/>
        </w:rPr>
      </w:pPr>
    </w:p>
    <w:p w14:paraId="76C7F6A9">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项目名称：巴财企[2024]38号关于拨付2024年度服务业发展资金的通知</w:t>
      </w:r>
    </w:p>
    <w:p w14:paraId="3AD70745">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库尔勒市商务和工业信息化局</w:t>
      </w:r>
      <w:bookmarkStart w:id="3" w:name="_GoBack"/>
      <w:bookmarkEnd w:id="3"/>
    </w:p>
    <w:p w14:paraId="58400F23">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p>
    <w:p w14:paraId="7AD47DDA">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马瑞</w:t>
      </w:r>
    </w:p>
    <w:p w14:paraId="5C8E6426">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18</w:t>
      </w:r>
      <w:r>
        <w:rPr>
          <w:rFonts w:hint="default" w:ascii="Times New Roman" w:hAnsi="Times New Roman" w:eastAsia="仿宋_GB2312" w:cs="Times New Roman"/>
          <w:kern w:val="0"/>
          <w:sz w:val="36"/>
          <w:szCs w:val="36"/>
        </w:rPr>
        <w:t>日</w:t>
      </w:r>
    </w:p>
    <w:p w14:paraId="1CED0C0C">
      <w:pPr>
        <w:spacing w:line="540" w:lineRule="exact"/>
        <w:jc w:val="center"/>
        <w:rPr>
          <w:rFonts w:hint="default" w:ascii="Times New Roman" w:hAnsi="Times New Roman" w:eastAsia="仿宋_GB2312" w:cs="Times New Roman"/>
          <w:kern w:val="0"/>
          <w:sz w:val="30"/>
          <w:szCs w:val="30"/>
        </w:rPr>
      </w:pPr>
    </w:p>
    <w:p w14:paraId="21B8C8C7">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D36F981">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黑体_GBK" w:hAnsi="方正黑体_GBK" w:eastAsia="方正黑体_GBK" w:cs="方正黑体_GBK"/>
          <w:bCs/>
          <w:sz w:val="31"/>
          <w:szCs w:val="31"/>
        </w:rPr>
      </w:pPr>
      <w:r>
        <w:rPr>
          <w:rFonts w:hint="eastAsia" w:ascii="方正黑体_GBK" w:hAnsi="方正黑体_GBK" w:eastAsia="方正黑体_GBK" w:cs="方正黑体_GBK"/>
          <w:bCs/>
          <w:sz w:val="31"/>
          <w:szCs w:val="31"/>
        </w:rPr>
        <w:t>一、基本情况</w:t>
      </w:r>
    </w:p>
    <w:p w14:paraId="0FA2298C">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rPr>
        <w:t>（一）项目概况</w:t>
      </w:r>
    </w:p>
    <w:p w14:paraId="10992749">
      <w:pPr>
        <w:pageBreakBefore w:val="0"/>
        <w:kinsoku/>
        <w:wordWrap/>
        <w:overflowPunct/>
        <w:topLinePunct w:val="0"/>
        <w:autoSpaceDE/>
        <w:autoSpaceDN/>
        <w:bidi w:val="0"/>
        <w:adjustRightInd/>
        <w:snapToGrid/>
        <w:spacing w:line="560" w:lineRule="exact"/>
        <w:ind w:firstLine="622" w:firstLineChars="200"/>
        <w:textAlignment w:val="auto"/>
        <w:rPr>
          <w:rFonts w:hint="default" w:ascii="Times New Roman" w:hAnsi="Times New Roman" w:eastAsia="仿宋_GB2312" w:cs="Times New Roman"/>
          <w:b/>
          <w:bCs/>
          <w:sz w:val="31"/>
          <w:szCs w:val="31"/>
        </w:rPr>
      </w:pPr>
      <w:r>
        <w:rPr>
          <w:rFonts w:hint="eastAsia" w:ascii="方正仿宋_GBK" w:hAnsi="方正仿宋_GBK" w:eastAsia="方正仿宋_GBK" w:cs="方正仿宋_GBK"/>
          <w:b/>
          <w:bCs/>
          <w:sz w:val="31"/>
          <w:szCs w:val="31"/>
        </w:rPr>
        <w:t>1</w:t>
      </w:r>
      <w:r>
        <w:rPr>
          <w:rFonts w:hint="eastAsia" w:ascii="方正仿宋_GBK" w:hAnsi="方正仿宋_GBK" w:eastAsia="方正仿宋_GBK" w:cs="方正仿宋_GBK"/>
          <w:b/>
          <w:bCs/>
          <w:sz w:val="31"/>
          <w:szCs w:val="31"/>
          <w:lang w:val="en-US" w:eastAsia="zh-CN"/>
        </w:rPr>
        <w:t>、</w:t>
      </w:r>
      <w:r>
        <w:rPr>
          <w:rFonts w:hint="eastAsia" w:ascii="方正仿宋_GBK" w:hAnsi="方正仿宋_GBK" w:eastAsia="方正仿宋_GBK" w:cs="方正仿宋_GBK"/>
          <w:b/>
          <w:bCs/>
          <w:sz w:val="31"/>
          <w:szCs w:val="31"/>
        </w:rPr>
        <w:t>项目背景</w:t>
      </w:r>
    </w:p>
    <w:p w14:paraId="4A22DF7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highlight w:val="none"/>
          <w:lang w:val="en-US" w:eastAsia="zh-CN"/>
        </w:rPr>
      </w:pPr>
      <w:r>
        <w:rPr>
          <w:rFonts w:hint="default" w:ascii="Times New Roman" w:hAnsi="Times New Roman" w:eastAsia="方正仿宋_GBK" w:cs="Times New Roman"/>
          <w:color w:val="auto"/>
          <w:sz w:val="31"/>
          <w:szCs w:val="31"/>
          <w:lang w:val="en-US" w:eastAsia="zh-CN"/>
        </w:rPr>
        <w:t>根</w:t>
      </w:r>
      <w:r>
        <w:rPr>
          <w:rFonts w:hint="default" w:ascii="Times New Roman" w:hAnsi="Times New Roman" w:eastAsia="方正仿宋_GBK" w:cs="Times New Roman"/>
          <w:color w:val="auto"/>
          <w:sz w:val="31"/>
          <w:szCs w:val="31"/>
          <w:highlight w:val="none"/>
          <w:lang w:val="en-US" w:eastAsia="zh-CN"/>
        </w:rPr>
        <w:t>据《关于申报2024年度县域商业体系建设示范县（市、区）的通知》精神，结合《商务部等17部门关于加强县域商业体系建设促进农村消费的意见》（商流通发〔2021〕99号）、《商务部等15部门办公厅（室）关于印发&lt;县域商业建设指南&gt;的通知》（商办流通函〔2021〕322号）、《自治区印发&lt;新疆维吾尔自治区加强县域商业体系建设促进农村消费的实施方案&gt;的通知》（新政办发〔2021〕94号）等文件要求，围绕国家部委提出的“三个全覆盖”目标和7项约束性指标，以及我市“十四五”规划提出的建立完善市域统筹、以市区为中心、乡镇为重点、村为基础的农村商业体系。</w:t>
      </w:r>
    </w:p>
    <w:p w14:paraId="4A5AAA74">
      <w:pPr>
        <w:pStyle w:val="11"/>
        <w:pageBreakBefore w:val="0"/>
        <w:numPr>
          <w:ilvl w:val="0"/>
          <w:numId w:val="0"/>
        </w:numPr>
        <w:kinsoku/>
        <w:wordWrap/>
        <w:overflowPunct/>
        <w:topLinePunct w:val="0"/>
        <w:autoSpaceDE/>
        <w:autoSpaceDN/>
        <w:bidi w:val="0"/>
        <w:adjustRightInd/>
        <w:snapToGrid/>
        <w:spacing w:before="0" w:after="0" w:line="560" w:lineRule="exact"/>
        <w:ind w:firstLine="622" w:firstLineChars="200"/>
        <w:jc w:val="both"/>
        <w:textAlignment w:val="auto"/>
        <w:rPr>
          <w:rFonts w:hint="default" w:ascii="方正仿宋_GBK" w:hAnsi="方正仿宋_GBK" w:eastAsia="方正仿宋_GBK" w:cs="方正仿宋_GBK"/>
          <w:b/>
          <w:bCs/>
          <w:kern w:val="2"/>
          <w:sz w:val="31"/>
          <w:szCs w:val="31"/>
          <w:lang w:val="en-US" w:eastAsia="zh-CN" w:bidi="ar-SA"/>
        </w:rPr>
      </w:pPr>
      <w:r>
        <w:rPr>
          <w:rFonts w:hint="default" w:ascii="方正仿宋_GBK" w:hAnsi="方正仿宋_GBK" w:eastAsia="方正仿宋_GBK" w:cs="方正仿宋_GBK"/>
          <w:b/>
          <w:bCs/>
          <w:kern w:val="2"/>
          <w:sz w:val="31"/>
          <w:szCs w:val="31"/>
          <w:lang w:val="en-US" w:eastAsia="zh-CN" w:bidi="ar-SA"/>
        </w:rPr>
        <w:t>2</w:t>
      </w:r>
      <w:r>
        <w:rPr>
          <w:rFonts w:hint="eastAsia" w:ascii="方正仿宋_GBK" w:hAnsi="方正仿宋_GBK" w:eastAsia="方正仿宋_GBK" w:cs="方正仿宋_GBK"/>
          <w:b/>
          <w:bCs/>
          <w:kern w:val="2"/>
          <w:sz w:val="31"/>
          <w:szCs w:val="31"/>
          <w:lang w:val="en-US" w:eastAsia="zh-CN" w:bidi="ar-SA"/>
        </w:rPr>
        <w:t>、</w:t>
      </w:r>
      <w:r>
        <w:rPr>
          <w:rFonts w:hint="default" w:ascii="方正仿宋_GBK" w:hAnsi="方正仿宋_GBK" w:eastAsia="方正仿宋_GBK" w:cs="方正仿宋_GBK"/>
          <w:b/>
          <w:bCs/>
          <w:kern w:val="2"/>
          <w:sz w:val="31"/>
          <w:szCs w:val="31"/>
          <w:lang w:val="en-US" w:eastAsia="zh-CN" w:bidi="ar-SA"/>
        </w:rPr>
        <w:t>项目主要内容</w:t>
      </w:r>
    </w:p>
    <w:p w14:paraId="32994131">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highlight w:val="none"/>
          <w:lang w:val="en-US" w:eastAsia="zh-CN"/>
        </w:rPr>
      </w:pPr>
      <w:r>
        <w:rPr>
          <w:rFonts w:hint="default" w:ascii="Times New Roman" w:hAnsi="Times New Roman" w:eastAsia="方正仿宋_GBK" w:cs="Times New Roman"/>
          <w:color w:val="auto"/>
          <w:sz w:val="31"/>
          <w:szCs w:val="31"/>
          <w:lang w:val="en-US" w:eastAsia="zh-CN"/>
        </w:rPr>
        <w:t>项目主要内容</w:t>
      </w:r>
      <w:r>
        <w:rPr>
          <w:rFonts w:hint="default" w:ascii="Times New Roman" w:hAnsi="Times New Roman" w:eastAsia="方正仿宋_GBK" w:cs="Times New Roman"/>
          <w:color w:val="auto"/>
          <w:sz w:val="31"/>
          <w:szCs w:val="31"/>
          <w:highlight w:val="none"/>
          <w:lang w:val="en-US" w:eastAsia="zh-CN"/>
        </w:rPr>
        <w:t>：</w:t>
      </w:r>
    </w:p>
    <w:p w14:paraId="11E48DE6">
      <w:pPr>
        <w:pageBreakBefore w:val="0"/>
        <w:kinsoku/>
        <w:wordWrap/>
        <w:overflowPunct/>
        <w:topLinePunct w:val="0"/>
        <w:autoSpaceDE/>
        <w:autoSpaceDN/>
        <w:bidi w:val="0"/>
        <w:adjustRightInd/>
        <w:snapToGrid/>
        <w:spacing w:line="560" w:lineRule="exact"/>
        <w:ind w:firstLine="604" w:firstLineChars="200"/>
        <w:textAlignment w:val="auto"/>
        <w:rPr>
          <w:rStyle w:val="17"/>
          <w:rFonts w:hint="default" w:ascii="Times New Roman" w:hAnsi="Times New Roman" w:eastAsia="黑体" w:cs="Times New Roman"/>
          <w:b w:val="0"/>
          <w:bCs/>
          <w:spacing w:val="-4"/>
          <w:sz w:val="31"/>
          <w:szCs w:val="31"/>
          <w:highlight w:val="none"/>
          <w:lang w:eastAsia="zh-CN"/>
        </w:rPr>
      </w:pPr>
      <w:r>
        <w:rPr>
          <w:rStyle w:val="17"/>
          <w:rFonts w:hint="eastAsia" w:ascii="Calibri" w:hAnsi="Calibri" w:eastAsia="黑体" w:cs="Calibri"/>
          <w:b w:val="0"/>
          <w:bCs/>
          <w:spacing w:val="-4"/>
          <w:sz w:val="31"/>
          <w:szCs w:val="31"/>
          <w:highlight w:val="none"/>
          <w:lang w:eastAsia="zh-CN"/>
        </w:rPr>
        <w:t>（</w:t>
      </w:r>
      <w:r>
        <w:rPr>
          <w:rStyle w:val="17"/>
          <w:rFonts w:hint="eastAsia" w:ascii="Calibri" w:hAnsi="Calibri" w:eastAsia="黑体" w:cs="Calibri"/>
          <w:b w:val="0"/>
          <w:bCs/>
          <w:spacing w:val="-4"/>
          <w:sz w:val="31"/>
          <w:szCs w:val="31"/>
          <w:highlight w:val="none"/>
          <w:lang w:val="en-US" w:eastAsia="zh-CN"/>
        </w:rPr>
        <w:t>1</w:t>
      </w:r>
      <w:r>
        <w:rPr>
          <w:rStyle w:val="17"/>
          <w:rFonts w:hint="eastAsia" w:ascii="Calibri" w:hAnsi="Calibri" w:eastAsia="黑体" w:cs="Calibri"/>
          <w:b w:val="0"/>
          <w:bCs/>
          <w:spacing w:val="-4"/>
          <w:sz w:val="31"/>
          <w:szCs w:val="31"/>
          <w:highlight w:val="none"/>
          <w:lang w:eastAsia="zh-CN"/>
        </w:rPr>
        <w:t>）</w:t>
      </w:r>
      <w:r>
        <w:rPr>
          <w:rStyle w:val="17"/>
          <w:rFonts w:hint="default" w:ascii="Times New Roman" w:hAnsi="Times New Roman" w:eastAsia="黑体" w:cs="Times New Roman"/>
          <w:b w:val="0"/>
          <w:bCs/>
          <w:spacing w:val="-4"/>
          <w:sz w:val="31"/>
          <w:szCs w:val="31"/>
          <w:highlight w:val="none"/>
        </w:rPr>
        <w:t>新疆博海市场管理有限公司海宝市场升级改造项目</w:t>
      </w:r>
      <w:r>
        <w:rPr>
          <w:rStyle w:val="17"/>
          <w:rFonts w:hint="default" w:ascii="Times New Roman" w:hAnsi="Times New Roman" w:eastAsia="黑体" w:cs="Times New Roman"/>
          <w:b w:val="0"/>
          <w:bCs/>
          <w:spacing w:val="-4"/>
          <w:sz w:val="31"/>
          <w:szCs w:val="31"/>
          <w:highlight w:val="none"/>
          <w:lang w:eastAsia="zh-CN"/>
        </w:rPr>
        <w:t>。</w:t>
      </w:r>
    </w:p>
    <w:p w14:paraId="59F22763">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将</w:t>
      </w:r>
      <w:r>
        <w:rPr>
          <w:rFonts w:hint="default" w:ascii="Times New Roman" w:hAnsi="Times New Roman" w:eastAsia="方正仿宋_GBK" w:cs="Times New Roman"/>
          <w:color w:val="auto"/>
          <w:sz w:val="31"/>
          <w:szCs w:val="31"/>
          <w:lang w:val="en-US" w:eastAsia="zh-CN"/>
        </w:rPr>
        <w:t>现有蔬菜、肉类、鸡类、水果类用钢架大棚统一起来，地板重新铺装，门面房外观重新穿衣戴帽。改建一座蔬菜大棚，新建四座钢架大棚，作为生活超市。西侧新建一座阳光花房，结合两边的一层和地下室，改造成花鸟宠物市场，并且协调政府从南库大道开设大车出入口。东侧修建钢结构封闭式大棚，改造成夜市烧烤区，一年四季均可使用。</w:t>
      </w:r>
    </w:p>
    <w:p w14:paraId="5B523EA4">
      <w:pPr>
        <w:pageBreakBefore w:val="0"/>
        <w:kinsoku/>
        <w:wordWrap/>
        <w:overflowPunct/>
        <w:topLinePunct w:val="0"/>
        <w:autoSpaceDE/>
        <w:autoSpaceDN/>
        <w:bidi w:val="0"/>
        <w:adjustRightInd/>
        <w:snapToGrid/>
        <w:spacing w:line="560" w:lineRule="exact"/>
        <w:ind w:firstLine="604" w:firstLineChars="200"/>
        <w:textAlignment w:val="auto"/>
        <w:rPr>
          <w:rStyle w:val="17"/>
          <w:rFonts w:hint="default" w:ascii="Times New Roman" w:hAnsi="Times New Roman" w:eastAsia="黑体" w:cs="Times New Roman"/>
          <w:b w:val="0"/>
          <w:bCs/>
          <w:spacing w:val="-4"/>
          <w:sz w:val="31"/>
          <w:szCs w:val="31"/>
          <w:highlight w:val="none"/>
          <w:lang w:val="en-US" w:eastAsia="zh-CN"/>
        </w:rPr>
      </w:pPr>
      <w:r>
        <w:rPr>
          <w:rStyle w:val="17"/>
          <w:rFonts w:hint="eastAsia" w:eastAsia="黑体" w:cs="Times New Roman"/>
          <w:b w:val="0"/>
          <w:bCs/>
          <w:spacing w:val="-4"/>
          <w:sz w:val="31"/>
          <w:szCs w:val="31"/>
          <w:highlight w:val="none"/>
          <w:lang w:val="en-US" w:eastAsia="zh-CN"/>
        </w:rPr>
        <w:t>（2）</w:t>
      </w:r>
      <w:r>
        <w:rPr>
          <w:rStyle w:val="17"/>
          <w:rFonts w:hint="default" w:ascii="Times New Roman" w:hAnsi="Times New Roman" w:eastAsia="黑体" w:cs="Times New Roman"/>
          <w:b w:val="0"/>
          <w:bCs/>
          <w:spacing w:val="-4"/>
          <w:sz w:val="31"/>
          <w:szCs w:val="31"/>
          <w:highlight w:val="none"/>
          <w:lang w:val="en-US" w:eastAsia="zh-CN"/>
        </w:rPr>
        <w:t>果蔬分选初加工及配送项目</w:t>
      </w:r>
    </w:p>
    <w:p w14:paraId="004A42A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在新疆巴州库尔勒市九鼎市场3号楼打造一个集仓储、分拣、包装、装卸、运输的物流基地，提升香梨市场商品质量和品质，助推林果提质增效。项目建设的主要内容包括：①采购安装工业地板；②建设周转库及成品库；③采购保鲜膜包装设备及辅材④采购数字分选设备及配套；⑤采购辅材⑥物流车辆采购及其相关费用⑦其他费用通过项目建设，发挥公司分选加工及物流优势，开展农产品进城快递配送服务，降低物流成本，拓宽销售渠道，带动县域商业整体提升，推动乡镇经济发展，提高农民收入。</w:t>
      </w:r>
    </w:p>
    <w:p w14:paraId="15A24A75">
      <w:pPr>
        <w:pageBreakBefore w:val="0"/>
        <w:kinsoku/>
        <w:wordWrap/>
        <w:overflowPunct/>
        <w:topLinePunct w:val="0"/>
        <w:autoSpaceDE/>
        <w:autoSpaceDN/>
        <w:bidi w:val="0"/>
        <w:adjustRightInd/>
        <w:snapToGrid/>
        <w:spacing w:line="560" w:lineRule="exact"/>
        <w:ind w:firstLine="604" w:firstLineChars="200"/>
        <w:textAlignment w:val="auto"/>
        <w:rPr>
          <w:rStyle w:val="17"/>
          <w:rFonts w:hint="default" w:ascii="Times New Roman" w:hAnsi="Times New Roman" w:eastAsia="黑体" w:cs="Times New Roman"/>
          <w:b w:val="0"/>
          <w:bCs/>
          <w:spacing w:val="-4"/>
          <w:sz w:val="31"/>
          <w:szCs w:val="31"/>
          <w:highlight w:val="none"/>
          <w:lang w:val="en-US" w:eastAsia="zh-CN"/>
        </w:rPr>
      </w:pPr>
      <w:r>
        <w:rPr>
          <w:rStyle w:val="17"/>
          <w:rFonts w:hint="eastAsia" w:ascii="Times New Roman" w:hAnsi="Times New Roman" w:eastAsia="黑体" w:cs="Times New Roman"/>
          <w:b w:val="0"/>
          <w:bCs/>
          <w:spacing w:val="-4"/>
          <w:sz w:val="31"/>
          <w:szCs w:val="31"/>
          <w:highlight w:val="none"/>
          <w:lang w:val="en-US" w:eastAsia="zh-CN"/>
        </w:rPr>
        <w:t>（</w:t>
      </w:r>
      <w:r>
        <w:rPr>
          <w:rStyle w:val="17"/>
          <w:rFonts w:hint="eastAsia" w:eastAsia="黑体" w:cs="Times New Roman"/>
          <w:b w:val="0"/>
          <w:bCs/>
          <w:spacing w:val="-4"/>
          <w:sz w:val="31"/>
          <w:szCs w:val="31"/>
          <w:highlight w:val="none"/>
          <w:lang w:val="en-US" w:eastAsia="zh-CN"/>
        </w:rPr>
        <w:t>3</w:t>
      </w:r>
      <w:r>
        <w:rPr>
          <w:rStyle w:val="17"/>
          <w:rFonts w:hint="eastAsia" w:ascii="Times New Roman" w:hAnsi="Times New Roman" w:eastAsia="黑体" w:cs="Times New Roman"/>
          <w:b w:val="0"/>
          <w:bCs/>
          <w:spacing w:val="-4"/>
          <w:sz w:val="31"/>
          <w:szCs w:val="31"/>
          <w:highlight w:val="none"/>
          <w:lang w:val="en-US" w:eastAsia="zh-CN"/>
        </w:rPr>
        <w:t>）新疆库尔勒铁克其乡上恰其村鑫华市场改造</w:t>
      </w:r>
    </w:p>
    <w:p w14:paraId="6073500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本项目为库尔勒铁克其乡上恰其村鑫华综合批发市场改造提升工程，该市场改造 提升后不仅可与乡镇商铺发展连锁经营，进一步畅通了工业品下乡和农产品进城渠道，还成为展现库尔勒市文明城市形象的重要窗口，在活跃地方经济、推动相关产业发展方面发挥了重要作用。项目建设的主要内容包括：①鑫华市场外墙改造；②花卉大棚市场改造；③市场电力设施提升改造。</w:t>
      </w:r>
    </w:p>
    <w:p w14:paraId="1309FB93">
      <w:pPr>
        <w:pageBreakBefore w:val="0"/>
        <w:kinsoku/>
        <w:wordWrap/>
        <w:overflowPunct/>
        <w:topLinePunct w:val="0"/>
        <w:autoSpaceDE/>
        <w:autoSpaceDN/>
        <w:bidi w:val="0"/>
        <w:adjustRightInd/>
        <w:snapToGrid/>
        <w:spacing w:line="560" w:lineRule="exact"/>
        <w:ind w:firstLine="604" w:firstLineChars="200"/>
        <w:textAlignment w:val="auto"/>
        <w:rPr>
          <w:rStyle w:val="17"/>
          <w:rFonts w:hint="default" w:ascii="Times New Roman" w:hAnsi="Times New Roman" w:eastAsia="黑体" w:cs="Times New Roman"/>
          <w:b w:val="0"/>
          <w:bCs/>
          <w:spacing w:val="-4"/>
          <w:sz w:val="31"/>
          <w:szCs w:val="31"/>
          <w:highlight w:val="none"/>
          <w:lang w:val="en-US" w:eastAsia="zh-CN"/>
        </w:rPr>
      </w:pPr>
      <w:r>
        <w:rPr>
          <w:rStyle w:val="17"/>
          <w:rFonts w:hint="eastAsia" w:ascii="Times New Roman" w:hAnsi="Times New Roman" w:eastAsia="黑体" w:cs="Times New Roman"/>
          <w:b w:val="0"/>
          <w:bCs/>
          <w:spacing w:val="-4"/>
          <w:sz w:val="31"/>
          <w:szCs w:val="31"/>
          <w:highlight w:val="none"/>
          <w:lang w:val="en-US" w:eastAsia="zh-CN"/>
        </w:rPr>
        <w:t>（</w:t>
      </w:r>
      <w:r>
        <w:rPr>
          <w:rStyle w:val="17"/>
          <w:rFonts w:hint="eastAsia" w:eastAsia="黑体" w:cs="Times New Roman"/>
          <w:b w:val="0"/>
          <w:bCs/>
          <w:spacing w:val="-4"/>
          <w:sz w:val="31"/>
          <w:szCs w:val="31"/>
          <w:highlight w:val="none"/>
          <w:lang w:val="en-US" w:eastAsia="zh-CN"/>
        </w:rPr>
        <w:t>4</w:t>
      </w:r>
      <w:r>
        <w:rPr>
          <w:rStyle w:val="17"/>
          <w:rFonts w:hint="eastAsia" w:ascii="Times New Roman" w:hAnsi="Times New Roman" w:eastAsia="黑体" w:cs="Times New Roman"/>
          <w:b w:val="0"/>
          <w:bCs/>
          <w:spacing w:val="-4"/>
          <w:sz w:val="31"/>
          <w:szCs w:val="31"/>
          <w:highlight w:val="none"/>
          <w:lang w:val="en-US" w:eastAsia="zh-CN"/>
        </w:rPr>
        <w:t>）</w:t>
      </w:r>
      <w:r>
        <w:rPr>
          <w:rStyle w:val="17"/>
          <w:rFonts w:hint="default" w:ascii="Times New Roman" w:hAnsi="Times New Roman" w:eastAsia="黑体" w:cs="Times New Roman"/>
          <w:b w:val="0"/>
          <w:bCs/>
          <w:spacing w:val="-4"/>
          <w:sz w:val="31"/>
          <w:szCs w:val="31"/>
          <w:highlight w:val="none"/>
          <w:lang w:val="en-US" w:eastAsia="zh-CN"/>
        </w:rPr>
        <w:t>库尔勒市牛羊肉初加工（设施设备）</w:t>
      </w:r>
      <w:r>
        <w:rPr>
          <w:rStyle w:val="17"/>
          <w:rFonts w:hint="eastAsia" w:ascii="Times New Roman" w:hAnsi="Times New Roman" w:eastAsia="黑体" w:cs="Times New Roman"/>
          <w:b w:val="0"/>
          <w:bCs/>
          <w:spacing w:val="-4"/>
          <w:sz w:val="31"/>
          <w:szCs w:val="31"/>
          <w:highlight w:val="none"/>
          <w:lang w:val="en-US" w:eastAsia="zh-CN"/>
        </w:rPr>
        <w:t>项目</w:t>
      </w:r>
    </w:p>
    <w:p w14:paraId="5C494EF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购置并安装农产品加工设施设备，包括屠宰、冷库等。</w:t>
      </w:r>
    </w:p>
    <w:p w14:paraId="53EAB04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highlight w:val="none"/>
          <w:lang w:val="en-US" w:eastAsia="zh-CN"/>
        </w:rPr>
      </w:pPr>
      <w:r>
        <w:rPr>
          <w:rFonts w:hint="default" w:ascii="Times New Roman" w:hAnsi="Times New Roman" w:eastAsia="方正仿宋_GBK" w:cs="Times New Roman"/>
          <w:color w:val="auto"/>
          <w:sz w:val="31"/>
          <w:szCs w:val="31"/>
          <w:highlight w:val="none"/>
          <w:lang w:val="en-US" w:eastAsia="zh-CN"/>
        </w:rPr>
        <w:t>项目实施情况：</w:t>
      </w:r>
    </w:p>
    <w:p w14:paraId="16D5A560">
      <w:pPr>
        <w:pageBreakBefore w:val="0"/>
        <w:kinsoku/>
        <w:wordWrap/>
        <w:overflowPunct/>
        <w:topLinePunct w:val="0"/>
        <w:autoSpaceDE/>
        <w:autoSpaceDN/>
        <w:bidi w:val="0"/>
        <w:adjustRightInd/>
        <w:snapToGrid/>
        <w:spacing w:line="560" w:lineRule="exact"/>
        <w:ind w:firstLine="604" w:firstLineChars="200"/>
        <w:textAlignment w:val="auto"/>
        <w:rPr>
          <w:rStyle w:val="17"/>
          <w:rFonts w:hint="default" w:ascii="Times New Roman" w:hAnsi="Times New Roman" w:eastAsia="黑体" w:cs="Times New Roman"/>
          <w:b w:val="0"/>
          <w:bCs/>
          <w:spacing w:val="-4"/>
          <w:sz w:val="31"/>
          <w:szCs w:val="31"/>
          <w:highlight w:val="none"/>
          <w:lang w:eastAsia="zh-CN"/>
        </w:rPr>
      </w:pPr>
      <w:r>
        <w:rPr>
          <w:rStyle w:val="17"/>
          <w:rFonts w:hint="eastAsia" w:ascii="Calibri" w:hAnsi="Calibri" w:eastAsia="黑体" w:cs="Calibri"/>
          <w:b w:val="0"/>
          <w:bCs/>
          <w:spacing w:val="-4"/>
          <w:sz w:val="31"/>
          <w:szCs w:val="31"/>
          <w:highlight w:val="none"/>
          <w:lang w:eastAsia="zh-CN"/>
        </w:rPr>
        <w:t>（</w:t>
      </w:r>
      <w:r>
        <w:rPr>
          <w:rStyle w:val="17"/>
          <w:rFonts w:hint="eastAsia" w:ascii="Calibri" w:hAnsi="Calibri" w:eastAsia="黑体" w:cs="Calibri"/>
          <w:b w:val="0"/>
          <w:bCs/>
          <w:spacing w:val="-4"/>
          <w:sz w:val="31"/>
          <w:szCs w:val="31"/>
          <w:highlight w:val="none"/>
          <w:lang w:val="en-US" w:eastAsia="zh-CN"/>
        </w:rPr>
        <w:t>1</w:t>
      </w:r>
      <w:r>
        <w:rPr>
          <w:rStyle w:val="17"/>
          <w:rFonts w:hint="eastAsia" w:ascii="Calibri" w:hAnsi="Calibri" w:eastAsia="黑体" w:cs="Calibri"/>
          <w:b w:val="0"/>
          <w:bCs/>
          <w:spacing w:val="-4"/>
          <w:sz w:val="31"/>
          <w:szCs w:val="31"/>
          <w:highlight w:val="none"/>
          <w:lang w:eastAsia="zh-CN"/>
        </w:rPr>
        <w:t>）</w:t>
      </w:r>
      <w:r>
        <w:rPr>
          <w:rStyle w:val="17"/>
          <w:rFonts w:hint="default" w:ascii="Times New Roman" w:hAnsi="Times New Roman" w:eastAsia="黑体" w:cs="Times New Roman"/>
          <w:b w:val="0"/>
          <w:bCs/>
          <w:spacing w:val="-4"/>
          <w:sz w:val="31"/>
          <w:szCs w:val="31"/>
          <w:highlight w:val="none"/>
        </w:rPr>
        <w:t>新疆博海市场管理有限公司海宝市场升级改造项目</w:t>
      </w:r>
      <w:r>
        <w:rPr>
          <w:rStyle w:val="17"/>
          <w:rFonts w:hint="default" w:ascii="Times New Roman" w:hAnsi="Times New Roman" w:eastAsia="黑体" w:cs="Times New Roman"/>
          <w:b w:val="0"/>
          <w:bCs/>
          <w:spacing w:val="-4"/>
          <w:sz w:val="31"/>
          <w:szCs w:val="31"/>
          <w:highlight w:val="none"/>
          <w:lang w:eastAsia="zh-CN"/>
        </w:rPr>
        <w:t>。</w:t>
      </w:r>
    </w:p>
    <w:p w14:paraId="1C5002E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lang w:val="en-US" w:eastAsia="zh-CN"/>
        </w:rPr>
      </w:pPr>
      <w:r>
        <w:rPr>
          <w:rFonts w:hint="default" w:ascii="Calibri" w:hAnsi="Calibri" w:eastAsia="方正仿宋_GBK" w:cs="Calibri"/>
          <w:color w:val="auto"/>
          <w:sz w:val="31"/>
          <w:szCs w:val="31"/>
          <w:lang w:val="en-US" w:eastAsia="zh-CN"/>
        </w:rPr>
        <w:t>①</w:t>
      </w:r>
      <w:r>
        <w:rPr>
          <w:rFonts w:hint="default" w:ascii="Times New Roman" w:hAnsi="Times New Roman" w:eastAsia="方正仿宋_GBK" w:cs="Times New Roman"/>
          <w:color w:val="auto"/>
          <w:sz w:val="31"/>
          <w:szCs w:val="31"/>
          <w:lang w:val="en-US" w:eastAsia="zh-CN"/>
        </w:rPr>
        <w:t>外墙改造及屋面防水施工11000平方米、断桥隔热铝合金门窗更换820平方米、内墙施工7500平方米、外墙真石漆施工15000平方米、内墙真石漆施工950平方米。完成投资1103.48 万元。完成比例80%，达成目标80%</w:t>
      </w:r>
      <w:r>
        <w:rPr>
          <w:rFonts w:hint="eastAsia" w:ascii="Times New Roman" w:hAnsi="Times New Roman" w:eastAsia="方正仿宋_GBK" w:cs="Times New Roman"/>
          <w:color w:val="auto"/>
          <w:sz w:val="31"/>
          <w:szCs w:val="31"/>
          <w:lang w:val="en-US" w:eastAsia="zh-CN"/>
        </w:rPr>
        <w:t>。</w:t>
      </w:r>
    </w:p>
    <w:p w14:paraId="24DCD35C">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Calibri" w:hAnsi="Calibri" w:eastAsia="方正仿宋_GBK" w:cs="Calibri"/>
          <w:color w:val="auto"/>
          <w:sz w:val="31"/>
          <w:szCs w:val="31"/>
          <w:lang w:val="en-US" w:eastAsia="zh-CN"/>
        </w:rPr>
        <w:t>②</w:t>
      </w:r>
      <w:r>
        <w:rPr>
          <w:rFonts w:hint="default" w:ascii="Times New Roman" w:hAnsi="Times New Roman" w:eastAsia="方正仿宋_GBK" w:cs="Times New Roman"/>
          <w:color w:val="auto"/>
          <w:sz w:val="31"/>
          <w:szCs w:val="31"/>
          <w:lang w:val="en-US" w:eastAsia="zh-CN"/>
        </w:rPr>
        <w:t>现浇混凝土路面46322.2平方米，完成投资694.83万元，完成比例100%，达成目标100%。</w:t>
      </w:r>
    </w:p>
    <w:p w14:paraId="6441BA30">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Calibri" w:hAnsi="Calibri" w:eastAsia="方正仿宋_GBK" w:cs="Calibri"/>
          <w:color w:val="auto"/>
          <w:sz w:val="31"/>
          <w:szCs w:val="31"/>
          <w:lang w:val="en-US" w:eastAsia="zh-CN"/>
        </w:rPr>
        <w:t>③</w:t>
      </w:r>
      <w:r>
        <w:rPr>
          <w:rFonts w:hint="default" w:ascii="Times New Roman" w:hAnsi="Times New Roman" w:eastAsia="方正仿宋_GBK" w:cs="Times New Roman"/>
          <w:color w:val="auto"/>
          <w:sz w:val="31"/>
          <w:szCs w:val="31"/>
          <w:lang w:val="en-US" w:eastAsia="zh-CN"/>
        </w:rPr>
        <w:t>钢结构工程，完成投资69.24万元，完成比例50%，达成目标50%。</w:t>
      </w:r>
    </w:p>
    <w:p w14:paraId="2C8B4AA3">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Calibri" w:hAnsi="Calibri" w:eastAsia="方正仿宋_GBK" w:cs="Calibri"/>
          <w:color w:val="auto"/>
          <w:sz w:val="31"/>
          <w:szCs w:val="31"/>
          <w:lang w:val="en-US" w:eastAsia="zh-CN"/>
        </w:rPr>
        <w:t>④</w:t>
      </w:r>
      <w:r>
        <w:rPr>
          <w:rFonts w:hint="default" w:ascii="Times New Roman" w:hAnsi="Times New Roman" w:eastAsia="方正仿宋_GBK" w:cs="Times New Roman"/>
          <w:color w:val="auto"/>
          <w:sz w:val="31"/>
          <w:szCs w:val="31"/>
          <w:lang w:val="en-US" w:eastAsia="zh-CN"/>
        </w:rPr>
        <w:t>室内用电及给排水改造。完成投资136.74万元，完成比例30%，达成目标30%。</w:t>
      </w:r>
    </w:p>
    <w:p w14:paraId="1DF82DC1">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Calibri" w:hAnsi="Calibri" w:eastAsia="方正仿宋_GBK" w:cs="Calibri"/>
          <w:color w:val="auto"/>
          <w:sz w:val="31"/>
          <w:szCs w:val="31"/>
          <w:lang w:val="en-US" w:eastAsia="zh-CN"/>
        </w:rPr>
        <w:t>⑤</w:t>
      </w:r>
      <w:r>
        <w:rPr>
          <w:rFonts w:hint="default" w:ascii="Times New Roman" w:hAnsi="Times New Roman" w:eastAsia="方正仿宋_GBK" w:cs="Times New Roman"/>
          <w:color w:val="auto"/>
          <w:sz w:val="31"/>
          <w:szCs w:val="31"/>
          <w:lang w:val="en-US" w:eastAsia="zh-CN"/>
        </w:rPr>
        <w:t>消防改造及地面改造施工。完成投资95.59万元，完成比例70%，达成目标70%。</w:t>
      </w:r>
    </w:p>
    <w:p w14:paraId="2F9DB0A0">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Calibri" w:hAnsi="Calibri" w:eastAsia="方正仿宋_GBK" w:cs="Calibri"/>
          <w:color w:val="auto"/>
          <w:sz w:val="31"/>
          <w:szCs w:val="31"/>
          <w:lang w:val="en-US" w:eastAsia="zh-CN"/>
        </w:rPr>
        <w:t>⑥</w:t>
      </w:r>
      <w:r>
        <w:rPr>
          <w:rFonts w:hint="default" w:ascii="Times New Roman" w:hAnsi="Times New Roman" w:eastAsia="方正仿宋_GBK" w:cs="Times New Roman"/>
          <w:color w:val="auto"/>
          <w:sz w:val="31"/>
          <w:szCs w:val="31"/>
          <w:lang w:val="en-US" w:eastAsia="zh-CN"/>
        </w:rPr>
        <w:t>原蔬菜大棚（2400平方米）改造完毕。完成投资339.64 万元，完成比例100%，达成目标100%。</w:t>
      </w:r>
    </w:p>
    <w:p w14:paraId="18A40F0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Calibri" w:hAnsi="Calibri" w:eastAsia="方正仿宋_GBK" w:cs="Calibri"/>
          <w:color w:val="auto"/>
          <w:sz w:val="31"/>
          <w:szCs w:val="31"/>
          <w:lang w:val="en-US" w:eastAsia="zh-CN"/>
        </w:rPr>
        <w:t>⑦</w:t>
      </w:r>
      <w:r>
        <w:rPr>
          <w:rFonts w:hint="default" w:ascii="Times New Roman" w:hAnsi="Times New Roman" w:eastAsia="方正仿宋_GBK" w:cs="Times New Roman"/>
          <w:color w:val="auto"/>
          <w:sz w:val="31"/>
          <w:szCs w:val="31"/>
          <w:lang w:val="en-US" w:eastAsia="zh-CN"/>
        </w:rPr>
        <w:t>新建设四座大棚约8000平方米，完成投资438.63万元，完成比例 35%，达成目标35%。</w:t>
      </w:r>
    </w:p>
    <w:p w14:paraId="0A2A951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Calibri" w:hAnsi="Calibri" w:eastAsia="方正仿宋_GBK" w:cs="Calibri"/>
          <w:color w:val="auto"/>
          <w:sz w:val="31"/>
          <w:szCs w:val="31"/>
          <w:lang w:val="en-US" w:eastAsia="zh-CN"/>
        </w:rPr>
        <w:t>⑧</w:t>
      </w:r>
      <w:r>
        <w:rPr>
          <w:rFonts w:hint="default" w:ascii="Times New Roman" w:hAnsi="Times New Roman" w:eastAsia="方正仿宋_GBK" w:cs="Times New Roman"/>
          <w:color w:val="auto"/>
          <w:sz w:val="31"/>
          <w:szCs w:val="31"/>
          <w:lang w:val="en-US" w:eastAsia="zh-CN"/>
        </w:rPr>
        <w:t>电力增容改造。完成投资30.80万元，完成比例20%，达成目标20%。</w:t>
      </w:r>
    </w:p>
    <w:p w14:paraId="75E3D0F2">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Calibri" w:hAnsi="Calibri" w:eastAsia="方正仿宋_GBK" w:cs="Calibri"/>
          <w:color w:val="auto"/>
          <w:sz w:val="31"/>
          <w:szCs w:val="31"/>
          <w:lang w:val="en-US" w:eastAsia="zh-CN"/>
        </w:rPr>
        <w:t>⑨</w:t>
      </w:r>
      <w:r>
        <w:rPr>
          <w:rFonts w:hint="default" w:ascii="Times New Roman" w:hAnsi="Times New Roman" w:eastAsia="方正仿宋_GBK" w:cs="Times New Roman"/>
          <w:color w:val="auto"/>
          <w:sz w:val="31"/>
          <w:szCs w:val="31"/>
          <w:lang w:val="en-US" w:eastAsia="zh-CN"/>
        </w:rPr>
        <w:t>13#化粪池，完成投资0万元，完成比例 0%，达成目标0%。</w:t>
      </w:r>
    </w:p>
    <w:p w14:paraId="6A696D8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Calibri" w:hAnsi="Calibri" w:eastAsia="方正仿宋_GBK" w:cs="Calibri"/>
          <w:color w:val="auto"/>
          <w:sz w:val="31"/>
          <w:szCs w:val="31"/>
          <w:lang w:val="en-US" w:eastAsia="zh-CN"/>
        </w:rPr>
        <w:t>⑩</w:t>
      </w:r>
      <w:r>
        <w:rPr>
          <w:rFonts w:hint="default" w:ascii="Times New Roman" w:hAnsi="Times New Roman" w:eastAsia="方正仿宋_GBK" w:cs="Times New Roman"/>
          <w:color w:val="auto"/>
          <w:sz w:val="31"/>
          <w:szCs w:val="31"/>
          <w:lang w:val="en-US" w:eastAsia="zh-CN"/>
        </w:rPr>
        <w:t>智慧农贸系统，完成投资16.9万元，完成比例17%，达成目标17%。</w:t>
      </w:r>
    </w:p>
    <w:p w14:paraId="0F2B6672">
      <w:pPr>
        <w:pageBreakBefore w:val="0"/>
        <w:kinsoku/>
        <w:wordWrap/>
        <w:overflowPunct/>
        <w:topLinePunct w:val="0"/>
        <w:autoSpaceDE/>
        <w:autoSpaceDN/>
        <w:bidi w:val="0"/>
        <w:adjustRightInd/>
        <w:snapToGrid/>
        <w:spacing w:line="560" w:lineRule="exact"/>
        <w:ind w:firstLine="604" w:firstLineChars="200"/>
        <w:textAlignment w:val="auto"/>
        <w:rPr>
          <w:rStyle w:val="17"/>
          <w:rFonts w:hint="default" w:ascii="Times New Roman" w:hAnsi="Times New Roman" w:eastAsia="黑体" w:cs="Times New Roman"/>
          <w:b w:val="0"/>
          <w:bCs/>
          <w:spacing w:val="-4"/>
          <w:sz w:val="31"/>
          <w:szCs w:val="31"/>
          <w:highlight w:val="none"/>
          <w:lang w:val="en-US" w:eastAsia="zh-CN"/>
        </w:rPr>
      </w:pPr>
      <w:r>
        <w:rPr>
          <w:rStyle w:val="17"/>
          <w:rFonts w:hint="eastAsia" w:eastAsia="黑体" w:cs="Times New Roman"/>
          <w:b w:val="0"/>
          <w:bCs/>
          <w:spacing w:val="-4"/>
          <w:sz w:val="31"/>
          <w:szCs w:val="31"/>
          <w:highlight w:val="none"/>
          <w:lang w:val="en-US" w:eastAsia="zh-CN"/>
        </w:rPr>
        <w:t>（2）</w:t>
      </w:r>
      <w:r>
        <w:rPr>
          <w:rStyle w:val="17"/>
          <w:rFonts w:hint="default" w:ascii="Times New Roman" w:hAnsi="Times New Roman" w:eastAsia="黑体" w:cs="Times New Roman"/>
          <w:b w:val="0"/>
          <w:bCs/>
          <w:spacing w:val="-4"/>
          <w:sz w:val="31"/>
          <w:szCs w:val="31"/>
          <w:highlight w:val="none"/>
          <w:lang w:val="en-US" w:eastAsia="zh-CN"/>
        </w:rPr>
        <w:t>果蔬分选初加工及配送项目</w:t>
      </w:r>
    </w:p>
    <w:p w14:paraId="7530BE6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工业地板采购安装工程及建设周转库及成品库工程计划投资100万元，已开具59.3612万元的发票；保鲜膜包装设备及辅材采购计划投资80万元，已开具80万元的发票，数字分选设备及配套采购计划投资210万元，已开具174.6万元的发票；辅材计划投资180万元，已开具150.8743万的发票；物流多用途货车采购及保险服务投资42.2499万元，其他费用计划投资29.4万元，已开具2.5万元发票</w:t>
      </w:r>
      <w:r>
        <w:rPr>
          <w:rFonts w:hint="eastAsia" w:eastAsia="方正仿宋_GBK" w:cs="Times New Roman"/>
          <w:color w:val="auto"/>
          <w:sz w:val="31"/>
          <w:szCs w:val="31"/>
          <w:lang w:val="en-US" w:eastAsia="zh-CN"/>
        </w:rPr>
        <w:t>。</w:t>
      </w:r>
    </w:p>
    <w:p w14:paraId="05DDA415">
      <w:pPr>
        <w:pageBreakBefore w:val="0"/>
        <w:kinsoku/>
        <w:wordWrap/>
        <w:overflowPunct/>
        <w:topLinePunct w:val="0"/>
        <w:autoSpaceDE/>
        <w:autoSpaceDN/>
        <w:bidi w:val="0"/>
        <w:adjustRightInd/>
        <w:snapToGrid/>
        <w:spacing w:line="560" w:lineRule="exact"/>
        <w:ind w:firstLine="604" w:firstLineChars="200"/>
        <w:textAlignment w:val="auto"/>
        <w:rPr>
          <w:rStyle w:val="17"/>
          <w:rFonts w:hint="default" w:ascii="Times New Roman" w:hAnsi="Times New Roman" w:eastAsia="黑体" w:cs="Times New Roman"/>
          <w:b w:val="0"/>
          <w:bCs/>
          <w:spacing w:val="-4"/>
          <w:sz w:val="31"/>
          <w:szCs w:val="31"/>
          <w:highlight w:val="none"/>
          <w:lang w:val="en-US" w:eastAsia="zh-CN"/>
        </w:rPr>
      </w:pPr>
      <w:r>
        <w:rPr>
          <w:rStyle w:val="17"/>
          <w:rFonts w:hint="eastAsia" w:ascii="Times New Roman" w:hAnsi="Times New Roman" w:eastAsia="黑体" w:cs="Times New Roman"/>
          <w:b w:val="0"/>
          <w:bCs/>
          <w:spacing w:val="-4"/>
          <w:sz w:val="31"/>
          <w:szCs w:val="31"/>
          <w:highlight w:val="none"/>
          <w:lang w:val="en-US" w:eastAsia="zh-CN"/>
        </w:rPr>
        <w:t>（</w:t>
      </w:r>
      <w:r>
        <w:rPr>
          <w:rStyle w:val="17"/>
          <w:rFonts w:hint="eastAsia" w:eastAsia="黑体" w:cs="Times New Roman"/>
          <w:b w:val="0"/>
          <w:bCs/>
          <w:spacing w:val="-4"/>
          <w:sz w:val="31"/>
          <w:szCs w:val="31"/>
          <w:highlight w:val="none"/>
          <w:lang w:val="en-US" w:eastAsia="zh-CN"/>
        </w:rPr>
        <w:t>3</w:t>
      </w:r>
      <w:r>
        <w:rPr>
          <w:rStyle w:val="17"/>
          <w:rFonts w:hint="eastAsia" w:ascii="Times New Roman" w:hAnsi="Times New Roman" w:eastAsia="黑体" w:cs="Times New Roman"/>
          <w:b w:val="0"/>
          <w:bCs/>
          <w:spacing w:val="-4"/>
          <w:sz w:val="31"/>
          <w:szCs w:val="31"/>
          <w:highlight w:val="none"/>
          <w:lang w:val="en-US" w:eastAsia="zh-CN"/>
        </w:rPr>
        <w:t>）新疆库尔勒铁克其乡上恰其村鑫华市场改造</w:t>
      </w:r>
    </w:p>
    <w:p w14:paraId="350A755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鑫华市场外墙改造25. 11万元，完成比例100% ，达成目标的100% ；鑫华市场花卉大棚市场改造15.63万元，完成比例100%，达成目标的100% ；鑫华市场电力设施改造35.52万元，完成比例100%，达成目标的100%</w:t>
      </w:r>
      <w:r>
        <w:rPr>
          <w:rFonts w:hint="eastAsia" w:ascii="Times New Roman" w:hAnsi="Times New Roman" w:eastAsia="方正仿宋_GBK" w:cs="Times New Roman"/>
          <w:color w:val="auto"/>
          <w:sz w:val="31"/>
          <w:szCs w:val="31"/>
          <w:lang w:val="en-US" w:eastAsia="zh-CN"/>
        </w:rPr>
        <w:t>。</w:t>
      </w:r>
    </w:p>
    <w:p w14:paraId="2D4544D1">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default" w:ascii="方正仿宋_GBK" w:hAnsi="方正仿宋_GBK" w:eastAsia="方正仿宋_GBK" w:cs="方正仿宋_GBK"/>
          <w:b/>
          <w:bCs/>
          <w:kern w:val="2"/>
          <w:sz w:val="31"/>
          <w:szCs w:val="31"/>
          <w:lang w:val="en-US" w:eastAsia="zh-CN" w:bidi="ar-SA"/>
        </w:rPr>
      </w:pPr>
      <w:r>
        <w:rPr>
          <w:rFonts w:hint="default" w:ascii="方正仿宋_GBK" w:hAnsi="方正仿宋_GBK" w:eastAsia="方正仿宋_GBK" w:cs="方正仿宋_GBK"/>
          <w:b/>
          <w:bCs/>
          <w:kern w:val="2"/>
          <w:sz w:val="31"/>
          <w:szCs w:val="31"/>
          <w:lang w:val="en-US" w:eastAsia="zh-CN" w:bidi="ar-SA"/>
        </w:rPr>
        <w:t>3</w:t>
      </w:r>
      <w:r>
        <w:rPr>
          <w:rFonts w:hint="eastAsia" w:ascii="方正仿宋_GBK" w:hAnsi="方正仿宋_GBK" w:eastAsia="方正仿宋_GBK" w:cs="方正仿宋_GBK"/>
          <w:b/>
          <w:bCs/>
          <w:kern w:val="2"/>
          <w:sz w:val="31"/>
          <w:szCs w:val="31"/>
          <w:lang w:val="en-US" w:eastAsia="zh-CN" w:bidi="ar-SA"/>
        </w:rPr>
        <w:t>、</w:t>
      </w:r>
      <w:r>
        <w:rPr>
          <w:rFonts w:hint="default" w:ascii="方正仿宋_GBK" w:hAnsi="方正仿宋_GBK" w:eastAsia="方正仿宋_GBK" w:cs="方正仿宋_GBK"/>
          <w:b/>
          <w:bCs/>
          <w:kern w:val="2"/>
          <w:sz w:val="31"/>
          <w:szCs w:val="31"/>
          <w:lang w:val="en-US" w:eastAsia="zh-CN" w:bidi="ar-SA"/>
        </w:rPr>
        <w:t>资金投入和使用情况</w:t>
      </w:r>
    </w:p>
    <w:p w14:paraId="676C8C9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highlight w:val="none"/>
          <w:lang w:val="en-US" w:eastAsia="zh-CN"/>
        </w:rPr>
      </w:pPr>
      <w:r>
        <w:rPr>
          <w:rFonts w:hint="default" w:ascii="Times New Roman" w:hAnsi="Times New Roman" w:eastAsia="方正仿宋_GBK" w:cs="Times New Roman"/>
          <w:color w:val="auto"/>
          <w:sz w:val="31"/>
          <w:szCs w:val="31"/>
          <w:highlight w:val="none"/>
          <w:lang w:val="en-US" w:eastAsia="zh-CN"/>
        </w:rPr>
        <w:t>（1）资金投入情况</w:t>
      </w:r>
    </w:p>
    <w:p w14:paraId="2B65489F">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default" w:ascii="Times New Roman" w:hAnsi="Times New Roman" w:eastAsia="仿宋_GB2312" w:cs="Times New Roman"/>
          <w:sz w:val="31"/>
          <w:szCs w:val="31"/>
          <w:highlight w:val="none"/>
          <w:lang w:val="en-US" w:eastAsia="zh-CN"/>
        </w:rPr>
      </w:pPr>
      <w:r>
        <w:rPr>
          <w:rFonts w:hint="default" w:ascii="Times New Roman" w:hAnsi="Times New Roman" w:eastAsia="方正仿宋_GBK" w:cs="Times New Roman"/>
          <w:color w:val="auto"/>
          <w:sz w:val="31"/>
          <w:szCs w:val="31"/>
          <w:lang w:val="en-US" w:eastAsia="zh-CN"/>
        </w:rPr>
        <w:t>该项目年初预算数</w:t>
      </w:r>
      <w:r>
        <w:rPr>
          <w:rFonts w:hint="eastAsia" w:ascii="Times New Roman" w:hAnsi="Times New Roman" w:eastAsia="方正仿宋_GBK" w:cs="Times New Roman"/>
          <w:color w:val="auto"/>
          <w:sz w:val="31"/>
          <w:szCs w:val="31"/>
          <w:lang w:val="en-US" w:eastAsia="zh-CN"/>
        </w:rPr>
        <w:t>914.48</w:t>
      </w:r>
      <w:r>
        <w:rPr>
          <w:rFonts w:hint="default" w:ascii="Times New Roman" w:hAnsi="Times New Roman" w:eastAsia="方正仿宋_GBK" w:cs="Times New Roman"/>
          <w:color w:val="auto"/>
          <w:sz w:val="31"/>
          <w:szCs w:val="31"/>
          <w:lang w:val="en-US" w:eastAsia="zh-CN"/>
        </w:rPr>
        <w:t>万元，全年预算数</w:t>
      </w:r>
      <w:r>
        <w:rPr>
          <w:rFonts w:hint="eastAsia" w:ascii="Times New Roman" w:hAnsi="Times New Roman" w:eastAsia="方正仿宋_GBK" w:cs="Times New Roman"/>
          <w:color w:val="auto"/>
          <w:sz w:val="31"/>
          <w:szCs w:val="31"/>
          <w:lang w:val="en-US" w:eastAsia="zh-CN"/>
        </w:rPr>
        <w:t>914.48</w:t>
      </w:r>
      <w:r>
        <w:rPr>
          <w:rFonts w:hint="default" w:ascii="Times New Roman" w:hAnsi="Times New Roman" w:eastAsia="方正仿宋_GBK" w:cs="Times New Roman"/>
          <w:color w:val="auto"/>
          <w:sz w:val="31"/>
          <w:szCs w:val="31"/>
          <w:lang w:val="en-US" w:eastAsia="zh-CN"/>
        </w:rPr>
        <w:t>万元，该项目资金已全部落实到位，资金来源为</w:t>
      </w:r>
      <w:r>
        <w:rPr>
          <w:rFonts w:hint="eastAsia" w:ascii="Times New Roman" w:hAnsi="Times New Roman" w:eastAsia="方正仿宋_GBK" w:cs="Times New Roman"/>
          <w:color w:val="auto"/>
          <w:sz w:val="31"/>
          <w:szCs w:val="31"/>
          <w:lang w:val="en-US" w:eastAsia="zh-CN"/>
        </w:rPr>
        <w:t>财政拨款</w:t>
      </w:r>
      <w:r>
        <w:rPr>
          <w:rFonts w:hint="default" w:ascii="Times New Roman" w:hAnsi="Times New Roman" w:eastAsia="方正仿宋_GBK" w:cs="Times New Roman"/>
          <w:color w:val="auto"/>
          <w:sz w:val="31"/>
          <w:szCs w:val="31"/>
          <w:lang w:val="en-US" w:eastAsia="zh-CN"/>
        </w:rPr>
        <w:t>。</w:t>
      </w:r>
    </w:p>
    <w:p w14:paraId="687E8383">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default" w:ascii="Times New Roman" w:hAnsi="Times New Roman" w:eastAsia="仿宋_GB2312" w:cs="Times New Roman"/>
          <w:sz w:val="31"/>
          <w:szCs w:val="31"/>
          <w:highlight w:val="none"/>
          <w:lang w:val="en-US" w:eastAsia="zh-CN"/>
        </w:rPr>
      </w:pPr>
      <w:r>
        <w:rPr>
          <w:rFonts w:hint="default" w:ascii="Times New Roman" w:hAnsi="Times New Roman" w:eastAsia="仿宋_GB2312" w:cs="Times New Roman"/>
          <w:sz w:val="31"/>
          <w:szCs w:val="31"/>
          <w:highlight w:val="none"/>
          <w:lang w:val="en-US" w:eastAsia="zh-CN"/>
        </w:rPr>
        <w:t>（2）资金使用情况</w:t>
      </w:r>
    </w:p>
    <w:p w14:paraId="63B77E2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该项目年初预算数</w:t>
      </w:r>
      <w:r>
        <w:rPr>
          <w:rFonts w:hint="eastAsia" w:ascii="Times New Roman" w:hAnsi="Times New Roman" w:eastAsia="方正仿宋_GBK" w:cs="Times New Roman"/>
          <w:color w:val="auto"/>
          <w:sz w:val="31"/>
          <w:szCs w:val="31"/>
          <w:lang w:val="en-US" w:eastAsia="zh-CN"/>
        </w:rPr>
        <w:t>914.48</w:t>
      </w:r>
      <w:r>
        <w:rPr>
          <w:rFonts w:hint="default" w:ascii="Times New Roman" w:hAnsi="Times New Roman" w:eastAsia="方正仿宋_GBK" w:cs="Times New Roman"/>
          <w:color w:val="auto"/>
          <w:sz w:val="31"/>
          <w:szCs w:val="31"/>
          <w:lang w:val="en-US" w:eastAsia="zh-CN"/>
        </w:rPr>
        <w:t>万元，全年预算数</w:t>
      </w:r>
      <w:r>
        <w:rPr>
          <w:rFonts w:hint="eastAsia" w:ascii="Times New Roman" w:hAnsi="Times New Roman" w:eastAsia="方正仿宋_GBK" w:cs="Times New Roman"/>
          <w:color w:val="auto"/>
          <w:sz w:val="31"/>
          <w:szCs w:val="31"/>
          <w:lang w:val="en-US" w:eastAsia="zh-CN"/>
        </w:rPr>
        <w:t>914.48</w:t>
      </w:r>
      <w:r>
        <w:rPr>
          <w:rFonts w:hint="default" w:ascii="Times New Roman" w:hAnsi="Times New Roman" w:eastAsia="方正仿宋_GBK" w:cs="Times New Roman"/>
          <w:color w:val="auto"/>
          <w:sz w:val="31"/>
          <w:szCs w:val="31"/>
          <w:lang w:val="en-US" w:eastAsia="zh-CN"/>
        </w:rPr>
        <w:t>万元，全年执行数</w:t>
      </w:r>
      <w:r>
        <w:rPr>
          <w:rFonts w:hint="eastAsia" w:ascii="Times New Roman" w:hAnsi="Times New Roman" w:eastAsia="方正仿宋_GBK" w:cs="Times New Roman"/>
          <w:color w:val="auto"/>
          <w:sz w:val="31"/>
          <w:szCs w:val="31"/>
          <w:lang w:val="en-US" w:eastAsia="zh-CN"/>
        </w:rPr>
        <w:t>757.24</w:t>
      </w:r>
      <w:r>
        <w:rPr>
          <w:rFonts w:hint="default" w:ascii="Times New Roman" w:hAnsi="Times New Roman" w:eastAsia="方正仿宋_GBK" w:cs="Times New Roman"/>
          <w:color w:val="auto"/>
          <w:sz w:val="31"/>
          <w:szCs w:val="31"/>
          <w:lang w:val="en-US" w:eastAsia="zh-CN"/>
        </w:rPr>
        <w:t>万元，预算执行率为</w:t>
      </w:r>
      <w:r>
        <w:rPr>
          <w:rFonts w:hint="eastAsia" w:ascii="Times New Roman" w:hAnsi="Times New Roman" w:eastAsia="方正仿宋_GBK" w:cs="Times New Roman"/>
          <w:color w:val="auto"/>
          <w:sz w:val="31"/>
          <w:szCs w:val="31"/>
          <w:lang w:val="en-US" w:eastAsia="zh-CN"/>
        </w:rPr>
        <w:t>82.8</w:t>
      </w:r>
      <w:r>
        <w:rPr>
          <w:rFonts w:hint="default" w:ascii="Times New Roman" w:hAnsi="Times New Roman" w:eastAsia="方正仿宋_GBK" w:cs="Times New Roman"/>
          <w:color w:val="auto"/>
          <w:sz w:val="31"/>
          <w:szCs w:val="31"/>
          <w:lang w:val="en-US" w:eastAsia="zh-CN"/>
        </w:rPr>
        <w:t>%，主要用于：补贴库尔勒市香梨产业发展有限公司229.58万元、新疆库尔勒铁克其乡上恰其村股份经济合作社27.66万元、新疆博海市场管理有限公司500万元。</w:t>
      </w:r>
    </w:p>
    <w:p w14:paraId="2C347D0B">
      <w:pPr>
        <w:pageBreakBefore w:val="0"/>
        <w:kinsoku/>
        <w:wordWrap/>
        <w:overflowPunct/>
        <w:topLinePunct w:val="0"/>
        <w:autoSpaceDE/>
        <w:autoSpaceDN/>
        <w:bidi w:val="0"/>
        <w:adjustRightInd/>
        <w:snapToGrid/>
        <w:spacing w:line="560" w:lineRule="exact"/>
        <w:ind w:firstLine="622" w:firstLineChars="200"/>
        <w:textAlignment w:val="auto"/>
        <w:rPr>
          <w:rFonts w:hint="default" w:ascii="Times New Roman" w:hAnsi="Times New Roman" w:eastAsia="楷体_GB2312" w:cs="Times New Roman"/>
          <w:b/>
          <w:bCs/>
          <w:sz w:val="31"/>
          <w:szCs w:val="31"/>
          <w:highlight w:val="none"/>
        </w:rPr>
      </w:pPr>
      <w:r>
        <w:rPr>
          <w:rFonts w:hint="default" w:ascii="Times New Roman" w:hAnsi="Times New Roman" w:eastAsia="楷体_GB2312" w:cs="Times New Roman"/>
          <w:b/>
          <w:bCs/>
          <w:sz w:val="31"/>
          <w:szCs w:val="31"/>
          <w:highlight w:val="none"/>
        </w:rPr>
        <w:t>（二）项目绩效目标</w:t>
      </w:r>
    </w:p>
    <w:p w14:paraId="517E4630">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仿宋_GB2312" w:cs="Times New Roman"/>
          <w:sz w:val="31"/>
          <w:szCs w:val="31"/>
          <w:highlight w:val="none"/>
        </w:rPr>
      </w:pPr>
      <w:r>
        <w:rPr>
          <w:rFonts w:hint="default" w:ascii="Times New Roman" w:hAnsi="Times New Roman" w:eastAsia="方正仿宋_GBK" w:cs="Times New Roman"/>
          <w:color w:val="auto"/>
          <w:sz w:val="31"/>
          <w:szCs w:val="31"/>
          <w:highlight w:val="none"/>
          <w:lang w:val="en-US" w:eastAsia="zh-CN"/>
        </w:rPr>
        <w:t>1</w:t>
      </w:r>
      <w:r>
        <w:rPr>
          <w:rFonts w:hint="eastAsia" w:eastAsia="方正仿宋_GBK" w:cs="Times New Roman"/>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总体目标</w:t>
      </w:r>
    </w:p>
    <w:p w14:paraId="3DE7DA5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目标1：补贴库尔勒市香梨产业发展有限公司、库尔勒中泰鸿茂畜牧发展有限责任公司、新疆库尔勒铁克其乡上恰其村股份经济合作社、新疆博海市场管理有限公司等4家服务业发展资金。</w:t>
      </w:r>
    </w:p>
    <w:p w14:paraId="6F39C3B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目标2：补贴库尔勒市香梨产业发展有限公司229.58万元、库尔勒中泰鸿茂畜牧发展有限责任公司157.24万元、新疆库尔勒铁克其乡上恰其村股份经济合作社27.66万元、新疆博海市场管理有限公司500万元。</w:t>
      </w:r>
    </w:p>
    <w:p w14:paraId="3C67101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目标3：通过项目的实施，有效优化改善县域消费渠道。</w:t>
      </w:r>
    </w:p>
    <w:p w14:paraId="34EE45B2">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仿宋_GB2312" w:cs="Times New Roman"/>
          <w:color w:val="FF0000"/>
          <w:sz w:val="31"/>
          <w:szCs w:val="31"/>
          <w:highlight w:val="none"/>
          <w:lang w:val="en-US" w:eastAsia="zh-CN"/>
        </w:rPr>
      </w:pPr>
      <w:r>
        <w:rPr>
          <w:rFonts w:hint="default" w:ascii="Times New Roman" w:hAnsi="Times New Roman" w:eastAsia="方正仿宋_GBK" w:cs="Times New Roman"/>
          <w:color w:val="auto"/>
          <w:sz w:val="31"/>
          <w:szCs w:val="31"/>
          <w:highlight w:val="none"/>
          <w:lang w:val="en-US" w:eastAsia="zh-CN"/>
        </w:rPr>
        <w:t>2</w:t>
      </w:r>
      <w:r>
        <w:rPr>
          <w:rFonts w:hint="eastAsia" w:eastAsia="方正仿宋_GBK" w:cs="Times New Roman"/>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阶段性目标</w:t>
      </w:r>
    </w:p>
    <w:p w14:paraId="1E12B70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lang w:val="en-US" w:eastAsia="zh-CN"/>
        </w:rPr>
      </w:pPr>
      <w:r>
        <w:rPr>
          <w:rFonts w:hint="eastAsia" w:eastAsia="方正仿宋_GBK" w:cs="Times New Roman"/>
          <w:color w:val="auto"/>
          <w:sz w:val="31"/>
          <w:szCs w:val="31"/>
          <w:lang w:val="en-US" w:eastAsia="zh-CN"/>
        </w:rPr>
        <w:t>（</w:t>
      </w:r>
      <w:r>
        <w:rPr>
          <w:rFonts w:hint="eastAsia" w:ascii="Times New Roman" w:hAnsi="Times New Roman" w:eastAsia="方正仿宋_GBK" w:cs="Times New Roman"/>
          <w:color w:val="auto"/>
          <w:sz w:val="31"/>
          <w:szCs w:val="31"/>
          <w:lang w:val="en-US" w:eastAsia="zh-CN"/>
        </w:rPr>
        <w:t>1</w:t>
      </w:r>
      <w:r>
        <w:rPr>
          <w:rFonts w:hint="eastAsia" w:eastAsia="方正仿宋_GBK" w:cs="Times New Roman"/>
          <w:color w:val="auto"/>
          <w:sz w:val="31"/>
          <w:szCs w:val="31"/>
          <w:lang w:val="en-US" w:eastAsia="zh-CN"/>
        </w:rPr>
        <w:t>）前期：</w:t>
      </w:r>
      <w:r>
        <w:rPr>
          <w:rFonts w:hint="eastAsia" w:ascii="Times New Roman" w:hAnsi="Times New Roman" w:eastAsia="方正仿宋_GBK" w:cs="Times New Roman"/>
          <w:color w:val="auto"/>
          <w:sz w:val="31"/>
          <w:szCs w:val="31"/>
          <w:lang w:val="en-US" w:eastAsia="zh-CN"/>
        </w:rPr>
        <w:t>根据《财政部办公厅 商务部办公厅 国家乡村振兴局综合司关于支持实施县域商业建设行动的通知》（财办建〔2022〕18号）《商务部等9部门办公厅（室）关于印发〈县域商业三年行动计划（2023-2025年）〉的通知》《关于组织开展2024年支持实施县域商业建设行动项目申报工作的通知》要求，聚焦县域商业体系中的市场缺位和薄弱环节，发挥县城和乡镇的枢纽、节点作用，加快补齐基础设施和公共服务短板，辐射带动县域商业整体提升，积极组织符合条件的企业申报县域商业体系项目。</w:t>
      </w:r>
    </w:p>
    <w:p w14:paraId="41B46077">
      <w:pPr>
        <w:pStyle w:val="20"/>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lang w:val="en-US" w:eastAsia="zh-CN"/>
        </w:rPr>
      </w:pPr>
      <w:r>
        <w:rPr>
          <w:rFonts w:hint="eastAsia" w:eastAsia="方正仿宋_GBK" w:cs="Times New Roman"/>
          <w:color w:val="auto"/>
          <w:sz w:val="31"/>
          <w:szCs w:val="31"/>
          <w:lang w:val="en-US" w:eastAsia="zh-CN"/>
        </w:rPr>
        <w:t>（</w:t>
      </w:r>
      <w:r>
        <w:rPr>
          <w:rFonts w:hint="eastAsia" w:ascii="Times New Roman" w:hAnsi="Times New Roman" w:eastAsia="方正仿宋_GBK" w:cs="Times New Roman"/>
          <w:color w:val="auto"/>
          <w:sz w:val="31"/>
          <w:szCs w:val="31"/>
          <w:lang w:val="en-US" w:eastAsia="zh-CN"/>
        </w:rPr>
        <w:t>2</w:t>
      </w:r>
      <w:r>
        <w:rPr>
          <w:rFonts w:hint="eastAsia" w:eastAsia="方正仿宋_GBK" w:cs="Times New Roman"/>
          <w:color w:val="auto"/>
          <w:sz w:val="31"/>
          <w:szCs w:val="31"/>
          <w:lang w:val="en-US" w:eastAsia="zh-CN"/>
        </w:rPr>
        <w:t>）后期：计划通过自治区商务厅第三方公司审核，</w:t>
      </w:r>
      <w:r>
        <w:rPr>
          <w:rFonts w:hint="default" w:ascii="Times New Roman" w:hAnsi="Times New Roman" w:eastAsia="方正仿宋_GBK" w:cs="Times New Roman"/>
          <w:color w:val="auto"/>
          <w:sz w:val="31"/>
          <w:szCs w:val="31"/>
          <w:lang w:val="en-US" w:eastAsia="zh-CN"/>
        </w:rPr>
        <w:t>库尔勒市香梨产业发展有限公司、库尔勒中泰鸿茂畜牧发展有限责任公司、新疆库尔勒铁克其乡上恰其村股份经济合作社、新疆博海市场管理有限公司</w:t>
      </w:r>
      <w:r>
        <w:rPr>
          <w:rFonts w:hint="eastAsia" w:ascii="Times New Roman" w:hAnsi="Times New Roman" w:eastAsia="方正仿宋_GBK" w:cs="Times New Roman"/>
          <w:color w:val="auto"/>
          <w:sz w:val="31"/>
          <w:szCs w:val="31"/>
          <w:lang w:val="en-US" w:eastAsia="zh-CN"/>
        </w:rPr>
        <w:t>。我局</w:t>
      </w:r>
      <w:r>
        <w:rPr>
          <w:rFonts w:hint="eastAsia" w:eastAsia="方正仿宋_GBK" w:cs="Times New Roman"/>
          <w:color w:val="auto"/>
          <w:sz w:val="31"/>
          <w:szCs w:val="31"/>
          <w:lang w:val="en-US" w:eastAsia="zh-CN"/>
        </w:rPr>
        <w:t>计划</w:t>
      </w:r>
      <w:r>
        <w:rPr>
          <w:rFonts w:hint="eastAsia" w:ascii="Times New Roman" w:hAnsi="Times New Roman" w:eastAsia="方正仿宋_GBK" w:cs="Times New Roman"/>
          <w:color w:val="auto"/>
          <w:sz w:val="31"/>
          <w:szCs w:val="31"/>
          <w:lang w:val="en-US" w:eastAsia="zh-CN"/>
        </w:rPr>
        <w:t>组织库尔勒市财政局、乡村振兴局</w:t>
      </w:r>
      <w:r>
        <w:rPr>
          <w:rFonts w:hint="eastAsia" w:eastAsia="方正仿宋_GBK" w:cs="Times New Roman"/>
          <w:color w:val="auto"/>
          <w:sz w:val="31"/>
          <w:szCs w:val="31"/>
          <w:lang w:val="en-US" w:eastAsia="zh-CN"/>
        </w:rPr>
        <w:t>对</w:t>
      </w:r>
      <w:r>
        <w:rPr>
          <w:rFonts w:hint="eastAsia" w:ascii="Times New Roman" w:hAnsi="Times New Roman" w:eastAsia="方正仿宋_GBK" w:cs="Times New Roman"/>
          <w:color w:val="auto"/>
          <w:sz w:val="31"/>
          <w:szCs w:val="31"/>
          <w:lang w:val="en-US" w:eastAsia="zh-CN"/>
        </w:rPr>
        <w:t>4个项目开展验收工作。并</w:t>
      </w:r>
      <w:r>
        <w:rPr>
          <w:rFonts w:hint="eastAsia" w:eastAsia="方正仿宋_GBK" w:cs="Times New Roman"/>
          <w:color w:val="auto"/>
          <w:sz w:val="31"/>
          <w:szCs w:val="31"/>
          <w:lang w:val="en-US" w:eastAsia="zh-CN"/>
        </w:rPr>
        <w:t>计划</w:t>
      </w:r>
      <w:r>
        <w:rPr>
          <w:rFonts w:hint="default" w:ascii="Times New Roman" w:hAnsi="Times New Roman" w:eastAsia="方正仿宋_GBK" w:cs="Times New Roman"/>
          <w:color w:val="auto"/>
          <w:sz w:val="31"/>
          <w:szCs w:val="31"/>
          <w:lang w:val="en-US" w:eastAsia="zh-CN"/>
        </w:rPr>
        <w:t>补贴库尔勒市香梨产业发展有限公司229.58万元、新疆库尔勒铁克其乡上恰其村股份经济合作社27.66万元、新疆博海市场管理有限公司500万元</w:t>
      </w:r>
      <w:r>
        <w:rPr>
          <w:rFonts w:hint="eastAsia"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库尔勒中泰鸿茂畜牧发展有限责任公司157.24万元。</w:t>
      </w:r>
    </w:p>
    <w:p w14:paraId="50AE0EDF">
      <w:pPr>
        <w:pageBreakBefore w:val="0"/>
        <w:kinsoku/>
        <w:wordWrap/>
        <w:overflowPunct/>
        <w:topLinePunct w:val="0"/>
        <w:autoSpaceDE/>
        <w:autoSpaceDN/>
        <w:bidi w:val="0"/>
        <w:adjustRightInd/>
        <w:snapToGrid/>
        <w:spacing w:line="560" w:lineRule="exact"/>
        <w:ind w:firstLine="620" w:firstLineChars="200"/>
        <w:textAlignment w:val="auto"/>
        <w:rPr>
          <w:rFonts w:hint="default" w:ascii="方正黑体_GBK" w:hAnsi="方正黑体_GBK" w:eastAsia="方正黑体_GBK" w:cs="方正黑体_GBK"/>
          <w:bCs/>
          <w:sz w:val="31"/>
          <w:szCs w:val="31"/>
        </w:rPr>
      </w:pPr>
      <w:r>
        <w:rPr>
          <w:rFonts w:hint="default" w:ascii="方正黑体_GBK" w:hAnsi="方正黑体_GBK" w:eastAsia="方正黑体_GBK" w:cs="方正黑体_GBK"/>
          <w:bCs/>
          <w:sz w:val="31"/>
          <w:szCs w:val="31"/>
        </w:rPr>
        <w:t>二、绩效评价工作开展情况</w:t>
      </w:r>
    </w:p>
    <w:p w14:paraId="4F06C060">
      <w:pPr>
        <w:pageBreakBefore w:val="0"/>
        <w:kinsoku/>
        <w:wordWrap/>
        <w:overflowPunct/>
        <w:topLinePunct w:val="0"/>
        <w:autoSpaceDE/>
        <w:autoSpaceDN/>
        <w:bidi w:val="0"/>
        <w:adjustRightInd/>
        <w:snapToGrid/>
        <w:spacing w:line="560" w:lineRule="exact"/>
        <w:ind w:firstLine="622" w:firstLineChars="200"/>
        <w:textAlignment w:val="auto"/>
        <w:rPr>
          <w:rFonts w:hint="default" w:ascii="Times New Roman" w:hAnsi="Times New Roman" w:eastAsia="楷体_GB2312" w:cs="Times New Roman"/>
          <w:b/>
          <w:bCs/>
          <w:sz w:val="31"/>
          <w:szCs w:val="31"/>
        </w:rPr>
      </w:pPr>
      <w:r>
        <w:rPr>
          <w:rFonts w:hint="default" w:ascii="Times New Roman" w:hAnsi="Times New Roman" w:eastAsia="楷体_GB2312" w:cs="Times New Roman"/>
          <w:b/>
          <w:bCs/>
          <w:sz w:val="31"/>
          <w:szCs w:val="31"/>
        </w:rPr>
        <w:t>（一）绩效评价目的、对象和范围</w:t>
      </w:r>
    </w:p>
    <w:p w14:paraId="32AEDECD">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1</w:t>
      </w:r>
      <w:r>
        <w:rPr>
          <w:rFonts w:hint="eastAsia" w:ascii="Times New Roman" w:hAnsi="Times New Roman" w:eastAsia="方正仿宋_GBK" w:cs="Times New Roman"/>
          <w:b w:val="0"/>
          <w:bCs w:val="0"/>
          <w:color w:val="auto"/>
          <w:kern w:val="2"/>
          <w:sz w:val="31"/>
          <w:szCs w:val="31"/>
          <w:lang w:val="en-US" w:eastAsia="zh-CN" w:bidi="ar-SA"/>
        </w:rPr>
        <w:t>、</w:t>
      </w:r>
      <w:r>
        <w:rPr>
          <w:rFonts w:hint="default" w:ascii="Times New Roman" w:hAnsi="Times New Roman" w:eastAsia="方正仿宋_GBK" w:cs="Times New Roman"/>
          <w:b w:val="0"/>
          <w:bCs w:val="0"/>
          <w:color w:val="auto"/>
          <w:kern w:val="2"/>
          <w:sz w:val="31"/>
          <w:szCs w:val="31"/>
          <w:lang w:val="en-US" w:eastAsia="zh-CN" w:bidi="ar-SA"/>
        </w:rPr>
        <w:t>绩效评价完整性</w:t>
      </w:r>
    </w:p>
    <w:p w14:paraId="085EAA8C">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DFF31D7">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在评价指标体系的构建上，充分考虑了项目的性质、目标以及预期成果，选取了具有代表性和可衡量性的关键指标，涵盖了经济效益维度，力求全方位反映项目的绩效状况。同时，对于每个指标的评价标准和数据来源均进行了明确说明，确保评价结果的客观性和可追溯性。</w:t>
      </w:r>
    </w:p>
    <w:p w14:paraId="1879185F">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C67A155">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8CE8F8A">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3409FFA">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2</w:t>
      </w:r>
      <w:r>
        <w:rPr>
          <w:rFonts w:hint="eastAsia" w:eastAsia="方正仿宋_GBK" w:cs="Times New Roman"/>
          <w:b w:val="0"/>
          <w:bCs w:val="0"/>
          <w:color w:val="auto"/>
          <w:kern w:val="2"/>
          <w:sz w:val="31"/>
          <w:szCs w:val="31"/>
          <w:lang w:val="en-US" w:eastAsia="zh-CN" w:bidi="ar-SA"/>
        </w:rPr>
        <w:t>、</w:t>
      </w:r>
      <w:r>
        <w:rPr>
          <w:rFonts w:hint="default" w:ascii="Times New Roman" w:hAnsi="Times New Roman" w:eastAsia="方正仿宋_GBK" w:cs="Times New Roman"/>
          <w:b w:val="0"/>
          <w:bCs w:val="0"/>
          <w:color w:val="auto"/>
          <w:kern w:val="2"/>
          <w:sz w:val="31"/>
          <w:szCs w:val="31"/>
          <w:lang w:val="en-US" w:eastAsia="zh-CN" w:bidi="ar-SA"/>
        </w:rPr>
        <w:t>绩效评价的目的</w:t>
      </w:r>
    </w:p>
    <w:p w14:paraId="65923A42">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（1）评估项目实施效果</w:t>
      </w:r>
    </w:p>
    <w:p w14:paraId="6D982082">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通过对项目预算执行情况及各项绩效目标达成程度的系统性分析，全面、客观地评估项目在预定周期内的实施效果，包括经济效益以及可持续性等多维度指标，为项目后续的改进与优化提供科学依据。</w:t>
      </w:r>
    </w:p>
    <w:p w14:paraId="063AAB85">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（2）提升资源利用效率</w:t>
      </w:r>
    </w:p>
    <w:p w14:paraId="081E7526">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18FED4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（3）强化项目管理责任</w:t>
      </w:r>
    </w:p>
    <w:p w14:paraId="65B73A1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EA888B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（4）为决策提供支持</w:t>
      </w:r>
    </w:p>
    <w:p w14:paraId="7CF55D5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A94992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（5）促进项目持续改进</w:t>
      </w:r>
    </w:p>
    <w:p w14:paraId="031BAE0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05B440C">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7F90EBE">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3</w:t>
      </w:r>
      <w:r>
        <w:rPr>
          <w:rFonts w:hint="eastAsia" w:ascii="Times New Roman" w:hAnsi="Times New Roman" w:eastAsia="方正仿宋_GBK" w:cs="Times New Roman"/>
          <w:b w:val="0"/>
          <w:bCs w:val="0"/>
          <w:color w:val="auto"/>
          <w:kern w:val="2"/>
          <w:sz w:val="31"/>
          <w:szCs w:val="31"/>
          <w:lang w:val="en-US" w:eastAsia="zh-CN" w:bidi="ar-SA"/>
        </w:rPr>
        <w:t>、</w:t>
      </w:r>
      <w:r>
        <w:rPr>
          <w:rFonts w:hint="default" w:ascii="Times New Roman" w:hAnsi="Times New Roman" w:eastAsia="方正仿宋_GBK" w:cs="Times New Roman"/>
          <w:b w:val="0"/>
          <w:bCs w:val="0"/>
          <w:color w:val="auto"/>
          <w:kern w:val="2"/>
          <w:sz w:val="31"/>
          <w:szCs w:val="31"/>
          <w:lang w:val="en-US" w:eastAsia="zh-CN" w:bidi="ar-SA"/>
        </w:rPr>
        <w:t>绩效评价的对象</w:t>
      </w:r>
    </w:p>
    <w:p w14:paraId="068D55D8">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本项目预算绩效评价报告的评价对象是2024年度服务业发展资金及其预算执行情况。该项目由</w:t>
      </w:r>
      <w:r>
        <w:rPr>
          <w:rFonts w:hint="eastAsia" w:ascii="Times New Roman" w:hAnsi="Times New Roman" w:eastAsia="方正仿宋_GBK" w:cs="Times New Roman"/>
          <w:b w:val="0"/>
          <w:bCs w:val="0"/>
          <w:color w:val="auto"/>
          <w:kern w:val="2"/>
          <w:sz w:val="31"/>
          <w:szCs w:val="31"/>
          <w:lang w:val="en-US" w:eastAsia="zh-CN" w:bidi="ar-SA"/>
        </w:rPr>
        <w:t>库尔勒市商务和工业信息化局</w:t>
      </w:r>
      <w:r>
        <w:rPr>
          <w:rFonts w:hint="default" w:ascii="Times New Roman" w:hAnsi="Times New Roman" w:eastAsia="方正仿宋_GBK" w:cs="Times New Roman"/>
          <w:b w:val="0"/>
          <w:bCs w:val="0"/>
          <w:color w:val="auto"/>
          <w:kern w:val="2"/>
          <w:sz w:val="31"/>
          <w:szCs w:val="31"/>
          <w:lang w:val="en-US" w:eastAsia="zh-CN" w:bidi="ar-SA"/>
        </w:rPr>
        <w:t>负责实施，旨在改善优化县域消费渠道。项目预算涵盖</w:t>
      </w:r>
      <w:r>
        <w:rPr>
          <w:rFonts w:hint="eastAsia" w:ascii="Times New Roman" w:hAnsi="Times New Roman" w:eastAsia="方正仿宋_GBK" w:cs="Times New Roman"/>
          <w:b w:val="0"/>
          <w:bCs w:val="0"/>
          <w:color w:val="auto"/>
          <w:kern w:val="2"/>
          <w:sz w:val="31"/>
          <w:szCs w:val="31"/>
          <w:lang w:val="en-US" w:eastAsia="zh-CN" w:bidi="ar-SA"/>
        </w:rPr>
        <w:t>2024年</w:t>
      </w:r>
      <w:r>
        <w:rPr>
          <w:rFonts w:hint="default" w:ascii="Times New Roman" w:hAnsi="Times New Roman" w:eastAsia="方正仿宋_GBK" w:cs="Times New Roman"/>
          <w:b w:val="0"/>
          <w:bCs w:val="0"/>
          <w:color w:val="auto"/>
          <w:kern w:val="2"/>
          <w:sz w:val="31"/>
          <w:szCs w:val="31"/>
          <w:lang w:val="en-US" w:eastAsia="zh-CN" w:bidi="ar-SA"/>
        </w:rPr>
        <w:t>的全部资金投入与支出，涉及资金总额为</w:t>
      </w:r>
      <w:r>
        <w:rPr>
          <w:rFonts w:hint="eastAsia" w:ascii="Times New Roman" w:hAnsi="Times New Roman" w:eastAsia="方正仿宋_GBK" w:cs="Times New Roman"/>
          <w:b w:val="0"/>
          <w:bCs w:val="0"/>
          <w:color w:val="auto"/>
          <w:kern w:val="2"/>
          <w:sz w:val="31"/>
          <w:szCs w:val="31"/>
          <w:lang w:val="en-US" w:eastAsia="zh-CN" w:bidi="ar-SA"/>
        </w:rPr>
        <w:t>914.48</w:t>
      </w:r>
      <w:r>
        <w:rPr>
          <w:rFonts w:hint="default" w:ascii="Times New Roman" w:hAnsi="Times New Roman" w:eastAsia="方正仿宋_GBK" w:cs="Times New Roman"/>
          <w:b w:val="0"/>
          <w:bCs w:val="0"/>
          <w:color w:val="auto"/>
          <w:kern w:val="2"/>
          <w:sz w:val="31"/>
          <w:szCs w:val="31"/>
          <w:lang w:val="en-US" w:eastAsia="zh-CN" w:bidi="ar-SA"/>
        </w:rPr>
        <w:t>万元。</w:t>
      </w:r>
    </w:p>
    <w:p w14:paraId="0330C0EA">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4</w:t>
      </w:r>
      <w:r>
        <w:rPr>
          <w:rFonts w:hint="eastAsia" w:ascii="Times New Roman" w:hAnsi="Times New Roman" w:eastAsia="方正仿宋_GBK" w:cs="Times New Roman"/>
          <w:b w:val="0"/>
          <w:bCs w:val="0"/>
          <w:color w:val="auto"/>
          <w:kern w:val="2"/>
          <w:sz w:val="31"/>
          <w:szCs w:val="31"/>
          <w:lang w:val="en-US" w:eastAsia="zh-CN" w:bidi="ar-SA"/>
        </w:rPr>
        <w:t>、</w:t>
      </w:r>
      <w:r>
        <w:rPr>
          <w:rFonts w:hint="default" w:ascii="Times New Roman" w:hAnsi="Times New Roman" w:eastAsia="方正仿宋_GBK" w:cs="Times New Roman"/>
          <w:b w:val="0"/>
          <w:bCs w:val="0"/>
          <w:color w:val="auto"/>
          <w:kern w:val="2"/>
          <w:sz w:val="31"/>
          <w:szCs w:val="31"/>
          <w:lang w:val="en-US" w:eastAsia="zh-CN" w:bidi="ar-SA"/>
        </w:rPr>
        <w:t>绩效评价的范围</w:t>
      </w:r>
    </w:p>
    <w:p w14:paraId="7DE2D43E">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本项目预算绩效评价报告的评价范围广泛而全面，涵盖了从项目立项至评价时点期间的所有关键预算活动和财务流程。具体而言，评价范围包括但不限于以下几个方面：</w:t>
      </w:r>
    </w:p>
    <w:p w14:paraId="6DD57DBF">
      <w:pPr>
        <w:pStyle w:val="11"/>
        <w:pageBreakBefore w:val="0"/>
        <w:widowControl w:val="0"/>
        <w:numPr>
          <w:ilvl w:val="0"/>
          <w:numId w:val="1"/>
        </w:numPr>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项目预算编制与执行：全面审视项目预算的编制依据、合理性、科学性以及实际执行情况，包括预算调整的原因和效果。</w:t>
      </w:r>
    </w:p>
    <w:p w14:paraId="29DE63F0">
      <w:pPr>
        <w:pStyle w:val="11"/>
        <w:pageBreakBefore w:val="0"/>
        <w:widowControl w:val="0"/>
        <w:numPr>
          <w:ilvl w:val="0"/>
          <w:numId w:val="1"/>
        </w:numPr>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资金管理：深入分析项目资金的分配、使用和监管情况，确保资金使用的合规性、高效性和透明度。</w:t>
      </w:r>
    </w:p>
    <w:p w14:paraId="3D7D8953">
      <w:pPr>
        <w:pStyle w:val="11"/>
        <w:pageBreakBefore w:val="0"/>
        <w:widowControl w:val="0"/>
        <w:numPr>
          <w:ilvl w:val="0"/>
          <w:numId w:val="1"/>
        </w:numPr>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项目实施进度与产出：评估项目是否按照既定计划顺利推进，各项任务是否按时完成，以及项目产出的数量、质量和时效性是否符合预期。</w:t>
      </w:r>
    </w:p>
    <w:p w14:paraId="47CC856E">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eastAsia" w:ascii="Times New Roman" w:hAnsi="Times New Roman" w:eastAsia="方正仿宋_GBK" w:cs="Times New Roman"/>
          <w:b w:val="0"/>
          <w:bCs w:val="0"/>
          <w:color w:val="auto"/>
          <w:kern w:val="2"/>
          <w:sz w:val="31"/>
          <w:szCs w:val="31"/>
          <w:lang w:val="en-US" w:eastAsia="zh-CN" w:bidi="ar-SA"/>
        </w:rPr>
        <w:t>（4）经济</w:t>
      </w:r>
      <w:r>
        <w:rPr>
          <w:rFonts w:hint="default" w:ascii="Times New Roman" w:hAnsi="Times New Roman" w:eastAsia="方正仿宋_GBK" w:cs="Times New Roman"/>
          <w:b w:val="0"/>
          <w:bCs w:val="0"/>
          <w:color w:val="auto"/>
          <w:kern w:val="2"/>
          <w:sz w:val="31"/>
          <w:szCs w:val="31"/>
          <w:lang w:val="en-US" w:eastAsia="zh-CN" w:bidi="ar-SA"/>
        </w:rPr>
        <w:t>影响：考察项目对经济方面的综合影响。</w:t>
      </w:r>
    </w:p>
    <w:p w14:paraId="148AE446">
      <w:pPr>
        <w:pageBreakBefore w:val="0"/>
        <w:kinsoku/>
        <w:wordWrap/>
        <w:overflowPunct/>
        <w:topLinePunct w:val="0"/>
        <w:autoSpaceDE/>
        <w:autoSpaceDN/>
        <w:bidi w:val="0"/>
        <w:adjustRightInd/>
        <w:snapToGrid/>
        <w:spacing w:line="560" w:lineRule="exact"/>
        <w:ind w:firstLine="622" w:firstLineChars="200"/>
        <w:textAlignment w:val="auto"/>
        <w:rPr>
          <w:rFonts w:hint="default" w:ascii="Times New Roman" w:hAnsi="Times New Roman" w:cs="Times New Roman"/>
          <w:sz w:val="31"/>
          <w:szCs w:val="31"/>
        </w:rPr>
      </w:pPr>
      <w:r>
        <w:rPr>
          <w:rFonts w:hint="default" w:ascii="Times New Roman" w:hAnsi="Times New Roman" w:eastAsia="楷体_GB2312" w:cs="Times New Roman"/>
          <w:b/>
          <w:bCs/>
          <w:sz w:val="31"/>
          <w:szCs w:val="31"/>
        </w:rPr>
        <w:t>（二）绩效评价原则、评价指标体系（详情见表1）、评价方法、评价标准。</w:t>
      </w:r>
    </w:p>
    <w:p w14:paraId="64FCDC1C">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1</w:t>
      </w:r>
      <w:r>
        <w:rPr>
          <w:rFonts w:hint="eastAsia" w:ascii="Times New Roman" w:hAnsi="Times New Roman" w:eastAsia="方正仿宋_GBK" w:cs="Times New Roman"/>
          <w:b w:val="0"/>
          <w:bCs w:val="0"/>
          <w:color w:val="auto"/>
          <w:kern w:val="2"/>
          <w:sz w:val="31"/>
          <w:szCs w:val="31"/>
          <w:lang w:val="en-US" w:eastAsia="zh-CN" w:bidi="ar-SA"/>
        </w:rPr>
        <w:t>、</w:t>
      </w:r>
      <w:r>
        <w:rPr>
          <w:rFonts w:hint="default" w:ascii="Times New Roman" w:hAnsi="Times New Roman" w:eastAsia="方正仿宋_GBK" w:cs="Times New Roman"/>
          <w:b w:val="0"/>
          <w:bCs w:val="0"/>
          <w:color w:val="auto"/>
          <w:kern w:val="2"/>
          <w:sz w:val="31"/>
          <w:szCs w:val="31"/>
          <w:lang w:val="en-US" w:eastAsia="zh-CN" w:bidi="ar-SA"/>
        </w:rPr>
        <w:t>绩效评价原则</w:t>
      </w:r>
    </w:p>
    <w:p w14:paraId="67577542">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本次项目绩效评价遵循以下基本原则：</w:t>
      </w:r>
    </w:p>
    <w:p w14:paraId="472613DA">
      <w:pPr>
        <w:pStyle w:val="11"/>
        <w:pageBreakBefore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（1）科学公正。绩效评价应当运用科学合理的方法，按照规范的程序，对项目绩效进行客观、公正的反映。</w:t>
      </w:r>
    </w:p>
    <w:p w14:paraId="6E8063C2">
      <w:pPr>
        <w:pStyle w:val="11"/>
        <w:pageBreakBefore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（2）统筹兼顾。单位自评、部门评价和财政评价应职责明确，各有侧重，相互衔接。单位自评应由项目单位自主实施，即“谁支出、谁自评”。部门评价和财政评价应在单位自评的基础上开展。</w:t>
      </w:r>
    </w:p>
    <w:p w14:paraId="5A4A754D">
      <w:pPr>
        <w:pStyle w:val="11"/>
        <w:pageBreakBefore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（3）激励约束。绩效评价结果应与预算安排、政策调整、改进管理实质性挂钩，体现奖优罚劣和激励相容导向，有效要安排、低效要压减、无效要问责。</w:t>
      </w:r>
    </w:p>
    <w:p w14:paraId="04DC9C44">
      <w:pPr>
        <w:pStyle w:val="11"/>
        <w:pageBreakBefore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（4）公开透明。绩效评价结果应依法依规公开，并自觉接受社会监督。</w:t>
      </w:r>
    </w:p>
    <w:p w14:paraId="73C0B84E">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2</w:t>
      </w:r>
      <w:r>
        <w:rPr>
          <w:rFonts w:hint="eastAsia" w:ascii="Times New Roman" w:hAnsi="Times New Roman" w:eastAsia="方正仿宋_GBK" w:cs="Times New Roman"/>
          <w:b w:val="0"/>
          <w:bCs w:val="0"/>
          <w:color w:val="auto"/>
          <w:kern w:val="2"/>
          <w:sz w:val="31"/>
          <w:szCs w:val="31"/>
          <w:lang w:val="en-US" w:eastAsia="zh-CN" w:bidi="ar-SA"/>
        </w:rPr>
        <w:t>、</w:t>
      </w:r>
      <w:r>
        <w:rPr>
          <w:rFonts w:hint="default" w:ascii="Times New Roman" w:hAnsi="Times New Roman" w:eastAsia="方正仿宋_GBK" w:cs="Times New Roman"/>
          <w:b w:val="0"/>
          <w:bCs w:val="0"/>
          <w:color w:val="auto"/>
          <w:kern w:val="2"/>
          <w:sz w:val="31"/>
          <w:szCs w:val="31"/>
          <w:lang w:val="en-US" w:eastAsia="zh-CN" w:bidi="ar-SA"/>
        </w:rPr>
        <w:t>评价指标体系</w:t>
      </w:r>
    </w:p>
    <w:p w14:paraId="4F5B5636">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绩效评价框架是开展绩效评价的核心。绩效评价框架包括评价准则、关键评价问题、评价指标、数据来源、数据收集方法等。指标体系建立过程如下：</w:t>
      </w:r>
    </w:p>
    <w:p w14:paraId="72864D42">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（1）确定评价指标</w:t>
      </w:r>
    </w:p>
    <w:p w14:paraId="3737121B">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3DC6D678">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（2）确定权重</w:t>
      </w:r>
    </w:p>
    <w:p w14:paraId="57E70F27">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确定各个指标相对于项目总体绩效的权重分值。在绩效评价指标体系中，项目决策权重为20分，项目过程权重为20分，项目产出权重为40分，项目效益权重为20分。</w:t>
      </w:r>
    </w:p>
    <w:p w14:paraId="39390624">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（3）确定指标标准值</w:t>
      </w:r>
    </w:p>
    <w:p w14:paraId="2A339FFB">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指标标准值是绩效评价指标的尺度，既要反映同类项目的先进水平，又要符合项目的实际绩效水平。具体采用计划标准等确定此次绩效评价指标标准值。</w:t>
      </w:r>
    </w:p>
    <w:p w14:paraId="26D0DD25">
      <w:pPr>
        <w:pStyle w:val="11"/>
        <w:pageBreakBefore w:val="0"/>
        <w:kinsoku/>
        <w:wordWrap/>
        <w:overflowPunct/>
        <w:topLinePunct w:val="0"/>
        <w:autoSpaceDE/>
        <w:autoSpaceDN/>
        <w:bidi w:val="0"/>
        <w:adjustRightInd/>
        <w:snapToGrid/>
        <w:spacing w:before="0" w:after="0" w:line="560" w:lineRule="exact"/>
        <w:ind w:firstLine="620" w:firstLineChars="200"/>
        <w:jc w:val="both"/>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绩效评价总分值100分，根据综合评分结果，90（含）-100分为优、80（含）-90分为良、60（含）-80分为中、60分以下为差。</w:t>
      </w:r>
    </w:p>
    <w:p w14:paraId="59E70CF3">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具体评价指标体系详情见附件1</w:t>
      </w:r>
    </w:p>
    <w:p w14:paraId="6A9A3000">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3</w:t>
      </w:r>
      <w:r>
        <w:rPr>
          <w:rFonts w:hint="eastAsia" w:ascii="Times New Roman" w:hAnsi="Times New Roman" w:eastAsia="方正仿宋_GBK" w:cs="Times New Roman"/>
          <w:b w:val="0"/>
          <w:bCs w:val="0"/>
          <w:color w:val="auto"/>
          <w:kern w:val="2"/>
          <w:sz w:val="31"/>
          <w:szCs w:val="31"/>
          <w:lang w:val="en-US" w:eastAsia="zh-CN" w:bidi="ar-SA"/>
        </w:rPr>
        <w:t>、</w:t>
      </w:r>
      <w:r>
        <w:rPr>
          <w:rFonts w:hint="default" w:ascii="Times New Roman" w:hAnsi="Times New Roman" w:eastAsia="方正仿宋_GBK" w:cs="Times New Roman"/>
          <w:b w:val="0"/>
          <w:bCs w:val="0"/>
          <w:color w:val="auto"/>
          <w:kern w:val="2"/>
          <w:sz w:val="31"/>
          <w:szCs w:val="31"/>
          <w:lang w:val="en-US" w:eastAsia="zh-CN" w:bidi="ar-SA"/>
        </w:rPr>
        <w:t>绩效评价方法</w:t>
      </w:r>
    </w:p>
    <w:p w14:paraId="12E3E4D6">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绩效评价从项目决策、项目过程、项目产出、项目效益四个维度进行评价。评价对象为项目目标实施情况，  评价核心为资金的支出完成情况和项目的产出效益。</w:t>
      </w:r>
    </w:p>
    <w:p w14:paraId="4082C719">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本次评价指标中，既有定性指标又有定量指标，各类指标因考核内容不同和客观标准不同存在较大差异，因此核定具体指标时采用了不同方法，具体评价方法如下：</w:t>
      </w:r>
    </w:p>
    <w:p w14:paraId="59BDC925">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eastAsia" w:ascii="Times New Roman" w:hAnsi="Times New Roman" w:eastAsia="方正仿宋_GBK" w:cs="Times New Roman"/>
          <w:b w:val="0"/>
          <w:bCs w:val="0"/>
          <w:color w:val="auto"/>
          <w:kern w:val="2"/>
          <w:sz w:val="31"/>
          <w:szCs w:val="31"/>
          <w:lang w:val="en-US" w:eastAsia="zh-CN" w:bidi="ar-SA"/>
        </w:rPr>
        <w:t>（1）</w:t>
      </w:r>
      <w:r>
        <w:rPr>
          <w:rFonts w:hint="default" w:ascii="Times New Roman" w:hAnsi="Times New Roman" w:eastAsia="方正仿宋_GBK" w:cs="Times New Roman"/>
          <w:b w:val="0"/>
          <w:bCs w:val="0"/>
          <w:color w:val="auto"/>
          <w:kern w:val="2"/>
          <w:sz w:val="31"/>
          <w:szCs w:val="31"/>
          <w:lang w:val="en-US" w:eastAsia="zh-CN" w:bidi="ar-SA"/>
        </w:rPr>
        <w:t>绩效评价法</w:t>
      </w:r>
      <w:r>
        <w:rPr>
          <w:rFonts w:hint="eastAsia" w:ascii="Times New Roman" w:hAnsi="Times New Roman" w:eastAsia="方正仿宋_GBK" w:cs="Times New Roman"/>
          <w:b w:val="0"/>
          <w:bCs w:val="0"/>
          <w:color w:val="auto"/>
          <w:kern w:val="2"/>
          <w:sz w:val="31"/>
          <w:szCs w:val="31"/>
          <w:lang w:val="en-US" w:eastAsia="zh-CN" w:bidi="ar-SA"/>
        </w:rPr>
        <w:t>：</w:t>
      </w:r>
      <w:r>
        <w:rPr>
          <w:rFonts w:hint="default" w:ascii="Times New Roman" w:hAnsi="Times New Roman" w:eastAsia="方正仿宋_GBK" w:cs="Times New Roman"/>
          <w:b w:val="0"/>
          <w:bCs w:val="0"/>
          <w:color w:val="auto"/>
          <w:kern w:val="2"/>
          <w:sz w:val="31"/>
          <w:szCs w:val="31"/>
          <w:lang w:val="en-US" w:eastAsia="zh-CN" w:bidi="ar-SA"/>
        </w:rPr>
        <w:t>根据库尔勒市县域商业体系建设的规划和政策要求，确定具体的绩效目标，如提升农村电商覆盖率、降低物流成本、提高农产品上行销售额等。</w:t>
      </w:r>
    </w:p>
    <w:p w14:paraId="129F4752">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对照绩效目标，通过实地走访、查看现场、座谈交流、查阅资料等方式，对项目建设、资金使用、工作成效等方面进行评估。对比商业发展的各项指标，</w:t>
      </w:r>
      <w:r>
        <w:rPr>
          <w:rFonts w:hint="eastAsia" w:ascii="Times New Roman" w:hAnsi="Times New Roman" w:eastAsia="方正仿宋_GBK" w:cs="Times New Roman"/>
          <w:b w:val="0"/>
          <w:bCs w:val="0"/>
          <w:color w:val="auto"/>
          <w:kern w:val="2"/>
          <w:sz w:val="31"/>
          <w:szCs w:val="31"/>
          <w:lang w:val="en-US" w:eastAsia="zh-CN" w:bidi="ar-SA"/>
        </w:rPr>
        <w:t>确定能提升我市经济效益的项目。</w:t>
      </w:r>
    </w:p>
    <w:p w14:paraId="438A1EE5">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4</w:t>
      </w:r>
      <w:r>
        <w:rPr>
          <w:rFonts w:hint="eastAsia" w:ascii="Times New Roman" w:hAnsi="Times New Roman" w:eastAsia="方正仿宋_GBK" w:cs="Times New Roman"/>
          <w:b w:val="0"/>
          <w:bCs w:val="0"/>
          <w:color w:val="auto"/>
          <w:kern w:val="2"/>
          <w:sz w:val="31"/>
          <w:szCs w:val="31"/>
          <w:lang w:val="en-US" w:eastAsia="zh-CN" w:bidi="ar-SA"/>
        </w:rPr>
        <w:t>、</w:t>
      </w:r>
      <w:r>
        <w:rPr>
          <w:rFonts w:hint="default" w:ascii="Times New Roman" w:hAnsi="Times New Roman" w:eastAsia="方正仿宋_GBK" w:cs="Times New Roman"/>
          <w:b w:val="0"/>
          <w:bCs w:val="0"/>
          <w:color w:val="auto"/>
          <w:kern w:val="2"/>
          <w:sz w:val="31"/>
          <w:szCs w:val="31"/>
          <w:lang w:val="en-US" w:eastAsia="zh-CN" w:bidi="ar-SA"/>
        </w:rPr>
        <w:t>评价标准</w:t>
      </w:r>
    </w:p>
    <w:p w14:paraId="6068DBE1">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绩效评价标准通常包括计划标准、行业标准、历史标准等，用于对绩效指标完成情况进行比较、分析、评价。本次评价主要采用了</w:t>
      </w:r>
      <w:r>
        <w:rPr>
          <w:rFonts w:hint="eastAsia" w:ascii="Times New Roman" w:hAnsi="Times New Roman" w:eastAsia="方正仿宋_GBK" w:cs="Times New Roman"/>
          <w:b w:val="0"/>
          <w:bCs w:val="0"/>
          <w:color w:val="auto"/>
          <w:kern w:val="2"/>
          <w:sz w:val="31"/>
          <w:szCs w:val="31"/>
          <w:lang w:val="en-US" w:eastAsia="zh-CN" w:bidi="ar-SA"/>
        </w:rPr>
        <w:t>计划</w:t>
      </w:r>
      <w:r>
        <w:rPr>
          <w:rFonts w:hint="default" w:ascii="Times New Roman" w:hAnsi="Times New Roman" w:eastAsia="方正仿宋_GBK" w:cs="Times New Roman"/>
          <w:b w:val="0"/>
          <w:bCs w:val="0"/>
          <w:color w:val="auto"/>
          <w:kern w:val="2"/>
          <w:sz w:val="31"/>
          <w:szCs w:val="31"/>
          <w:lang w:val="en-US" w:eastAsia="zh-CN" w:bidi="ar-SA"/>
        </w:rPr>
        <w:t>标准。</w:t>
      </w:r>
    </w:p>
    <w:p w14:paraId="15A7850E">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（1）计划标准。指以预先制定的目标、计划、预算、定额等作为评价标准。</w:t>
      </w:r>
    </w:p>
    <w:p w14:paraId="0015B3DB">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eastAsia" w:ascii="Times New Roman" w:hAnsi="Times New Roman" w:eastAsia="方正仿宋_GBK" w:cs="Times New Roman"/>
          <w:b w:val="0"/>
          <w:bCs w:val="0"/>
          <w:color w:val="auto"/>
          <w:kern w:val="2"/>
          <w:sz w:val="31"/>
          <w:szCs w:val="31"/>
          <w:lang w:val="en-US" w:eastAsia="zh-CN" w:bidi="ar-SA"/>
        </w:rPr>
        <w:t>通过文件要求的支持方向明确符合的企业，并组织企业积极申报，通过自治区第三方公司严格审核，进行筛选，按照支持标准进行定额，再次对已建设完毕的项目进行验收工作，最后对符合标准的进行拨款。</w:t>
      </w:r>
    </w:p>
    <w:p w14:paraId="42160A7F">
      <w:pPr>
        <w:pStyle w:val="11"/>
        <w:pageBreakBefore w:val="0"/>
        <w:numPr>
          <w:ilvl w:val="0"/>
          <w:numId w:val="2"/>
        </w:numPr>
        <w:kinsoku/>
        <w:wordWrap/>
        <w:overflowPunct/>
        <w:topLinePunct w:val="0"/>
        <w:autoSpaceDE/>
        <w:autoSpaceDN/>
        <w:bidi w:val="0"/>
        <w:adjustRightInd/>
        <w:snapToGrid/>
        <w:spacing w:before="0" w:after="0" w:line="560" w:lineRule="exact"/>
        <w:ind w:firstLine="690" w:firstLineChars="200"/>
        <w:jc w:val="both"/>
        <w:textAlignment w:val="auto"/>
        <w:rPr>
          <w:rFonts w:hint="default" w:ascii="Times New Roman" w:hAnsi="Times New Roman" w:eastAsia="楷体" w:cs="Times New Roman"/>
          <w:color w:val="000000"/>
          <w:spacing w:val="17"/>
          <w:sz w:val="31"/>
          <w:szCs w:val="31"/>
        </w:rPr>
      </w:pPr>
      <w:r>
        <w:rPr>
          <w:rFonts w:hint="default" w:ascii="Times New Roman" w:hAnsi="Times New Roman" w:eastAsia="楷体" w:cs="Times New Roman"/>
          <w:color w:val="000000"/>
          <w:spacing w:val="17"/>
          <w:sz w:val="31"/>
          <w:szCs w:val="31"/>
        </w:rPr>
        <w:t>绩效评价工作过程</w:t>
      </w:r>
    </w:p>
    <w:p w14:paraId="1C8C950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1</w:t>
      </w:r>
      <w:r>
        <w:rPr>
          <w:rFonts w:hint="eastAsia"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前期准备与规划</w:t>
      </w:r>
    </w:p>
    <w:p w14:paraId="682C0D0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在项目绩效评价工作启动之初，成立了专门的</w:t>
      </w:r>
      <w:r>
        <w:rPr>
          <w:rFonts w:hint="eastAsia" w:eastAsia="方正仿宋_GBK" w:cs="Times New Roman"/>
          <w:color w:val="auto"/>
          <w:sz w:val="31"/>
          <w:szCs w:val="31"/>
          <w:lang w:val="en-US" w:eastAsia="zh-CN"/>
        </w:rPr>
        <w:t>领导</w:t>
      </w:r>
      <w:r>
        <w:rPr>
          <w:rFonts w:hint="default" w:ascii="Times New Roman" w:hAnsi="Times New Roman" w:eastAsia="方正仿宋_GBK" w:cs="Times New Roman"/>
          <w:color w:val="auto"/>
          <w:sz w:val="31"/>
          <w:szCs w:val="31"/>
          <w:lang w:val="en-US" w:eastAsia="zh-CN"/>
        </w:rPr>
        <w:t>工作小组，小组成员由</w:t>
      </w:r>
      <w:r>
        <w:rPr>
          <w:rFonts w:hint="eastAsia" w:eastAsia="方正仿宋_GBK" w:cs="Times New Roman"/>
          <w:color w:val="auto"/>
          <w:sz w:val="31"/>
          <w:szCs w:val="31"/>
          <w:lang w:val="en-US" w:eastAsia="zh-CN"/>
        </w:rPr>
        <w:t>市商工局副局长</w:t>
      </w:r>
      <w:r>
        <w:rPr>
          <w:rFonts w:hint="default" w:ascii="Times New Roman" w:hAnsi="Times New Roman" w:eastAsia="方正仿宋_GBK" w:cs="Times New Roman"/>
          <w:color w:val="auto"/>
          <w:sz w:val="31"/>
          <w:szCs w:val="31"/>
          <w:lang w:val="en-US" w:eastAsia="zh-CN"/>
        </w:rPr>
        <w:t>及相关领域</w:t>
      </w:r>
      <w:r>
        <w:rPr>
          <w:rFonts w:hint="eastAsia" w:eastAsia="方正仿宋_GBK" w:cs="Times New Roman"/>
          <w:color w:val="auto"/>
          <w:sz w:val="31"/>
          <w:szCs w:val="31"/>
          <w:lang w:val="en-US" w:eastAsia="zh-CN"/>
        </w:rPr>
        <w:t>负责</w:t>
      </w:r>
      <w:r>
        <w:rPr>
          <w:rFonts w:hint="default" w:ascii="Times New Roman" w:hAnsi="Times New Roman" w:eastAsia="方正仿宋_GBK" w:cs="Times New Roman"/>
          <w:color w:val="auto"/>
          <w:sz w:val="31"/>
          <w:szCs w:val="31"/>
          <w:lang w:val="en-US" w:eastAsia="zh-CN"/>
        </w:rPr>
        <w:t>骨干组成，确保从多角度、全方位对项目绩效进行评价。同时，明确了评价工作的目标、范围、重点及时间安排，制定了详细的工作计划，为评价工作的顺利开展奠定了坚实基础。</w:t>
      </w:r>
    </w:p>
    <w:p w14:paraId="6A5E1E6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2</w:t>
      </w:r>
      <w:r>
        <w:rPr>
          <w:rFonts w:hint="eastAsia"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指标体系构建</w:t>
      </w:r>
    </w:p>
    <w:p w14:paraId="2F6BC98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7B8D168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3</w:t>
      </w:r>
      <w:r>
        <w:rPr>
          <w:rFonts w:hint="eastAsia"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数据收集与整理</w:t>
      </w:r>
    </w:p>
    <w:p w14:paraId="7CCBE23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02AFBB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4</w:t>
      </w:r>
      <w:r>
        <w:rPr>
          <w:rFonts w:hint="eastAsia"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数据分析与评估</w:t>
      </w:r>
    </w:p>
    <w:p w14:paraId="62E58AF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08B2CC3">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5</w:t>
      </w:r>
      <w:r>
        <w:rPr>
          <w:rFonts w:hint="eastAsia"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报告撰写与反馈</w:t>
      </w:r>
    </w:p>
    <w:p w14:paraId="1C9421B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BC84144">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6</w:t>
      </w:r>
      <w:r>
        <w:rPr>
          <w:rFonts w:hint="eastAsia"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后续跟踪与改进</w:t>
      </w:r>
    </w:p>
    <w:p w14:paraId="586FB5E6">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382EF4D">
      <w:pPr>
        <w:pageBreakBefore w:val="0"/>
        <w:kinsoku/>
        <w:wordWrap/>
        <w:overflowPunct/>
        <w:topLinePunct w:val="0"/>
        <w:autoSpaceDE/>
        <w:autoSpaceDN/>
        <w:bidi w:val="0"/>
        <w:adjustRightInd/>
        <w:snapToGrid/>
        <w:spacing w:line="560" w:lineRule="exact"/>
        <w:ind w:firstLine="620" w:firstLineChars="200"/>
        <w:textAlignment w:val="auto"/>
        <w:rPr>
          <w:rFonts w:hint="default" w:ascii="方正黑体_GBK" w:hAnsi="方正黑体_GBK" w:eastAsia="方正黑体_GBK" w:cs="方正黑体_GBK"/>
          <w:bCs/>
          <w:sz w:val="31"/>
          <w:szCs w:val="31"/>
        </w:rPr>
      </w:pPr>
      <w:r>
        <w:rPr>
          <w:rFonts w:hint="eastAsia" w:ascii="方正黑体_GBK" w:hAnsi="方正黑体_GBK" w:eastAsia="方正黑体_GBK" w:cs="方正黑体_GBK"/>
          <w:bCs/>
          <w:sz w:val="31"/>
          <w:szCs w:val="31"/>
          <w:lang w:eastAsia="zh-CN"/>
        </w:rPr>
        <w:t>三、</w:t>
      </w:r>
      <w:r>
        <w:rPr>
          <w:rFonts w:hint="default" w:ascii="方正黑体_GBK" w:hAnsi="方正黑体_GBK" w:eastAsia="方正黑体_GBK" w:cs="方正黑体_GBK"/>
          <w:bCs/>
          <w:sz w:val="31"/>
          <w:szCs w:val="31"/>
        </w:rPr>
        <w:t>综合评价情况及评价结论</w:t>
      </w:r>
    </w:p>
    <w:p w14:paraId="63A942A2">
      <w:pPr>
        <w:pStyle w:val="11"/>
        <w:keepNext w:val="0"/>
        <w:keepLines w:val="0"/>
        <w:pageBreakBefore w:val="0"/>
        <w:widowControl/>
        <w:kinsoku/>
        <w:wordWrap/>
        <w:overflowPunct/>
        <w:topLinePunct w:val="0"/>
        <w:autoSpaceDE/>
        <w:autoSpaceDN/>
        <w:bidi w:val="0"/>
        <w:adjustRightInd/>
        <w:snapToGrid/>
        <w:spacing w:before="0" w:after="0" w:line="560" w:lineRule="exact"/>
        <w:ind w:firstLine="622" w:firstLineChars="200"/>
        <w:jc w:val="both"/>
        <w:textAlignment w:val="auto"/>
        <w:rPr>
          <w:rFonts w:hint="default" w:ascii="Times New Roman" w:hAnsi="Times New Roman" w:eastAsia="楷体_GB2312" w:cs="Times New Roman"/>
          <w:sz w:val="31"/>
          <w:szCs w:val="31"/>
          <w:highlight w:val="none"/>
          <w:lang w:val="en-US" w:eastAsia="zh-CN"/>
        </w:rPr>
      </w:pPr>
      <w:r>
        <w:rPr>
          <w:rFonts w:hint="default" w:ascii="Times New Roman" w:hAnsi="Times New Roman" w:eastAsia="楷体_GB2312" w:cs="Times New Roman"/>
          <w:sz w:val="31"/>
          <w:szCs w:val="31"/>
          <w:highlight w:val="none"/>
          <w:lang w:eastAsia="zh-CN"/>
        </w:rPr>
        <w:t>（</w:t>
      </w:r>
      <w:r>
        <w:rPr>
          <w:rFonts w:hint="default" w:ascii="Times New Roman" w:hAnsi="Times New Roman" w:eastAsia="楷体_GB2312" w:cs="Times New Roman"/>
          <w:sz w:val="31"/>
          <w:szCs w:val="31"/>
          <w:highlight w:val="none"/>
          <w:lang w:val="en-US" w:eastAsia="zh-CN"/>
        </w:rPr>
        <w:t>一</w:t>
      </w:r>
      <w:r>
        <w:rPr>
          <w:rFonts w:hint="default" w:ascii="Times New Roman" w:hAnsi="Times New Roman" w:eastAsia="楷体_GB2312" w:cs="Times New Roman"/>
          <w:sz w:val="31"/>
          <w:szCs w:val="31"/>
          <w:highlight w:val="none"/>
          <w:lang w:eastAsia="zh-CN"/>
        </w:rPr>
        <w:t>）</w:t>
      </w:r>
      <w:r>
        <w:rPr>
          <w:rFonts w:hint="default" w:ascii="Times New Roman" w:hAnsi="Times New Roman" w:eastAsia="楷体_GB2312" w:cs="Times New Roman"/>
          <w:sz w:val="31"/>
          <w:szCs w:val="31"/>
          <w:highlight w:val="none"/>
          <w:lang w:val="en-US" w:eastAsia="zh-CN"/>
        </w:rPr>
        <w:t>评价情况</w:t>
      </w:r>
    </w:p>
    <w:p w14:paraId="4FC68B7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本项目的综合评价基于对项目各方面绩效的深入分析与评估。从项目目标的达成情况来看，</w:t>
      </w:r>
      <w:r>
        <w:rPr>
          <w:rFonts w:hint="eastAsia" w:eastAsia="方正仿宋_GBK" w:cs="Times New Roman"/>
          <w:color w:val="auto"/>
          <w:sz w:val="31"/>
          <w:szCs w:val="31"/>
          <w:lang w:val="en-US" w:eastAsia="zh-CN"/>
        </w:rPr>
        <w:t>通过</w:t>
      </w:r>
      <w:r>
        <w:rPr>
          <w:rFonts w:hint="default" w:ascii="Times New Roman" w:hAnsi="Times New Roman" w:eastAsia="方正仿宋_GBK" w:cs="Times New Roman"/>
          <w:color w:val="auto"/>
          <w:sz w:val="31"/>
          <w:szCs w:val="31"/>
          <w:lang w:val="en-US" w:eastAsia="zh-CN"/>
        </w:rPr>
        <w:t>巴财企[2024]38号关于拨付2024年度服务业发展资金的通知</w:t>
      </w:r>
      <w:r>
        <w:rPr>
          <w:rFonts w:hint="eastAsia"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库尔勒市香梨产业发展有限公司、库尔勒中泰鸿茂畜牧发展有限责任公司、新疆库尔勒铁克其乡上恰其村股份经济合作社、新疆博海市场管理有限公司等4家</w:t>
      </w:r>
      <w:r>
        <w:rPr>
          <w:rFonts w:hint="eastAsia" w:eastAsia="方正仿宋_GBK" w:cs="Times New Roman"/>
          <w:color w:val="auto"/>
          <w:sz w:val="31"/>
          <w:szCs w:val="31"/>
          <w:lang w:val="en-US" w:eastAsia="zh-CN"/>
        </w:rPr>
        <w:t>企业在改善经济效益</w:t>
      </w:r>
      <w:r>
        <w:rPr>
          <w:rFonts w:hint="default" w:ascii="Times New Roman" w:hAnsi="Times New Roman" w:eastAsia="方正仿宋_GBK" w:cs="Times New Roman"/>
          <w:color w:val="auto"/>
          <w:sz w:val="31"/>
          <w:szCs w:val="31"/>
          <w:lang w:val="en-US" w:eastAsia="zh-CN"/>
        </w:rPr>
        <w:t>等方面表现出色，达到了预期的标准与要求。同时，项目也在促进城乡融合发展取得了显著的成效，如改善优化县域消费渠道等。</w:t>
      </w:r>
    </w:p>
    <w:p w14:paraId="2EBCB4F0">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在项目管理方面，新疆博海市场管理有限公司</w:t>
      </w:r>
      <w:r>
        <w:rPr>
          <w:rFonts w:hint="eastAsia" w:ascii="Times New Roman" w:hAnsi="Times New Roman" w:eastAsia="方正仿宋_GBK" w:cs="Times New Roman"/>
          <w:color w:val="auto"/>
          <w:sz w:val="31"/>
          <w:szCs w:val="31"/>
          <w:lang w:val="en-US" w:eastAsia="zh-CN"/>
        </w:rPr>
        <w:t>、新疆库尔勒香梨产业发展有限公司、库尔勒市铁克其乡上恰其村股份经济合作社</w:t>
      </w:r>
      <w:r>
        <w:rPr>
          <w:rFonts w:hint="default" w:ascii="Times New Roman" w:hAnsi="Times New Roman" w:eastAsia="方正仿宋_GBK" w:cs="Times New Roman"/>
          <w:color w:val="auto"/>
          <w:sz w:val="31"/>
          <w:szCs w:val="31"/>
          <w:lang w:val="en-US" w:eastAsia="zh-CN"/>
        </w:rPr>
        <w:t>通过有效的规划、组织与协调，项目得以顺利实施，并在预算与时间上保持了良好的控制。</w:t>
      </w:r>
    </w:p>
    <w:p w14:paraId="6AF62B5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从项目效益的角度来看，本项目实现了预期的</w:t>
      </w:r>
      <w:r>
        <w:rPr>
          <w:rFonts w:hint="eastAsia" w:ascii="Times New Roman" w:hAnsi="Times New Roman" w:eastAsia="方正仿宋_GBK" w:cs="Times New Roman"/>
          <w:color w:val="auto"/>
          <w:sz w:val="31"/>
          <w:szCs w:val="31"/>
          <w:lang w:val="en-US" w:eastAsia="zh-CN"/>
        </w:rPr>
        <w:t>经济效益</w:t>
      </w:r>
      <w:r>
        <w:rPr>
          <w:rFonts w:hint="default" w:ascii="Times New Roman" w:hAnsi="Times New Roman" w:eastAsia="方正仿宋_GBK" w:cs="Times New Roman"/>
          <w:color w:val="auto"/>
          <w:sz w:val="31"/>
          <w:szCs w:val="31"/>
          <w:lang w:val="en-US" w:eastAsia="zh-CN"/>
        </w:rPr>
        <w:t>方面产生了积极的影响。具体而言，改善优化县域消费渠道等方面的提升，为项目的利益相关者带来了实实在在的利益。</w:t>
      </w:r>
    </w:p>
    <w:p w14:paraId="4B71CF54">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综上所述，巴财企[2024]38号关于拨付2024年度服务业发展资金的通知在绩效评价中表现出色，达到了项目的预期目标，并在多个方面取得了显著的成效。</w:t>
      </w:r>
    </w:p>
    <w:p w14:paraId="630F50D9">
      <w:pPr>
        <w:pStyle w:val="11"/>
        <w:keepNext w:val="0"/>
        <w:keepLines w:val="0"/>
        <w:pageBreakBefore w:val="0"/>
        <w:widowControl/>
        <w:kinsoku/>
        <w:wordWrap/>
        <w:overflowPunct/>
        <w:topLinePunct w:val="0"/>
        <w:autoSpaceDE/>
        <w:autoSpaceDN/>
        <w:bidi w:val="0"/>
        <w:adjustRightInd/>
        <w:snapToGrid/>
        <w:spacing w:before="0" w:after="0" w:line="560" w:lineRule="exact"/>
        <w:ind w:firstLine="622" w:firstLineChars="200"/>
        <w:jc w:val="both"/>
        <w:textAlignment w:val="auto"/>
        <w:rPr>
          <w:rFonts w:hint="default" w:ascii="Times New Roman" w:hAnsi="Times New Roman" w:eastAsia="楷体_GB2312" w:cs="Times New Roman"/>
          <w:sz w:val="31"/>
          <w:szCs w:val="31"/>
          <w:lang w:val="en-US" w:eastAsia="zh-CN"/>
        </w:rPr>
      </w:pPr>
      <w:r>
        <w:rPr>
          <w:rFonts w:hint="default" w:ascii="Times New Roman" w:hAnsi="Times New Roman" w:eastAsia="楷体_GB2312" w:cs="Times New Roman"/>
          <w:sz w:val="31"/>
          <w:szCs w:val="31"/>
          <w:lang w:eastAsia="zh-CN"/>
        </w:rPr>
        <w:t>（</w:t>
      </w:r>
      <w:r>
        <w:rPr>
          <w:rFonts w:hint="default" w:ascii="Times New Roman" w:hAnsi="Times New Roman" w:eastAsia="楷体_GB2312" w:cs="Times New Roman"/>
          <w:sz w:val="31"/>
          <w:szCs w:val="31"/>
          <w:lang w:val="en-US" w:eastAsia="zh-CN"/>
        </w:rPr>
        <w:t>二</w:t>
      </w:r>
      <w:r>
        <w:rPr>
          <w:rFonts w:hint="default" w:ascii="Times New Roman" w:hAnsi="Times New Roman" w:eastAsia="楷体_GB2312" w:cs="Times New Roman"/>
          <w:sz w:val="31"/>
          <w:szCs w:val="31"/>
          <w:lang w:eastAsia="zh-CN"/>
        </w:rPr>
        <w:t>）</w:t>
      </w:r>
      <w:r>
        <w:rPr>
          <w:rFonts w:hint="default" w:ascii="Times New Roman" w:hAnsi="Times New Roman" w:eastAsia="楷体_GB2312" w:cs="Times New Roman"/>
          <w:sz w:val="31"/>
          <w:szCs w:val="31"/>
          <w:lang w:val="en-US" w:eastAsia="zh-CN"/>
        </w:rPr>
        <w:t>评价结论</w:t>
      </w:r>
    </w:p>
    <w:p w14:paraId="526BCD79">
      <w:pPr>
        <w:pStyle w:val="11"/>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default" w:ascii="Times New Roman" w:hAnsi="Times New Roman" w:eastAsia="方正仿宋_GBK" w:cs="Times New Roman"/>
          <w:b w:val="0"/>
          <w:bCs w:val="0"/>
          <w:color w:val="auto"/>
          <w:kern w:val="2"/>
          <w:sz w:val="31"/>
          <w:szCs w:val="31"/>
          <w:lang w:val="en-US" w:eastAsia="zh-CN" w:bidi="ar-SA"/>
        </w:rPr>
      </w:pPr>
      <w:r>
        <w:rPr>
          <w:rFonts w:hint="default" w:ascii="Times New Roman" w:hAnsi="Times New Roman" w:eastAsia="方正仿宋_GBK" w:cs="Times New Roman"/>
          <w:b w:val="0"/>
          <w:bCs w:val="0"/>
          <w:color w:val="auto"/>
          <w:kern w:val="2"/>
          <w:sz w:val="31"/>
          <w:szCs w:val="31"/>
          <w:lang w:val="en-US" w:eastAsia="zh-CN" w:bidi="ar-SA"/>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方正仿宋_GBK" w:cs="Times New Roman"/>
          <w:b w:val="0"/>
          <w:bCs w:val="0"/>
          <w:color w:val="auto"/>
          <w:kern w:val="2"/>
          <w:sz w:val="31"/>
          <w:szCs w:val="31"/>
          <w:lang w:val="en-US" w:eastAsia="zh-CN" w:bidi="ar-SA"/>
        </w:rPr>
        <w:t>95.5</w:t>
      </w:r>
      <w:r>
        <w:rPr>
          <w:rFonts w:hint="default" w:ascii="Times New Roman" w:hAnsi="Times New Roman" w:eastAsia="方正仿宋_GBK" w:cs="Times New Roman"/>
          <w:b w:val="0"/>
          <w:bCs w:val="0"/>
          <w:color w:val="auto"/>
          <w:kern w:val="2"/>
          <w:sz w:val="31"/>
          <w:szCs w:val="31"/>
          <w:lang w:val="en-US" w:eastAsia="zh-CN" w:bidi="ar-SA"/>
        </w:rPr>
        <w:t xml:space="preserve">分，属于“优”。其中，项目决策类指标权重为20分，得分为 </w:t>
      </w:r>
      <w:r>
        <w:rPr>
          <w:rFonts w:hint="eastAsia" w:ascii="Times New Roman" w:hAnsi="Times New Roman" w:eastAsia="方正仿宋_GBK" w:cs="Times New Roman"/>
          <w:b w:val="0"/>
          <w:bCs w:val="0"/>
          <w:color w:val="auto"/>
          <w:kern w:val="2"/>
          <w:sz w:val="31"/>
          <w:szCs w:val="31"/>
          <w:lang w:val="en-US" w:eastAsia="zh-CN" w:bidi="ar-SA"/>
        </w:rPr>
        <w:t>20</w:t>
      </w:r>
      <w:r>
        <w:rPr>
          <w:rFonts w:hint="default" w:ascii="Times New Roman" w:hAnsi="Times New Roman" w:eastAsia="方正仿宋_GBK" w:cs="Times New Roman"/>
          <w:b w:val="0"/>
          <w:bCs w:val="0"/>
          <w:color w:val="auto"/>
          <w:kern w:val="2"/>
          <w:sz w:val="31"/>
          <w:szCs w:val="31"/>
          <w:lang w:val="en-US" w:eastAsia="zh-CN" w:bidi="ar-SA"/>
        </w:rPr>
        <w:t>分，得分率为</w:t>
      </w:r>
      <w:r>
        <w:rPr>
          <w:rFonts w:hint="eastAsia" w:ascii="Times New Roman" w:hAnsi="Times New Roman" w:eastAsia="方正仿宋_GBK" w:cs="Times New Roman"/>
          <w:b w:val="0"/>
          <w:bCs w:val="0"/>
          <w:color w:val="auto"/>
          <w:kern w:val="2"/>
          <w:sz w:val="31"/>
          <w:szCs w:val="31"/>
          <w:lang w:val="en-US" w:eastAsia="zh-CN" w:bidi="ar-SA"/>
        </w:rPr>
        <w:t>100</w:t>
      </w:r>
      <w:r>
        <w:rPr>
          <w:rFonts w:hint="default" w:ascii="Times New Roman" w:hAnsi="Times New Roman" w:eastAsia="方正仿宋_GBK" w:cs="Times New Roman"/>
          <w:b w:val="0"/>
          <w:bCs w:val="0"/>
          <w:color w:val="auto"/>
          <w:kern w:val="2"/>
          <w:sz w:val="31"/>
          <w:szCs w:val="31"/>
          <w:lang w:val="en-US" w:eastAsia="zh-CN" w:bidi="ar-SA"/>
        </w:rPr>
        <w:t>%。项目过程类指标权重为20分，得分为</w:t>
      </w:r>
      <w:r>
        <w:rPr>
          <w:rFonts w:hint="eastAsia" w:ascii="Times New Roman" w:hAnsi="Times New Roman" w:eastAsia="方正仿宋_GBK" w:cs="Times New Roman"/>
          <w:b w:val="0"/>
          <w:bCs w:val="0"/>
          <w:color w:val="auto"/>
          <w:kern w:val="2"/>
          <w:sz w:val="31"/>
          <w:szCs w:val="31"/>
          <w:lang w:val="en-US" w:eastAsia="zh-CN" w:bidi="ar-SA"/>
        </w:rPr>
        <w:t>19</w:t>
      </w:r>
      <w:r>
        <w:rPr>
          <w:rFonts w:hint="default" w:ascii="Times New Roman" w:hAnsi="Times New Roman" w:eastAsia="方正仿宋_GBK" w:cs="Times New Roman"/>
          <w:b w:val="0"/>
          <w:bCs w:val="0"/>
          <w:color w:val="auto"/>
          <w:kern w:val="2"/>
          <w:sz w:val="31"/>
          <w:szCs w:val="31"/>
          <w:lang w:val="en-US" w:eastAsia="zh-CN" w:bidi="ar-SA"/>
        </w:rPr>
        <w:t xml:space="preserve">分，得分率为 </w:t>
      </w:r>
      <w:r>
        <w:rPr>
          <w:rFonts w:hint="eastAsia" w:ascii="Times New Roman" w:hAnsi="Times New Roman" w:eastAsia="方正仿宋_GBK" w:cs="Times New Roman"/>
          <w:b w:val="0"/>
          <w:bCs w:val="0"/>
          <w:color w:val="auto"/>
          <w:kern w:val="2"/>
          <w:sz w:val="31"/>
          <w:szCs w:val="31"/>
          <w:lang w:val="en-US" w:eastAsia="zh-CN" w:bidi="ar-SA"/>
        </w:rPr>
        <w:t>95</w:t>
      </w:r>
      <w:r>
        <w:rPr>
          <w:rFonts w:hint="default" w:ascii="Times New Roman" w:hAnsi="Times New Roman" w:eastAsia="方正仿宋_GBK" w:cs="Times New Roman"/>
          <w:b w:val="0"/>
          <w:bCs w:val="0"/>
          <w:color w:val="auto"/>
          <w:kern w:val="2"/>
          <w:sz w:val="31"/>
          <w:szCs w:val="31"/>
          <w:lang w:val="en-US" w:eastAsia="zh-CN" w:bidi="ar-SA"/>
        </w:rPr>
        <w:t>%。项目产出类指标权重为40分，得分为</w:t>
      </w:r>
      <w:r>
        <w:rPr>
          <w:rFonts w:hint="eastAsia" w:ascii="Times New Roman" w:hAnsi="Times New Roman" w:eastAsia="方正仿宋_GBK" w:cs="Times New Roman"/>
          <w:b w:val="0"/>
          <w:bCs w:val="0"/>
          <w:color w:val="auto"/>
          <w:kern w:val="2"/>
          <w:sz w:val="31"/>
          <w:szCs w:val="31"/>
          <w:lang w:val="en-US" w:eastAsia="zh-CN" w:bidi="ar-SA"/>
        </w:rPr>
        <w:t>36.5</w:t>
      </w:r>
      <w:r>
        <w:rPr>
          <w:rFonts w:hint="default" w:ascii="Times New Roman" w:hAnsi="Times New Roman" w:eastAsia="方正仿宋_GBK" w:cs="Times New Roman"/>
          <w:b w:val="0"/>
          <w:bCs w:val="0"/>
          <w:color w:val="auto"/>
          <w:kern w:val="2"/>
          <w:sz w:val="31"/>
          <w:szCs w:val="31"/>
          <w:lang w:val="en-US" w:eastAsia="zh-CN" w:bidi="ar-SA"/>
        </w:rPr>
        <w:t xml:space="preserve">分，得分率为 </w:t>
      </w:r>
      <w:r>
        <w:rPr>
          <w:rFonts w:hint="eastAsia" w:ascii="Times New Roman" w:hAnsi="Times New Roman" w:eastAsia="方正仿宋_GBK" w:cs="Times New Roman"/>
          <w:b w:val="0"/>
          <w:bCs w:val="0"/>
          <w:color w:val="auto"/>
          <w:kern w:val="2"/>
          <w:sz w:val="31"/>
          <w:szCs w:val="31"/>
          <w:lang w:val="en-US" w:eastAsia="zh-CN" w:bidi="ar-SA"/>
        </w:rPr>
        <w:t>91.25</w:t>
      </w:r>
      <w:r>
        <w:rPr>
          <w:rFonts w:hint="default" w:ascii="Times New Roman" w:hAnsi="Times New Roman" w:eastAsia="方正仿宋_GBK" w:cs="Times New Roman"/>
          <w:b w:val="0"/>
          <w:bCs w:val="0"/>
          <w:color w:val="auto"/>
          <w:kern w:val="2"/>
          <w:sz w:val="31"/>
          <w:szCs w:val="31"/>
          <w:lang w:val="en-US" w:eastAsia="zh-CN" w:bidi="ar-SA"/>
        </w:rPr>
        <w:t>%。项目效益类指标权重为20分，得分为</w:t>
      </w:r>
      <w:r>
        <w:rPr>
          <w:rFonts w:hint="eastAsia" w:ascii="Times New Roman" w:hAnsi="Times New Roman" w:eastAsia="方正仿宋_GBK" w:cs="Times New Roman"/>
          <w:b w:val="0"/>
          <w:bCs w:val="0"/>
          <w:color w:val="auto"/>
          <w:kern w:val="2"/>
          <w:sz w:val="31"/>
          <w:szCs w:val="31"/>
          <w:lang w:val="en-US" w:eastAsia="zh-CN" w:bidi="ar-SA"/>
        </w:rPr>
        <w:t>20</w:t>
      </w:r>
      <w:r>
        <w:rPr>
          <w:rFonts w:hint="default" w:ascii="Times New Roman" w:hAnsi="Times New Roman" w:eastAsia="方正仿宋_GBK" w:cs="Times New Roman"/>
          <w:b w:val="0"/>
          <w:bCs w:val="0"/>
          <w:color w:val="auto"/>
          <w:kern w:val="2"/>
          <w:sz w:val="31"/>
          <w:szCs w:val="31"/>
          <w:lang w:val="en-US" w:eastAsia="zh-CN" w:bidi="ar-SA"/>
        </w:rPr>
        <w:t>分，得分率为</w:t>
      </w:r>
      <w:r>
        <w:rPr>
          <w:rFonts w:hint="eastAsia" w:ascii="Times New Roman" w:hAnsi="Times New Roman" w:eastAsia="方正仿宋_GBK" w:cs="Times New Roman"/>
          <w:b w:val="0"/>
          <w:bCs w:val="0"/>
          <w:color w:val="auto"/>
          <w:kern w:val="2"/>
          <w:sz w:val="31"/>
          <w:szCs w:val="31"/>
          <w:lang w:val="en-US" w:eastAsia="zh-CN" w:bidi="ar-SA"/>
        </w:rPr>
        <w:t>100</w:t>
      </w:r>
      <w:r>
        <w:rPr>
          <w:rFonts w:hint="default" w:ascii="Times New Roman" w:hAnsi="Times New Roman" w:eastAsia="方正仿宋_GBK" w:cs="Times New Roman"/>
          <w:b w:val="0"/>
          <w:bCs w:val="0"/>
          <w:color w:val="auto"/>
          <w:kern w:val="2"/>
          <w:sz w:val="31"/>
          <w:szCs w:val="31"/>
          <w:lang w:val="en-US" w:eastAsia="zh-CN" w:bidi="ar-SA"/>
        </w:rPr>
        <w:t>%。具体打分情况详见：附件1综合评分表。</w:t>
      </w:r>
    </w:p>
    <w:p w14:paraId="3A7C7384">
      <w:pPr>
        <w:pStyle w:val="11"/>
        <w:keepNext w:val="0"/>
        <w:keepLines w:val="0"/>
        <w:pageBreakBefore w:val="0"/>
        <w:widowControl/>
        <w:kinsoku/>
        <w:wordWrap/>
        <w:overflowPunct/>
        <w:topLinePunct w:val="0"/>
        <w:autoSpaceDE/>
        <w:autoSpaceDN/>
        <w:bidi w:val="0"/>
        <w:adjustRightInd/>
        <w:snapToGrid/>
        <w:spacing w:before="0" w:after="0" w:line="560" w:lineRule="exact"/>
        <w:ind w:firstLine="622" w:firstLineChars="200"/>
        <w:textAlignment w:val="auto"/>
        <w:rPr>
          <w:rFonts w:hint="default" w:ascii="Times New Roman" w:hAnsi="Times New Roman" w:eastAsia="仿宋_GB2312" w:cs="Times New Roman"/>
          <w:sz w:val="31"/>
          <w:szCs w:val="31"/>
        </w:rPr>
      </w:pPr>
      <w:r>
        <w:rPr>
          <w:rFonts w:hint="default" w:ascii="Times New Roman" w:hAnsi="Times New Roman" w:eastAsia="仿宋_GB2312" w:cs="Times New Roman"/>
          <w:sz w:val="31"/>
          <w:szCs w:val="3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14:paraId="556B3026">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18C14AAB">
            <w:pPr>
              <w:pageBreakBefore w:val="0"/>
              <w:kinsoku/>
              <w:wordWrap/>
              <w:overflowPunct/>
              <w:topLinePunct w:val="0"/>
              <w:autoSpaceDE/>
              <w:autoSpaceDN/>
              <w:bidi w:val="0"/>
              <w:adjustRightInd/>
              <w:snapToGrid/>
              <w:spacing w:line="560" w:lineRule="exact"/>
              <w:ind w:firstLine="622" w:firstLineChars="200"/>
              <w:jc w:val="center"/>
              <w:textAlignment w:val="auto"/>
              <w:rPr>
                <w:rFonts w:hint="default" w:ascii="Times New Roman" w:hAnsi="Times New Roman" w:eastAsia="仿宋_GB2312" w:cs="Times New Roman"/>
                <w:b/>
                <w:bCs/>
                <w:color w:val="000000"/>
                <w:sz w:val="31"/>
                <w:szCs w:val="31"/>
              </w:rPr>
            </w:pPr>
            <w:r>
              <w:rPr>
                <w:rFonts w:hint="default" w:ascii="Times New Roman" w:hAnsi="Times New Roman" w:eastAsia="仿宋_GB2312" w:cs="Times New Roman"/>
                <w:b/>
                <w:bCs/>
                <w:color w:val="000000"/>
                <w:sz w:val="31"/>
                <w:szCs w:val="3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C089109">
            <w:pPr>
              <w:pageBreakBefore w:val="0"/>
              <w:kinsoku/>
              <w:wordWrap/>
              <w:overflowPunct/>
              <w:topLinePunct w:val="0"/>
              <w:autoSpaceDE/>
              <w:autoSpaceDN/>
              <w:bidi w:val="0"/>
              <w:adjustRightInd/>
              <w:snapToGrid/>
              <w:spacing w:line="560" w:lineRule="exact"/>
              <w:ind w:firstLine="622" w:firstLineChars="200"/>
              <w:jc w:val="center"/>
              <w:textAlignment w:val="auto"/>
              <w:rPr>
                <w:rFonts w:hint="default" w:ascii="Times New Roman" w:hAnsi="Times New Roman" w:eastAsia="仿宋_GB2312" w:cs="Times New Roman"/>
                <w:b/>
                <w:bCs/>
                <w:color w:val="000000"/>
                <w:sz w:val="31"/>
                <w:szCs w:val="31"/>
              </w:rPr>
            </w:pPr>
            <w:r>
              <w:rPr>
                <w:rFonts w:hint="default" w:ascii="Times New Roman" w:hAnsi="Times New Roman" w:eastAsia="仿宋_GB2312" w:cs="Times New Roman"/>
                <w:b/>
                <w:bCs/>
                <w:color w:val="000000"/>
                <w:sz w:val="31"/>
                <w:szCs w:val="3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44F9F7B">
            <w:pPr>
              <w:pageBreakBefore w:val="0"/>
              <w:kinsoku/>
              <w:wordWrap/>
              <w:overflowPunct/>
              <w:topLinePunct w:val="0"/>
              <w:autoSpaceDE/>
              <w:autoSpaceDN/>
              <w:bidi w:val="0"/>
              <w:adjustRightInd/>
              <w:snapToGrid/>
              <w:spacing w:line="560" w:lineRule="exact"/>
              <w:ind w:firstLine="622" w:firstLineChars="200"/>
              <w:jc w:val="center"/>
              <w:textAlignment w:val="auto"/>
              <w:rPr>
                <w:rFonts w:hint="default" w:ascii="Times New Roman" w:hAnsi="Times New Roman" w:eastAsia="仿宋_GB2312" w:cs="Times New Roman"/>
                <w:b/>
                <w:bCs/>
                <w:color w:val="000000"/>
                <w:sz w:val="31"/>
                <w:szCs w:val="31"/>
              </w:rPr>
            </w:pPr>
            <w:r>
              <w:rPr>
                <w:rFonts w:hint="default" w:ascii="Times New Roman" w:hAnsi="Times New Roman" w:eastAsia="仿宋_GB2312" w:cs="Times New Roman"/>
                <w:b/>
                <w:bCs/>
                <w:color w:val="000000"/>
                <w:sz w:val="31"/>
                <w:szCs w:val="31"/>
              </w:rPr>
              <w:t>得分</w:t>
            </w:r>
          </w:p>
        </w:tc>
      </w:tr>
      <w:tr w14:paraId="31BB43EE">
        <w:tblPrEx>
          <w:tblCellMar>
            <w:top w:w="0" w:type="dxa"/>
            <w:left w:w="108" w:type="dxa"/>
            <w:bottom w:w="0" w:type="dxa"/>
            <w:right w:w="108" w:type="dxa"/>
          </w:tblCellMar>
        </w:tblPrEx>
        <w:trPr>
          <w:trHeight w:val="549"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9BED34A">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rPr>
            </w:pPr>
            <w:r>
              <w:rPr>
                <w:rFonts w:hint="default" w:ascii="Times New Roman" w:hAnsi="Times New Roman" w:eastAsia="仿宋_GB2312" w:cs="Times New Roman"/>
                <w:color w:val="000000"/>
                <w:sz w:val="31"/>
                <w:szCs w:val="31"/>
              </w:rPr>
              <w:t>项目决策</w:t>
            </w:r>
          </w:p>
        </w:tc>
        <w:tc>
          <w:tcPr>
            <w:tcW w:w="2168" w:type="dxa"/>
            <w:tcBorders>
              <w:top w:val="nil"/>
              <w:left w:val="nil"/>
              <w:bottom w:val="single" w:color="auto" w:sz="4" w:space="0"/>
              <w:right w:val="single" w:color="auto" w:sz="4" w:space="0"/>
            </w:tcBorders>
            <w:shd w:val="clear" w:color="auto" w:fill="auto"/>
            <w:vAlign w:val="center"/>
          </w:tcPr>
          <w:p w14:paraId="38F47E48">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lang w:val="en-US" w:eastAsia="zh-CN"/>
              </w:rPr>
            </w:pPr>
            <w:r>
              <w:rPr>
                <w:rFonts w:hint="default" w:ascii="Times New Roman" w:hAnsi="Times New Roman" w:eastAsia="仿宋_GB2312" w:cs="Times New Roman"/>
                <w:color w:val="000000"/>
                <w:sz w:val="31"/>
                <w:szCs w:val="3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CAFD549">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lang w:val="en-US" w:eastAsia="zh-CN"/>
              </w:rPr>
            </w:pPr>
            <w:r>
              <w:rPr>
                <w:rFonts w:hint="eastAsia" w:eastAsia="仿宋_GB2312" w:cs="Times New Roman"/>
                <w:color w:val="000000"/>
                <w:sz w:val="31"/>
                <w:szCs w:val="31"/>
                <w:lang w:val="en-US" w:eastAsia="zh-CN"/>
              </w:rPr>
              <w:t>20</w:t>
            </w:r>
          </w:p>
        </w:tc>
      </w:tr>
      <w:tr w14:paraId="63DB277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8D8FB37">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rPr>
            </w:pPr>
            <w:r>
              <w:rPr>
                <w:rFonts w:hint="default" w:ascii="Times New Roman" w:hAnsi="Times New Roman" w:eastAsia="仿宋_GB2312" w:cs="Times New Roman"/>
                <w:color w:val="000000"/>
                <w:sz w:val="31"/>
                <w:szCs w:val="31"/>
              </w:rPr>
              <w:t>项目过程</w:t>
            </w:r>
          </w:p>
        </w:tc>
        <w:tc>
          <w:tcPr>
            <w:tcW w:w="2168" w:type="dxa"/>
            <w:tcBorders>
              <w:top w:val="nil"/>
              <w:left w:val="nil"/>
              <w:bottom w:val="single" w:color="auto" w:sz="4" w:space="0"/>
              <w:right w:val="single" w:color="auto" w:sz="4" w:space="0"/>
            </w:tcBorders>
            <w:shd w:val="clear" w:color="auto" w:fill="auto"/>
            <w:vAlign w:val="center"/>
          </w:tcPr>
          <w:p w14:paraId="62BAA0D8">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lang w:val="en-US" w:eastAsia="zh-CN"/>
              </w:rPr>
            </w:pPr>
            <w:r>
              <w:rPr>
                <w:rFonts w:hint="default" w:ascii="Times New Roman" w:hAnsi="Times New Roman" w:eastAsia="仿宋_GB2312" w:cs="Times New Roman"/>
                <w:color w:val="000000"/>
                <w:sz w:val="31"/>
                <w:szCs w:val="3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2D6F685">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lang w:val="en-US" w:eastAsia="zh-CN"/>
              </w:rPr>
            </w:pPr>
            <w:r>
              <w:rPr>
                <w:rFonts w:hint="eastAsia" w:eastAsia="仿宋_GB2312" w:cs="Times New Roman"/>
                <w:color w:val="000000"/>
                <w:sz w:val="31"/>
                <w:szCs w:val="31"/>
                <w:lang w:val="en-US" w:eastAsia="zh-CN"/>
              </w:rPr>
              <w:t>19</w:t>
            </w:r>
          </w:p>
        </w:tc>
      </w:tr>
      <w:tr w14:paraId="614D159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4E780E1">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rPr>
            </w:pPr>
            <w:r>
              <w:rPr>
                <w:rFonts w:hint="default" w:ascii="Times New Roman" w:hAnsi="Times New Roman" w:eastAsia="仿宋_GB2312" w:cs="Times New Roman"/>
                <w:color w:val="000000"/>
                <w:sz w:val="31"/>
                <w:szCs w:val="31"/>
              </w:rPr>
              <w:t>项目产出</w:t>
            </w:r>
          </w:p>
        </w:tc>
        <w:tc>
          <w:tcPr>
            <w:tcW w:w="2168" w:type="dxa"/>
            <w:tcBorders>
              <w:top w:val="nil"/>
              <w:left w:val="nil"/>
              <w:bottom w:val="single" w:color="auto" w:sz="4" w:space="0"/>
              <w:right w:val="single" w:color="auto" w:sz="4" w:space="0"/>
            </w:tcBorders>
            <w:shd w:val="clear" w:color="auto" w:fill="auto"/>
            <w:vAlign w:val="center"/>
          </w:tcPr>
          <w:p w14:paraId="4BF88F08">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lang w:val="en-US" w:eastAsia="zh-CN"/>
              </w:rPr>
            </w:pPr>
            <w:r>
              <w:rPr>
                <w:rFonts w:hint="default" w:ascii="Times New Roman" w:hAnsi="Times New Roman" w:eastAsia="仿宋_GB2312" w:cs="Times New Roman"/>
                <w:color w:val="000000"/>
                <w:sz w:val="31"/>
                <w:szCs w:val="3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072B7290">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lang w:val="en-US" w:eastAsia="zh-CN"/>
              </w:rPr>
            </w:pPr>
            <w:r>
              <w:rPr>
                <w:rFonts w:hint="eastAsia" w:eastAsia="仿宋_GB2312" w:cs="Times New Roman"/>
                <w:color w:val="000000"/>
                <w:sz w:val="31"/>
                <w:szCs w:val="31"/>
                <w:lang w:val="en-US" w:eastAsia="zh-CN"/>
              </w:rPr>
              <w:t>36.5</w:t>
            </w:r>
          </w:p>
        </w:tc>
      </w:tr>
      <w:tr w14:paraId="099798D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B6A55E8">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rPr>
            </w:pPr>
            <w:r>
              <w:rPr>
                <w:rFonts w:hint="default" w:ascii="Times New Roman" w:hAnsi="Times New Roman" w:eastAsia="仿宋_GB2312" w:cs="Times New Roman"/>
                <w:color w:val="000000"/>
                <w:sz w:val="31"/>
                <w:szCs w:val="31"/>
              </w:rPr>
              <w:t>项目效益</w:t>
            </w:r>
          </w:p>
        </w:tc>
        <w:tc>
          <w:tcPr>
            <w:tcW w:w="2168" w:type="dxa"/>
            <w:tcBorders>
              <w:top w:val="nil"/>
              <w:left w:val="nil"/>
              <w:bottom w:val="single" w:color="auto" w:sz="4" w:space="0"/>
              <w:right w:val="single" w:color="auto" w:sz="4" w:space="0"/>
            </w:tcBorders>
            <w:shd w:val="clear" w:color="auto" w:fill="auto"/>
            <w:vAlign w:val="center"/>
          </w:tcPr>
          <w:p w14:paraId="3FC77913">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lang w:val="en-US" w:eastAsia="zh-CN"/>
              </w:rPr>
            </w:pPr>
            <w:r>
              <w:rPr>
                <w:rFonts w:hint="default" w:ascii="Times New Roman" w:hAnsi="Times New Roman" w:eastAsia="仿宋_GB2312" w:cs="Times New Roman"/>
                <w:color w:val="000000"/>
                <w:sz w:val="31"/>
                <w:szCs w:val="3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F1A2099">
            <w:pPr>
              <w:pageBreakBefore w:val="0"/>
              <w:kinsoku/>
              <w:wordWrap/>
              <w:overflowPunct/>
              <w:topLinePunct w:val="0"/>
              <w:autoSpaceDE/>
              <w:autoSpaceDN/>
              <w:bidi w:val="0"/>
              <w:adjustRightInd/>
              <w:snapToGrid/>
              <w:spacing w:line="560" w:lineRule="exact"/>
              <w:ind w:firstLine="620" w:firstLineChars="200"/>
              <w:jc w:val="center"/>
              <w:textAlignment w:val="auto"/>
              <w:rPr>
                <w:rFonts w:hint="default" w:ascii="Times New Roman" w:hAnsi="Times New Roman" w:eastAsia="仿宋_GB2312" w:cs="Times New Roman"/>
                <w:color w:val="000000"/>
                <w:sz w:val="31"/>
                <w:szCs w:val="31"/>
                <w:lang w:val="en-US" w:eastAsia="zh-CN"/>
              </w:rPr>
            </w:pPr>
            <w:r>
              <w:rPr>
                <w:rFonts w:hint="eastAsia" w:eastAsia="仿宋_GB2312" w:cs="Times New Roman"/>
                <w:color w:val="000000"/>
                <w:sz w:val="31"/>
                <w:szCs w:val="31"/>
                <w:lang w:val="en-US" w:eastAsia="zh-CN"/>
              </w:rPr>
              <w:t>20</w:t>
            </w:r>
          </w:p>
        </w:tc>
      </w:tr>
      <w:tr w14:paraId="6AF454B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AFF3D79">
            <w:pPr>
              <w:pageBreakBefore w:val="0"/>
              <w:kinsoku/>
              <w:wordWrap/>
              <w:overflowPunct/>
              <w:topLinePunct w:val="0"/>
              <w:autoSpaceDE/>
              <w:autoSpaceDN/>
              <w:bidi w:val="0"/>
              <w:adjustRightInd/>
              <w:snapToGrid/>
              <w:spacing w:line="560" w:lineRule="exact"/>
              <w:ind w:firstLine="622" w:firstLineChars="200"/>
              <w:jc w:val="center"/>
              <w:textAlignment w:val="auto"/>
              <w:rPr>
                <w:rFonts w:hint="default" w:ascii="Times New Roman" w:hAnsi="Times New Roman" w:eastAsia="仿宋_GB2312" w:cs="Times New Roman"/>
                <w:b/>
                <w:bCs/>
                <w:color w:val="000000"/>
                <w:sz w:val="31"/>
                <w:szCs w:val="31"/>
              </w:rPr>
            </w:pPr>
            <w:r>
              <w:rPr>
                <w:rFonts w:hint="default" w:ascii="Times New Roman" w:hAnsi="Times New Roman" w:eastAsia="仿宋_GB2312" w:cs="Times New Roman"/>
                <w:b/>
                <w:bCs/>
                <w:color w:val="000000"/>
                <w:sz w:val="31"/>
                <w:szCs w:val="31"/>
              </w:rPr>
              <w:t>合计</w:t>
            </w:r>
          </w:p>
        </w:tc>
        <w:tc>
          <w:tcPr>
            <w:tcW w:w="2168" w:type="dxa"/>
            <w:tcBorders>
              <w:top w:val="nil"/>
              <w:left w:val="nil"/>
              <w:bottom w:val="single" w:color="auto" w:sz="4" w:space="0"/>
              <w:right w:val="single" w:color="auto" w:sz="4" w:space="0"/>
            </w:tcBorders>
            <w:shd w:val="clear" w:color="auto" w:fill="auto"/>
            <w:vAlign w:val="center"/>
          </w:tcPr>
          <w:p w14:paraId="61A74C4D">
            <w:pPr>
              <w:pageBreakBefore w:val="0"/>
              <w:kinsoku/>
              <w:wordWrap/>
              <w:overflowPunct/>
              <w:topLinePunct w:val="0"/>
              <w:autoSpaceDE/>
              <w:autoSpaceDN/>
              <w:bidi w:val="0"/>
              <w:adjustRightInd/>
              <w:snapToGrid/>
              <w:spacing w:line="560" w:lineRule="exact"/>
              <w:ind w:firstLine="622" w:firstLineChars="200"/>
              <w:jc w:val="center"/>
              <w:textAlignment w:val="auto"/>
              <w:rPr>
                <w:rFonts w:hint="default" w:ascii="Times New Roman" w:hAnsi="Times New Roman" w:eastAsia="仿宋_GB2312" w:cs="Times New Roman"/>
                <w:b/>
                <w:bCs/>
                <w:color w:val="000000"/>
                <w:sz w:val="31"/>
                <w:szCs w:val="31"/>
                <w:lang w:val="en-US" w:eastAsia="zh-CN"/>
              </w:rPr>
            </w:pPr>
            <w:r>
              <w:rPr>
                <w:rFonts w:hint="default" w:ascii="Times New Roman" w:hAnsi="Times New Roman" w:eastAsia="仿宋_GB2312" w:cs="Times New Roman"/>
                <w:b/>
                <w:bCs/>
                <w:color w:val="000000"/>
                <w:sz w:val="31"/>
                <w:szCs w:val="3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4DB501B9">
            <w:pPr>
              <w:pageBreakBefore w:val="0"/>
              <w:kinsoku/>
              <w:wordWrap/>
              <w:overflowPunct/>
              <w:topLinePunct w:val="0"/>
              <w:autoSpaceDE/>
              <w:autoSpaceDN/>
              <w:bidi w:val="0"/>
              <w:adjustRightInd/>
              <w:snapToGrid/>
              <w:spacing w:line="560" w:lineRule="exact"/>
              <w:ind w:firstLine="622" w:firstLineChars="200"/>
              <w:jc w:val="center"/>
              <w:textAlignment w:val="auto"/>
              <w:rPr>
                <w:rFonts w:hint="default" w:ascii="Times New Roman" w:hAnsi="Times New Roman" w:eastAsia="仿宋_GB2312" w:cs="Times New Roman"/>
                <w:b/>
                <w:bCs/>
                <w:color w:val="000000"/>
                <w:sz w:val="31"/>
                <w:szCs w:val="31"/>
                <w:lang w:val="en-US" w:eastAsia="zh-CN"/>
              </w:rPr>
            </w:pPr>
            <w:r>
              <w:rPr>
                <w:rFonts w:hint="eastAsia" w:eastAsia="仿宋_GB2312" w:cs="Times New Roman"/>
                <w:b/>
                <w:bCs/>
                <w:color w:val="000000"/>
                <w:sz w:val="31"/>
                <w:szCs w:val="31"/>
                <w:lang w:val="en-US" w:eastAsia="zh-CN"/>
              </w:rPr>
              <w:t>95.5</w:t>
            </w:r>
          </w:p>
        </w:tc>
      </w:tr>
    </w:tbl>
    <w:p w14:paraId="1195B2D7">
      <w:pPr>
        <w:pageBreakBefore w:val="0"/>
        <w:kinsoku/>
        <w:wordWrap/>
        <w:overflowPunct/>
        <w:topLinePunct w:val="0"/>
        <w:autoSpaceDE/>
        <w:autoSpaceDN/>
        <w:bidi w:val="0"/>
        <w:adjustRightInd/>
        <w:snapToGrid/>
        <w:spacing w:line="560" w:lineRule="exact"/>
        <w:ind w:firstLine="620" w:firstLineChars="200"/>
        <w:textAlignment w:val="auto"/>
        <w:rPr>
          <w:rFonts w:hint="default" w:ascii="方正黑体_GBK" w:hAnsi="方正黑体_GBK" w:eastAsia="方正黑体_GBK" w:cs="方正黑体_GBK"/>
          <w:bCs/>
          <w:sz w:val="31"/>
          <w:szCs w:val="31"/>
        </w:rPr>
      </w:pPr>
      <w:r>
        <w:rPr>
          <w:rFonts w:hint="default" w:ascii="方正黑体_GBK" w:hAnsi="方正黑体_GBK" w:eastAsia="方正黑体_GBK" w:cs="方正黑体_GBK"/>
          <w:bCs/>
          <w:sz w:val="31"/>
          <w:szCs w:val="31"/>
        </w:rPr>
        <w:t>四、绩效评价指标分析</w:t>
      </w:r>
    </w:p>
    <w:p w14:paraId="1580D051">
      <w:pPr>
        <w:pStyle w:val="11"/>
        <w:pageBreakBefore w:val="0"/>
        <w:kinsoku/>
        <w:wordWrap/>
        <w:overflowPunct/>
        <w:topLinePunct w:val="0"/>
        <w:autoSpaceDE/>
        <w:autoSpaceDN/>
        <w:bidi w:val="0"/>
        <w:adjustRightInd/>
        <w:snapToGrid/>
        <w:spacing w:before="0" w:after="0" w:line="560" w:lineRule="exact"/>
        <w:ind w:firstLine="622" w:firstLineChars="200"/>
        <w:jc w:val="both"/>
        <w:textAlignment w:val="auto"/>
        <w:rPr>
          <w:rFonts w:hint="default" w:ascii="Times New Roman" w:hAnsi="Times New Roman" w:eastAsia="楷体_GB2312" w:cs="Times New Roman"/>
          <w:sz w:val="31"/>
          <w:szCs w:val="31"/>
        </w:rPr>
      </w:pPr>
      <w:r>
        <w:rPr>
          <w:rFonts w:hint="default" w:ascii="Times New Roman" w:hAnsi="Times New Roman" w:eastAsia="楷体_GB2312" w:cs="Times New Roman"/>
          <w:sz w:val="31"/>
          <w:szCs w:val="31"/>
        </w:rPr>
        <w:t>（一）项目决策情况</w:t>
      </w:r>
    </w:p>
    <w:p w14:paraId="476E6CC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项目决策类指标包括项目立项、绩效目标和资金投入三方面的内容，由6个三级指标构成，权重分值为20分，实际得分</w:t>
      </w:r>
      <w:r>
        <w:rPr>
          <w:rFonts w:hint="eastAsia" w:ascii="Times New Roman" w:hAnsi="Times New Roman" w:eastAsia="方正仿宋_GBK" w:cs="Times New Roman"/>
          <w:color w:val="auto"/>
          <w:sz w:val="31"/>
          <w:szCs w:val="31"/>
          <w:lang w:val="en-US" w:eastAsia="zh-CN"/>
        </w:rPr>
        <w:t>20</w:t>
      </w:r>
      <w:r>
        <w:rPr>
          <w:rFonts w:hint="default" w:ascii="Times New Roman" w:hAnsi="Times New Roman" w:eastAsia="方正仿宋_GBK" w:cs="Times New Roman"/>
          <w:color w:val="auto"/>
          <w:sz w:val="31"/>
          <w:szCs w:val="31"/>
          <w:lang w:val="en-US" w:eastAsia="zh-CN"/>
        </w:rPr>
        <w:t>分，得分率为</w:t>
      </w:r>
      <w:r>
        <w:rPr>
          <w:rFonts w:hint="eastAsia" w:ascii="Times New Roman" w:hAnsi="Times New Roman" w:eastAsia="方正仿宋_GBK" w:cs="Times New Roman"/>
          <w:color w:val="auto"/>
          <w:sz w:val="31"/>
          <w:szCs w:val="31"/>
          <w:lang w:val="en-US" w:eastAsia="zh-CN"/>
        </w:rPr>
        <w:t>100</w:t>
      </w:r>
      <w:r>
        <w:rPr>
          <w:rFonts w:hint="default" w:ascii="Times New Roman" w:hAnsi="Times New Roman" w:eastAsia="方正仿宋_GBK" w:cs="Times New Roman"/>
          <w:color w:val="auto"/>
          <w:sz w:val="31"/>
          <w:szCs w:val="31"/>
          <w:lang w:val="en-US" w:eastAsia="zh-CN"/>
        </w:rPr>
        <w:t>%。</w:t>
      </w:r>
    </w:p>
    <w:p w14:paraId="6A634BE5">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default" w:ascii="Times New Roman" w:hAnsi="Times New Roman" w:eastAsia="方正仿宋_GBK" w:cs="Times New Roman"/>
          <w:b/>
          <w:bCs/>
          <w:sz w:val="31"/>
          <w:szCs w:val="31"/>
          <w:lang w:val="en-US" w:eastAsia="zh-CN"/>
        </w:rPr>
      </w:pPr>
      <w:r>
        <w:rPr>
          <w:rFonts w:hint="default" w:ascii="Times New Roman" w:hAnsi="Times New Roman" w:eastAsia="方正仿宋_GBK" w:cs="Times New Roman"/>
          <w:b/>
          <w:bCs/>
          <w:sz w:val="31"/>
          <w:szCs w:val="31"/>
          <w:lang w:val="en-US" w:eastAsia="zh-CN"/>
        </w:rPr>
        <w:t>1</w:t>
      </w:r>
      <w:r>
        <w:rPr>
          <w:rFonts w:hint="eastAsia" w:ascii="Times New Roman" w:hAnsi="Times New Roman" w:eastAsia="方正仿宋_GBK" w:cs="Times New Roman"/>
          <w:b/>
          <w:bCs/>
          <w:sz w:val="31"/>
          <w:szCs w:val="31"/>
          <w:lang w:val="en-US" w:eastAsia="zh-CN"/>
        </w:rPr>
        <w:t>、</w:t>
      </w:r>
      <w:r>
        <w:rPr>
          <w:rFonts w:hint="default" w:ascii="Times New Roman" w:hAnsi="Times New Roman" w:eastAsia="方正仿宋_GBK" w:cs="Times New Roman"/>
          <w:b/>
          <w:bCs/>
          <w:sz w:val="31"/>
          <w:szCs w:val="31"/>
          <w:lang w:val="en-US" w:eastAsia="zh-CN"/>
        </w:rPr>
        <w:t>项目立项</w:t>
      </w:r>
    </w:p>
    <w:p w14:paraId="70FAE4A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（1）立项依据充分性</w:t>
      </w:r>
    </w:p>
    <w:p w14:paraId="067E109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ACD9F1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3分，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3</w:t>
      </w:r>
      <w:r>
        <w:rPr>
          <w:rFonts w:hint="eastAsia" w:ascii="Times New Roman" w:hAnsi="Times New Roman" w:eastAsia="方正仿宋_GBK" w:cs="Times New Roman"/>
          <w:color w:val="auto"/>
          <w:sz w:val="31"/>
          <w:szCs w:val="31"/>
          <w:lang w:val="en-US" w:eastAsia="zh-CN"/>
        </w:rPr>
        <w:t>分。</w:t>
      </w:r>
    </w:p>
    <w:p w14:paraId="0B69E5B5">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（2）立项程序规范性</w:t>
      </w:r>
    </w:p>
    <w:p w14:paraId="078F31D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项目申请、设立过程符合相关要求，</w:t>
      </w:r>
      <w:r>
        <w:rPr>
          <w:rFonts w:hint="default" w:ascii="Times New Roman" w:hAnsi="Times New Roman" w:eastAsia="方正仿宋_GBK" w:cs="Times New Roman"/>
          <w:color w:val="auto"/>
          <w:sz w:val="31"/>
          <w:szCs w:val="31"/>
          <w:lang w:val="en-US" w:eastAsia="zh-Hans"/>
        </w:rPr>
        <w:t>严格按照审批流程准备符合要求的文件、材料；</w:t>
      </w:r>
      <w:r>
        <w:rPr>
          <w:rFonts w:hint="default" w:ascii="Times New Roman" w:hAnsi="Times New Roman" w:eastAsia="方正仿宋_GBK" w:cs="Times New Roman"/>
          <w:color w:val="auto"/>
          <w:sz w:val="31"/>
          <w:szCs w:val="31"/>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5E21745">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3分，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3</w:t>
      </w:r>
      <w:r>
        <w:rPr>
          <w:rFonts w:hint="eastAsia" w:ascii="Times New Roman" w:hAnsi="Times New Roman" w:eastAsia="方正仿宋_GBK" w:cs="Times New Roman"/>
          <w:color w:val="auto"/>
          <w:sz w:val="31"/>
          <w:szCs w:val="31"/>
          <w:lang w:val="en-US" w:eastAsia="zh-CN"/>
        </w:rPr>
        <w:t>分。</w:t>
      </w:r>
    </w:p>
    <w:p w14:paraId="263649E9">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default" w:ascii="Times New Roman" w:hAnsi="Times New Roman" w:eastAsia="方正仿宋_GBK" w:cs="Times New Roman"/>
          <w:b/>
          <w:bCs/>
          <w:sz w:val="31"/>
          <w:szCs w:val="31"/>
          <w:lang w:val="en-US" w:eastAsia="zh-CN"/>
        </w:rPr>
      </w:pPr>
      <w:r>
        <w:rPr>
          <w:rFonts w:hint="default" w:ascii="Times New Roman" w:hAnsi="Times New Roman" w:eastAsia="方正仿宋_GBK" w:cs="Times New Roman"/>
          <w:b/>
          <w:bCs/>
          <w:sz w:val="31"/>
          <w:szCs w:val="31"/>
          <w:lang w:val="en-US" w:eastAsia="zh-CN"/>
        </w:rPr>
        <w:t>2、绩效目标</w:t>
      </w:r>
    </w:p>
    <w:p w14:paraId="46035D7C">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（1）绩效目标合理性</w:t>
      </w:r>
    </w:p>
    <w:p w14:paraId="7D0F524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Hans"/>
        </w:rPr>
        <w:t>年初结合实际工作内容</w:t>
      </w:r>
      <w:r>
        <w:rPr>
          <w:rFonts w:hint="default" w:ascii="Times New Roman" w:hAnsi="Times New Roman" w:eastAsia="方正仿宋_GBK" w:cs="Times New Roman"/>
          <w:color w:val="auto"/>
          <w:sz w:val="31"/>
          <w:szCs w:val="31"/>
          <w:lang w:val="en-US" w:eastAsia="zh-CN"/>
        </w:rPr>
        <w:t>设定绩效目标</w:t>
      </w:r>
      <w:r>
        <w:rPr>
          <w:rFonts w:hint="default" w:ascii="Times New Roman" w:hAnsi="Times New Roman" w:eastAsia="方正仿宋_GBK" w:cs="Times New Roman"/>
          <w:color w:val="auto"/>
          <w:sz w:val="31"/>
          <w:szCs w:val="31"/>
          <w:lang w:val="en-US" w:eastAsia="zh-Hans"/>
        </w:rPr>
        <w:t>，绩效目标</w:t>
      </w:r>
      <w:r>
        <w:rPr>
          <w:rFonts w:hint="default" w:ascii="Times New Roman" w:hAnsi="Times New Roman" w:eastAsia="方正仿宋_GBK" w:cs="Times New Roman"/>
          <w:color w:val="auto"/>
          <w:sz w:val="31"/>
          <w:szCs w:val="31"/>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BF5630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仿宋_GB2312" w:cs="Times New Roman"/>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3分，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3</w:t>
      </w:r>
      <w:r>
        <w:rPr>
          <w:rFonts w:hint="eastAsia" w:ascii="Times New Roman" w:hAnsi="Times New Roman" w:eastAsia="方正仿宋_GBK" w:cs="Times New Roman"/>
          <w:color w:val="auto"/>
          <w:sz w:val="31"/>
          <w:szCs w:val="31"/>
          <w:lang w:val="en-US" w:eastAsia="zh-CN"/>
        </w:rPr>
        <w:t>分。</w:t>
      </w:r>
    </w:p>
    <w:p w14:paraId="3F4AC33C">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（2）绩效指标明确性</w:t>
      </w:r>
    </w:p>
    <w:p w14:paraId="29F165E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项目设置了明确的预期产出效益和效果，将绩效目标细化分解为具体的绩效指标，绩效目标与项目目标任务数相对应，绩效目标设定的绩效指标清晰、细化、可衡量。</w:t>
      </w:r>
    </w:p>
    <w:p w14:paraId="077ED875">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3分，</w:t>
      </w:r>
      <w:r>
        <w:rPr>
          <w:rFonts w:hint="eastAsia" w:ascii="Times New Roman" w:hAnsi="Times New Roman" w:eastAsia="方正仿宋_GBK" w:cs="Times New Roman"/>
          <w:color w:val="auto"/>
          <w:sz w:val="31"/>
          <w:szCs w:val="31"/>
          <w:lang w:val="en-US" w:eastAsia="zh-CN"/>
        </w:rPr>
        <w:t>得分为3分。</w:t>
      </w:r>
    </w:p>
    <w:p w14:paraId="37A66389">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default" w:ascii="Times New Roman" w:hAnsi="Times New Roman" w:eastAsia="方正仿宋_GBK" w:cs="Times New Roman"/>
          <w:b/>
          <w:bCs/>
          <w:sz w:val="31"/>
          <w:szCs w:val="31"/>
          <w:lang w:val="en-US" w:eastAsia="zh-CN"/>
        </w:rPr>
      </w:pPr>
      <w:r>
        <w:rPr>
          <w:rFonts w:hint="default" w:ascii="Times New Roman" w:hAnsi="Times New Roman" w:eastAsia="方正仿宋_GBK" w:cs="Times New Roman"/>
          <w:b/>
          <w:bCs/>
          <w:sz w:val="31"/>
          <w:szCs w:val="31"/>
          <w:lang w:val="en-US" w:eastAsia="zh-CN"/>
        </w:rPr>
        <w:t>3</w:t>
      </w:r>
      <w:r>
        <w:rPr>
          <w:rFonts w:hint="eastAsia" w:eastAsia="方正仿宋_GBK" w:cs="Times New Roman"/>
          <w:b/>
          <w:bCs/>
          <w:sz w:val="31"/>
          <w:szCs w:val="31"/>
          <w:lang w:val="en-US" w:eastAsia="zh-CN"/>
        </w:rPr>
        <w:t>、</w:t>
      </w:r>
      <w:r>
        <w:rPr>
          <w:rFonts w:hint="default" w:ascii="Times New Roman" w:hAnsi="Times New Roman" w:eastAsia="方正仿宋_GBK" w:cs="Times New Roman"/>
          <w:b/>
          <w:bCs/>
          <w:sz w:val="31"/>
          <w:szCs w:val="31"/>
          <w:lang w:val="en-US" w:eastAsia="zh-CN"/>
        </w:rPr>
        <w:t>资金投入</w:t>
      </w:r>
    </w:p>
    <w:p w14:paraId="5EEED9C2">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（1）预算编制科学性</w:t>
      </w:r>
    </w:p>
    <w:p w14:paraId="1D21594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B655225">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4411CD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4分，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4</w:t>
      </w:r>
      <w:r>
        <w:rPr>
          <w:rFonts w:hint="eastAsia" w:ascii="Times New Roman" w:hAnsi="Times New Roman" w:eastAsia="方正仿宋_GBK" w:cs="Times New Roman"/>
          <w:color w:val="auto"/>
          <w:sz w:val="31"/>
          <w:szCs w:val="31"/>
          <w:lang w:val="en-US" w:eastAsia="zh-CN"/>
        </w:rPr>
        <w:t>分。</w:t>
      </w:r>
    </w:p>
    <w:p w14:paraId="15B083F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（2）资金分配合理性</w:t>
      </w:r>
    </w:p>
    <w:p w14:paraId="6114348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582550C">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061237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C72316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4分，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4</w:t>
      </w:r>
      <w:r>
        <w:rPr>
          <w:rFonts w:hint="eastAsia" w:ascii="Times New Roman" w:hAnsi="Times New Roman" w:eastAsia="方正仿宋_GBK" w:cs="Times New Roman"/>
          <w:color w:val="auto"/>
          <w:sz w:val="31"/>
          <w:szCs w:val="31"/>
          <w:lang w:val="en-US" w:eastAsia="zh-CN"/>
        </w:rPr>
        <w:t>分。</w:t>
      </w:r>
    </w:p>
    <w:p w14:paraId="3644A590">
      <w:pPr>
        <w:pStyle w:val="11"/>
        <w:pageBreakBefore w:val="0"/>
        <w:numPr>
          <w:ilvl w:val="0"/>
          <w:numId w:val="3"/>
        </w:numPr>
        <w:kinsoku/>
        <w:wordWrap/>
        <w:overflowPunct/>
        <w:topLinePunct w:val="0"/>
        <w:autoSpaceDE/>
        <w:autoSpaceDN/>
        <w:bidi w:val="0"/>
        <w:adjustRightInd/>
        <w:snapToGrid/>
        <w:spacing w:before="0" w:after="0" w:line="560" w:lineRule="exact"/>
        <w:ind w:firstLine="622" w:firstLineChars="200"/>
        <w:jc w:val="both"/>
        <w:textAlignment w:val="auto"/>
        <w:rPr>
          <w:rFonts w:hint="eastAsia" w:ascii="方正楷体_GBK" w:hAnsi="方正楷体_GBK" w:eastAsia="方正楷体_GBK" w:cs="方正楷体_GBK"/>
          <w:sz w:val="31"/>
          <w:szCs w:val="31"/>
        </w:rPr>
      </w:pPr>
      <w:r>
        <w:rPr>
          <w:rFonts w:hint="eastAsia" w:ascii="方正楷体_GBK" w:hAnsi="方正楷体_GBK" w:eastAsia="方正楷体_GBK" w:cs="方正楷体_GBK"/>
          <w:sz w:val="31"/>
          <w:szCs w:val="31"/>
        </w:rPr>
        <w:t>项目过程情况</w:t>
      </w:r>
    </w:p>
    <w:p w14:paraId="7A4A3E7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项目过程类指标包括资金管理和组织实施两方面的内容，由5个三级指标构成，权重分值为20分，实际得分</w:t>
      </w:r>
      <w:r>
        <w:rPr>
          <w:rFonts w:hint="eastAsia" w:eastAsia="方正仿宋_GBK" w:cs="Times New Roman"/>
          <w:color w:val="auto"/>
          <w:sz w:val="31"/>
          <w:szCs w:val="31"/>
          <w:lang w:val="en-US" w:eastAsia="zh-CN"/>
        </w:rPr>
        <w:t>19</w:t>
      </w:r>
      <w:r>
        <w:rPr>
          <w:rFonts w:hint="default" w:ascii="Times New Roman" w:hAnsi="Times New Roman" w:eastAsia="方正仿宋_GBK" w:cs="Times New Roman"/>
          <w:color w:val="auto"/>
          <w:sz w:val="31"/>
          <w:szCs w:val="31"/>
          <w:lang w:val="en-US" w:eastAsia="zh-CN"/>
        </w:rPr>
        <w:t>分，得分率为</w:t>
      </w:r>
      <w:r>
        <w:rPr>
          <w:rFonts w:hint="eastAsia" w:eastAsia="方正仿宋_GBK" w:cs="Times New Roman"/>
          <w:color w:val="auto"/>
          <w:sz w:val="31"/>
          <w:szCs w:val="31"/>
          <w:lang w:val="en-US" w:eastAsia="zh-CN"/>
        </w:rPr>
        <w:t>95</w:t>
      </w:r>
      <w:r>
        <w:rPr>
          <w:rFonts w:hint="default" w:ascii="Times New Roman" w:hAnsi="Times New Roman" w:eastAsia="方正仿宋_GBK" w:cs="Times New Roman"/>
          <w:color w:val="auto"/>
          <w:sz w:val="31"/>
          <w:szCs w:val="31"/>
          <w:lang w:val="en-US" w:eastAsia="zh-CN"/>
        </w:rPr>
        <w:t>%。</w:t>
      </w:r>
    </w:p>
    <w:p w14:paraId="45F91316">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default" w:ascii="Times New Roman" w:hAnsi="Times New Roman" w:eastAsia="方正仿宋_GBK" w:cs="Times New Roman"/>
          <w:b/>
          <w:bCs/>
          <w:sz w:val="31"/>
          <w:szCs w:val="31"/>
          <w:highlight w:val="none"/>
          <w:lang w:val="en-US" w:eastAsia="zh-CN"/>
        </w:rPr>
      </w:pPr>
      <w:r>
        <w:rPr>
          <w:rFonts w:hint="default" w:ascii="Times New Roman" w:hAnsi="Times New Roman" w:eastAsia="方正仿宋_GBK" w:cs="Times New Roman"/>
          <w:b/>
          <w:bCs/>
          <w:sz w:val="31"/>
          <w:szCs w:val="31"/>
          <w:highlight w:val="none"/>
          <w:lang w:val="en-US" w:eastAsia="zh-CN"/>
        </w:rPr>
        <w:t>1、资金管理</w:t>
      </w:r>
    </w:p>
    <w:p w14:paraId="24F1BB5E">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default" w:ascii="Times New Roman" w:hAnsi="Times New Roman" w:eastAsia="方正仿宋_GBK" w:cs="Times New Roman"/>
          <w:color w:val="auto"/>
          <w:kern w:val="2"/>
          <w:sz w:val="31"/>
          <w:szCs w:val="31"/>
          <w:lang w:val="en-US" w:eastAsia="zh-CN" w:bidi="ar-SA"/>
        </w:rPr>
      </w:pPr>
      <w:r>
        <w:rPr>
          <w:rFonts w:hint="default" w:ascii="Times New Roman" w:hAnsi="Times New Roman" w:eastAsia="方正仿宋_GBK" w:cs="Times New Roman"/>
          <w:color w:val="auto"/>
          <w:kern w:val="2"/>
          <w:sz w:val="31"/>
          <w:szCs w:val="31"/>
          <w:lang w:val="en-US" w:eastAsia="zh-CN" w:bidi="ar-SA"/>
        </w:rPr>
        <w:t>（1）资金到位率</w:t>
      </w:r>
    </w:p>
    <w:p w14:paraId="47911596">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default" w:ascii="Times New Roman" w:hAnsi="Times New Roman" w:eastAsia="方正仿宋_GBK" w:cs="Times New Roman"/>
          <w:color w:val="auto"/>
          <w:kern w:val="2"/>
          <w:sz w:val="31"/>
          <w:szCs w:val="31"/>
          <w:lang w:val="en-US" w:eastAsia="zh-CN" w:bidi="ar-SA"/>
        </w:rPr>
      </w:pPr>
      <w:r>
        <w:rPr>
          <w:rFonts w:hint="default" w:ascii="Times New Roman" w:hAnsi="Times New Roman" w:eastAsia="方正仿宋_GBK" w:cs="Times New Roman"/>
          <w:color w:val="auto"/>
          <w:kern w:val="2"/>
          <w:sz w:val="31"/>
          <w:szCs w:val="31"/>
          <w:lang w:val="en-US" w:eastAsia="zh-CN" w:bidi="ar-SA"/>
        </w:rPr>
        <w:t>本项目总投资</w:t>
      </w:r>
      <w:r>
        <w:rPr>
          <w:rFonts w:hint="eastAsia" w:ascii="Times New Roman" w:hAnsi="Times New Roman" w:eastAsia="方正仿宋_GBK" w:cs="Times New Roman"/>
          <w:color w:val="auto"/>
          <w:kern w:val="2"/>
          <w:sz w:val="31"/>
          <w:szCs w:val="31"/>
          <w:lang w:val="en-US" w:eastAsia="zh-CN" w:bidi="ar-SA"/>
        </w:rPr>
        <w:t>914.48</w:t>
      </w:r>
      <w:r>
        <w:rPr>
          <w:rFonts w:hint="default" w:ascii="Times New Roman" w:hAnsi="Times New Roman" w:eastAsia="方正仿宋_GBK" w:cs="Times New Roman"/>
          <w:color w:val="auto"/>
          <w:kern w:val="2"/>
          <w:sz w:val="31"/>
          <w:szCs w:val="31"/>
          <w:lang w:val="en-US" w:eastAsia="zh-CN" w:bidi="ar-SA"/>
        </w:rPr>
        <w:t>万元，财政资金及时足额到位，到位率</w:t>
      </w:r>
      <w:r>
        <w:rPr>
          <w:rFonts w:hint="eastAsia" w:ascii="Times New Roman" w:hAnsi="Times New Roman" w:eastAsia="方正仿宋_GBK" w:cs="Times New Roman"/>
          <w:color w:val="auto"/>
          <w:kern w:val="2"/>
          <w:sz w:val="31"/>
          <w:szCs w:val="31"/>
          <w:lang w:val="en-US" w:eastAsia="zh-CN" w:bidi="ar-SA"/>
        </w:rPr>
        <w:t>100</w:t>
      </w:r>
      <w:r>
        <w:rPr>
          <w:rFonts w:hint="default" w:ascii="Times New Roman" w:hAnsi="Times New Roman" w:eastAsia="方正仿宋_GBK" w:cs="Times New Roman"/>
          <w:color w:val="auto"/>
          <w:kern w:val="2"/>
          <w:sz w:val="31"/>
          <w:szCs w:val="31"/>
          <w:lang w:val="en-US" w:eastAsia="zh-CN" w:bidi="ar-SA"/>
        </w:rPr>
        <w:t>%，预算资金按计划进度执行。</w:t>
      </w:r>
    </w:p>
    <w:p w14:paraId="06AF3A8A">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default" w:ascii="Times New Roman" w:hAnsi="Times New Roman" w:eastAsia="方正仿宋_GBK" w:cs="Times New Roman"/>
          <w:color w:val="auto"/>
          <w:kern w:val="2"/>
          <w:sz w:val="31"/>
          <w:szCs w:val="31"/>
          <w:lang w:val="en-US" w:eastAsia="zh-CN" w:bidi="ar-SA"/>
        </w:rPr>
      </w:pPr>
      <w:r>
        <w:rPr>
          <w:rFonts w:hint="eastAsia" w:ascii="Times New Roman" w:hAnsi="Times New Roman" w:eastAsia="方正仿宋_GBK" w:cs="Times New Roman"/>
          <w:color w:val="auto"/>
          <w:kern w:val="2"/>
          <w:sz w:val="31"/>
          <w:szCs w:val="31"/>
          <w:lang w:val="en-US" w:eastAsia="zh-CN" w:bidi="ar-SA"/>
        </w:rPr>
        <w:t>此项权重分值为</w:t>
      </w:r>
      <w:r>
        <w:rPr>
          <w:rFonts w:hint="eastAsia" w:eastAsia="方正仿宋_GBK" w:cs="Times New Roman"/>
          <w:color w:val="auto"/>
          <w:sz w:val="31"/>
          <w:szCs w:val="31"/>
          <w:lang w:val="en-US" w:eastAsia="zh-CN"/>
        </w:rPr>
        <w:t>4分，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kern w:val="2"/>
          <w:sz w:val="31"/>
          <w:szCs w:val="31"/>
          <w:lang w:val="en-US" w:eastAsia="zh-CN" w:bidi="ar-SA"/>
        </w:rPr>
        <w:t>4</w:t>
      </w:r>
      <w:r>
        <w:rPr>
          <w:rFonts w:hint="eastAsia" w:ascii="Times New Roman" w:hAnsi="Times New Roman" w:eastAsia="方正仿宋_GBK" w:cs="Times New Roman"/>
          <w:color w:val="auto"/>
          <w:kern w:val="2"/>
          <w:sz w:val="31"/>
          <w:szCs w:val="31"/>
          <w:lang w:val="en-US" w:eastAsia="zh-CN" w:bidi="ar-SA"/>
        </w:rPr>
        <w:t>分。</w:t>
      </w:r>
    </w:p>
    <w:p w14:paraId="3BA44D24">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default" w:ascii="Times New Roman" w:hAnsi="Times New Roman" w:eastAsia="方正仿宋_GBK" w:cs="Times New Roman"/>
          <w:color w:val="auto"/>
          <w:kern w:val="2"/>
          <w:sz w:val="31"/>
          <w:szCs w:val="31"/>
          <w:lang w:val="en-US" w:eastAsia="zh-CN" w:bidi="ar-SA"/>
        </w:rPr>
      </w:pPr>
      <w:r>
        <w:rPr>
          <w:rFonts w:hint="default" w:ascii="Times New Roman" w:hAnsi="Times New Roman" w:eastAsia="方正仿宋_GBK" w:cs="Times New Roman"/>
          <w:color w:val="auto"/>
          <w:kern w:val="2"/>
          <w:sz w:val="31"/>
          <w:szCs w:val="31"/>
          <w:lang w:val="en-US" w:eastAsia="zh-CN" w:bidi="ar-SA"/>
        </w:rPr>
        <w:t>（2）预算执行率</w:t>
      </w:r>
    </w:p>
    <w:p w14:paraId="43117AFD">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default" w:ascii="Times New Roman" w:hAnsi="Times New Roman" w:eastAsia="方正仿宋_GBK" w:cs="Times New Roman"/>
          <w:color w:val="auto"/>
          <w:kern w:val="2"/>
          <w:sz w:val="31"/>
          <w:szCs w:val="31"/>
          <w:lang w:val="en-US" w:eastAsia="zh-CN" w:bidi="ar-SA"/>
        </w:rPr>
      </w:pPr>
      <w:r>
        <w:rPr>
          <w:rFonts w:hint="default" w:ascii="Times New Roman" w:hAnsi="Times New Roman" w:eastAsia="方正仿宋_GBK" w:cs="Times New Roman"/>
          <w:color w:val="auto"/>
          <w:kern w:val="2"/>
          <w:sz w:val="31"/>
          <w:szCs w:val="31"/>
          <w:lang w:val="en-US" w:eastAsia="zh-CN" w:bidi="ar-SA"/>
        </w:rPr>
        <w:t>预算编制较为详细，项目资金支出总体能够按照预算执行，预算资金支出</w:t>
      </w:r>
      <w:r>
        <w:rPr>
          <w:rFonts w:hint="eastAsia" w:eastAsia="方正仿宋_GBK" w:cs="Times New Roman"/>
          <w:color w:val="auto"/>
          <w:kern w:val="2"/>
          <w:sz w:val="31"/>
          <w:szCs w:val="31"/>
          <w:lang w:val="en-US" w:eastAsia="zh-CN" w:bidi="ar-SA"/>
        </w:rPr>
        <w:t>757.24</w:t>
      </w:r>
      <w:r>
        <w:rPr>
          <w:rFonts w:hint="default" w:ascii="Times New Roman" w:hAnsi="Times New Roman" w:eastAsia="方正仿宋_GBK" w:cs="Times New Roman"/>
          <w:color w:val="auto"/>
          <w:kern w:val="2"/>
          <w:sz w:val="31"/>
          <w:szCs w:val="31"/>
          <w:lang w:val="en-US" w:eastAsia="zh-CN" w:bidi="ar-SA"/>
        </w:rPr>
        <w:t>万元，预算执行率为</w:t>
      </w:r>
      <w:r>
        <w:rPr>
          <w:rFonts w:hint="eastAsia" w:eastAsia="方正仿宋_GBK" w:cs="Times New Roman"/>
          <w:color w:val="auto"/>
          <w:kern w:val="2"/>
          <w:sz w:val="31"/>
          <w:szCs w:val="31"/>
          <w:lang w:val="en-US" w:eastAsia="zh-CN" w:bidi="ar-SA"/>
        </w:rPr>
        <w:t>82.81</w:t>
      </w:r>
      <w:r>
        <w:rPr>
          <w:rFonts w:hint="default" w:ascii="Times New Roman" w:hAnsi="Times New Roman" w:eastAsia="方正仿宋_GBK" w:cs="Times New Roman"/>
          <w:color w:val="auto"/>
          <w:kern w:val="2"/>
          <w:sz w:val="31"/>
          <w:szCs w:val="31"/>
          <w:lang w:val="en-US" w:eastAsia="zh-CN" w:bidi="ar-SA"/>
        </w:rPr>
        <w:t>%。</w:t>
      </w:r>
    </w:p>
    <w:p w14:paraId="13CF7265">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default" w:ascii="Times New Roman" w:hAnsi="Times New Roman" w:eastAsia="方正仿宋_GBK" w:cs="Times New Roman"/>
          <w:color w:val="auto"/>
          <w:kern w:val="2"/>
          <w:sz w:val="31"/>
          <w:szCs w:val="31"/>
          <w:lang w:val="en-US" w:eastAsia="zh-CN" w:bidi="ar-SA"/>
        </w:rPr>
      </w:pPr>
      <w:r>
        <w:rPr>
          <w:rFonts w:hint="eastAsia" w:ascii="Times New Roman" w:hAnsi="Times New Roman" w:eastAsia="方正仿宋_GBK" w:cs="Times New Roman"/>
          <w:color w:val="auto"/>
          <w:kern w:val="2"/>
          <w:sz w:val="31"/>
          <w:szCs w:val="31"/>
          <w:lang w:val="en-US" w:eastAsia="zh-CN" w:bidi="ar-SA"/>
        </w:rPr>
        <w:t>此项权重分值为</w:t>
      </w:r>
      <w:r>
        <w:rPr>
          <w:rFonts w:hint="eastAsia" w:eastAsia="方正仿宋_GBK" w:cs="Times New Roman"/>
          <w:color w:val="auto"/>
          <w:sz w:val="31"/>
          <w:szCs w:val="31"/>
          <w:lang w:val="en-US" w:eastAsia="zh-CN"/>
        </w:rPr>
        <w:t>4分，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kern w:val="2"/>
          <w:sz w:val="31"/>
          <w:szCs w:val="31"/>
          <w:lang w:val="en-US" w:eastAsia="zh-CN" w:bidi="ar-SA"/>
        </w:rPr>
        <w:t>3</w:t>
      </w:r>
      <w:r>
        <w:rPr>
          <w:rFonts w:hint="eastAsia" w:ascii="Times New Roman" w:hAnsi="Times New Roman" w:eastAsia="方正仿宋_GBK" w:cs="Times New Roman"/>
          <w:color w:val="auto"/>
          <w:kern w:val="2"/>
          <w:sz w:val="31"/>
          <w:szCs w:val="31"/>
          <w:lang w:val="en-US" w:eastAsia="zh-CN" w:bidi="ar-SA"/>
        </w:rPr>
        <w:t>分。</w:t>
      </w:r>
    </w:p>
    <w:p w14:paraId="2E1927D2">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default" w:ascii="Times New Roman" w:hAnsi="Times New Roman" w:eastAsia="方正仿宋_GBK" w:cs="Times New Roman"/>
          <w:color w:val="auto"/>
          <w:kern w:val="2"/>
          <w:sz w:val="31"/>
          <w:szCs w:val="31"/>
          <w:lang w:val="en-US" w:eastAsia="zh-CN" w:bidi="ar-SA"/>
        </w:rPr>
      </w:pPr>
      <w:r>
        <w:rPr>
          <w:rFonts w:hint="default" w:ascii="Times New Roman" w:hAnsi="Times New Roman" w:eastAsia="方正仿宋_GBK" w:cs="Times New Roman"/>
          <w:color w:val="auto"/>
          <w:kern w:val="2"/>
          <w:sz w:val="31"/>
          <w:szCs w:val="31"/>
          <w:lang w:val="en-US" w:eastAsia="zh-CN" w:bidi="ar-SA"/>
        </w:rPr>
        <w:t>（3）资金使用合规性</w:t>
      </w:r>
    </w:p>
    <w:p w14:paraId="2D1B9D26">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kern w:val="2"/>
          <w:sz w:val="31"/>
          <w:szCs w:val="31"/>
          <w:lang w:val="en-US" w:eastAsia="zh-CN" w:bidi="ar-SA"/>
        </w:rPr>
      </w:pPr>
      <w:r>
        <w:rPr>
          <w:rFonts w:hint="default" w:ascii="Times New Roman" w:hAnsi="Times New Roman" w:eastAsia="方正仿宋_GBK" w:cs="Times New Roman"/>
          <w:color w:val="auto"/>
          <w:kern w:val="2"/>
          <w:sz w:val="31"/>
          <w:szCs w:val="31"/>
          <w:lang w:val="en-US" w:eastAsia="zh-CN" w:bidi="ar-SA"/>
        </w:rPr>
        <w:t>本项目的资金使用严格遵循了国家相关法律法规与财务制度，确保了资金的合规性与安全性。在资金使用过程中，我们建立了完善的财务管理体系，对资金的流动进行了全程监控与记录。</w:t>
      </w:r>
    </w:p>
    <w:p w14:paraId="00A74E4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kern w:val="2"/>
          <w:sz w:val="31"/>
          <w:szCs w:val="31"/>
          <w:lang w:val="en-US" w:eastAsia="zh-CN" w:bidi="ar-SA"/>
        </w:rPr>
      </w:pPr>
      <w:r>
        <w:rPr>
          <w:rFonts w:hint="default" w:ascii="Times New Roman" w:hAnsi="Times New Roman" w:eastAsia="方正仿宋_GBK" w:cs="Times New Roman"/>
          <w:color w:val="auto"/>
          <w:kern w:val="2"/>
          <w:sz w:val="31"/>
          <w:szCs w:val="31"/>
          <w:lang w:val="en-US" w:eastAsia="zh-CN" w:bidi="ar-SA"/>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B7C2E8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kern w:val="2"/>
          <w:sz w:val="31"/>
          <w:szCs w:val="31"/>
          <w:lang w:val="en-US" w:eastAsia="zh-CN" w:bidi="ar-SA"/>
        </w:rPr>
      </w:pPr>
      <w:r>
        <w:rPr>
          <w:rFonts w:hint="default" w:ascii="Times New Roman" w:hAnsi="Times New Roman" w:eastAsia="方正仿宋_GBK" w:cs="Times New Roman"/>
          <w:color w:val="auto"/>
          <w:kern w:val="2"/>
          <w:sz w:val="31"/>
          <w:szCs w:val="31"/>
          <w:lang w:val="en-US" w:eastAsia="zh-CN" w:bidi="ar-SA"/>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EE122E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仿宋_GB2312" w:cs="Times New Roman"/>
          <w:sz w:val="31"/>
          <w:szCs w:val="31"/>
          <w:highlight w:val="none"/>
          <w:lang w:eastAsia="zh-CN"/>
        </w:rPr>
      </w:pPr>
      <w:r>
        <w:rPr>
          <w:rFonts w:hint="eastAsia" w:ascii="Times New Roman" w:hAnsi="Times New Roman" w:eastAsia="方正仿宋_GBK" w:cs="Times New Roman"/>
          <w:color w:val="auto"/>
          <w:kern w:val="2"/>
          <w:sz w:val="31"/>
          <w:szCs w:val="31"/>
          <w:lang w:val="en-US" w:eastAsia="zh-CN" w:bidi="ar-SA"/>
        </w:rPr>
        <w:t>此项权重分值为</w:t>
      </w:r>
      <w:r>
        <w:rPr>
          <w:rFonts w:hint="eastAsia" w:eastAsia="方正仿宋_GBK" w:cs="Times New Roman"/>
          <w:color w:val="auto"/>
          <w:sz w:val="31"/>
          <w:szCs w:val="31"/>
          <w:lang w:val="en-US" w:eastAsia="zh-CN"/>
        </w:rPr>
        <w:t>4分，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kern w:val="2"/>
          <w:sz w:val="31"/>
          <w:szCs w:val="31"/>
          <w:lang w:val="en-US" w:eastAsia="zh-CN" w:bidi="ar-SA"/>
        </w:rPr>
        <w:t>4</w:t>
      </w:r>
      <w:r>
        <w:rPr>
          <w:rFonts w:hint="eastAsia" w:ascii="Times New Roman" w:hAnsi="Times New Roman" w:eastAsia="方正仿宋_GBK" w:cs="Times New Roman"/>
          <w:color w:val="auto"/>
          <w:kern w:val="2"/>
          <w:sz w:val="31"/>
          <w:szCs w:val="31"/>
          <w:lang w:val="en-US" w:eastAsia="zh-CN" w:bidi="ar-SA"/>
        </w:rPr>
        <w:t>分。</w:t>
      </w:r>
    </w:p>
    <w:p w14:paraId="671F83EB">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eastAsia" w:ascii="Times New Roman" w:hAnsi="Times New Roman" w:eastAsia="方正仿宋_GBK" w:cs="Times New Roman"/>
          <w:b/>
          <w:bCs/>
          <w:sz w:val="31"/>
          <w:szCs w:val="31"/>
          <w:highlight w:val="none"/>
          <w:lang w:val="en-US" w:eastAsia="zh-CN"/>
        </w:rPr>
      </w:pPr>
      <w:r>
        <w:rPr>
          <w:rFonts w:hint="eastAsia" w:ascii="Times New Roman" w:hAnsi="Times New Roman" w:eastAsia="方正仿宋_GBK" w:cs="Times New Roman"/>
          <w:b/>
          <w:bCs/>
          <w:sz w:val="31"/>
          <w:szCs w:val="31"/>
          <w:highlight w:val="none"/>
          <w:lang w:val="en-US" w:eastAsia="zh-CN"/>
        </w:rPr>
        <w:t>2、组织实施</w:t>
      </w:r>
    </w:p>
    <w:p w14:paraId="3ECF961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（1）管理制度健全性</w:t>
      </w:r>
    </w:p>
    <w:p w14:paraId="431BBF5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05662CF1">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在制度设计上，我们注重了制度的科学性与可操作性，确保制度能够切实指导项目的执行与管理。</w:t>
      </w:r>
    </w:p>
    <w:p w14:paraId="5488A95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437C60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AC70504">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4分，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4</w:t>
      </w:r>
      <w:r>
        <w:rPr>
          <w:rFonts w:hint="eastAsia" w:ascii="Times New Roman" w:hAnsi="Times New Roman" w:eastAsia="方正仿宋_GBK" w:cs="Times New Roman"/>
          <w:color w:val="auto"/>
          <w:sz w:val="31"/>
          <w:szCs w:val="31"/>
          <w:lang w:val="en-US" w:eastAsia="zh-CN"/>
        </w:rPr>
        <w:t>分。</w:t>
      </w:r>
    </w:p>
    <w:p w14:paraId="3C5EE900">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（2）制度执行有效性</w:t>
      </w:r>
    </w:p>
    <w:p w14:paraId="3047178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5394FB5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6CBF08E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综上所述，本项目的管理制度在执行过程中表现出了高度的有效性，既确保了项目的顺利进行，又实现了项目目标的有效达成。</w:t>
      </w:r>
    </w:p>
    <w:p w14:paraId="44D1794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4分，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4</w:t>
      </w:r>
      <w:r>
        <w:rPr>
          <w:rFonts w:hint="eastAsia" w:ascii="Times New Roman" w:hAnsi="Times New Roman" w:eastAsia="方正仿宋_GBK" w:cs="Times New Roman"/>
          <w:color w:val="auto"/>
          <w:sz w:val="31"/>
          <w:szCs w:val="31"/>
          <w:lang w:val="en-US" w:eastAsia="zh-CN"/>
        </w:rPr>
        <w:t>分。</w:t>
      </w:r>
    </w:p>
    <w:p w14:paraId="1CC62B03">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eastAsia="方正仿宋_GBK" w:cs="Times New Roman"/>
          <w:color w:val="auto"/>
          <w:sz w:val="31"/>
          <w:szCs w:val="31"/>
          <w:lang w:val="en-US" w:eastAsia="zh-CN"/>
        </w:rPr>
        <w:t>（3）</w:t>
      </w:r>
      <w:r>
        <w:rPr>
          <w:rFonts w:hint="default" w:ascii="Times New Roman" w:hAnsi="Times New Roman" w:eastAsia="方正仿宋_GBK" w:cs="Times New Roman"/>
          <w:color w:val="auto"/>
          <w:sz w:val="31"/>
          <w:szCs w:val="31"/>
          <w:lang w:val="en-US" w:eastAsia="zh-CN"/>
        </w:rPr>
        <w:t>项目产出情况</w:t>
      </w:r>
    </w:p>
    <w:p w14:paraId="358C9FA3">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项目产出类指标包括产出数量、产出质量、产出时效、产出成本四方面的内容，由</w:t>
      </w:r>
      <w:r>
        <w:rPr>
          <w:rFonts w:hint="eastAsia" w:eastAsia="方正仿宋_GBK" w:cs="Times New Roman"/>
          <w:color w:val="auto"/>
          <w:sz w:val="31"/>
          <w:szCs w:val="31"/>
          <w:lang w:val="en-US" w:eastAsia="zh-CN"/>
        </w:rPr>
        <w:t>7</w:t>
      </w:r>
      <w:r>
        <w:rPr>
          <w:rFonts w:hint="default" w:ascii="Times New Roman" w:hAnsi="Times New Roman" w:eastAsia="方正仿宋_GBK" w:cs="Times New Roman"/>
          <w:color w:val="auto"/>
          <w:sz w:val="31"/>
          <w:szCs w:val="31"/>
          <w:lang w:val="en-US" w:eastAsia="zh-CN"/>
        </w:rPr>
        <w:t>个三级指标构成，权重分为40分，实际得分</w:t>
      </w:r>
      <w:r>
        <w:rPr>
          <w:rFonts w:hint="eastAsia" w:eastAsia="方正仿宋_GBK" w:cs="Times New Roman"/>
          <w:color w:val="auto"/>
          <w:sz w:val="31"/>
          <w:szCs w:val="31"/>
          <w:lang w:val="en-US" w:eastAsia="zh-CN"/>
        </w:rPr>
        <w:t>36.5</w:t>
      </w:r>
      <w:r>
        <w:rPr>
          <w:rFonts w:hint="default" w:ascii="Times New Roman" w:hAnsi="Times New Roman" w:eastAsia="方正仿宋_GBK" w:cs="Times New Roman"/>
          <w:color w:val="auto"/>
          <w:sz w:val="31"/>
          <w:szCs w:val="31"/>
          <w:lang w:val="en-US" w:eastAsia="zh-CN"/>
        </w:rPr>
        <w:t>分，得分率为</w:t>
      </w:r>
      <w:r>
        <w:rPr>
          <w:rFonts w:hint="eastAsia" w:eastAsia="方正仿宋_GBK" w:cs="Times New Roman"/>
          <w:color w:val="auto"/>
          <w:sz w:val="31"/>
          <w:szCs w:val="31"/>
          <w:lang w:val="en-US" w:eastAsia="zh-CN"/>
        </w:rPr>
        <w:t>91.25</w:t>
      </w:r>
      <w:r>
        <w:rPr>
          <w:rFonts w:hint="default" w:ascii="Times New Roman" w:hAnsi="Times New Roman" w:eastAsia="方正仿宋_GBK" w:cs="Times New Roman"/>
          <w:color w:val="auto"/>
          <w:sz w:val="31"/>
          <w:szCs w:val="31"/>
          <w:lang w:val="en-US" w:eastAsia="zh-CN"/>
        </w:rPr>
        <w:t>%。具体产出指标完成情况如下：</w:t>
      </w:r>
    </w:p>
    <w:p w14:paraId="792B6DE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fldChar w:fldCharType="begin"/>
      </w:r>
      <w:r>
        <w:rPr>
          <w:rFonts w:hint="default" w:ascii="Times New Roman" w:hAnsi="Times New Roman" w:eastAsia="方正仿宋_GBK" w:cs="Times New Roman"/>
          <w:color w:val="auto"/>
          <w:sz w:val="31"/>
          <w:szCs w:val="31"/>
          <w:lang w:val="en-US" w:eastAsia="zh-CN"/>
        </w:rPr>
        <w:instrText xml:space="preserve"> = 1 \* GB3 </w:instrText>
      </w:r>
      <w:r>
        <w:rPr>
          <w:rFonts w:hint="default" w:ascii="Times New Roman" w:hAnsi="Times New Roman" w:eastAsia="方正仿宋_GBK" w:cs="Times New Roman"/>
          <w:color w:val="auto"/>
          <w:sz w:val="31"/>
          <w:szCs w:val="31"/>
          <w:lang w:val="en-US" w:eastAsia="zh-CN"/>
        </w:rPr>
        <w:fldChar w:fldCharType="separate"/>
      </w:r>
      <w:r>
        <w:rPr>
          <w:rFonts w:hint="default" w:ascii="Times New Roman" w:hAnsi="Times New Roman" w:eastAsia="方正仿宋_GBK" w:cs="Times New Roman"/>
          <w:color w:val="auto"/>
          <w:sz w:val="31"/>
          <w:szCs w:val="31"/>
          <w:lang w:val="en-US" w:eastAsia="zh-CN"/>
        </w:rPr>
        <w:t>①</w:t>
      </w:r>
      <w:r>
        <w:rPr>
          <w:rFonts w:hint="default" w:ascii="Times New Roman" w:hAnsi="Times New Roman" w:eastAsia="方正仿宋_GBK" w:cs="Times New Roman"/>
          <w:color w:val="auto"/>
          <w:sz w:val="31"/>
          <w:szCs w:val="31"/>
          <w:lang w:val="en-US" w:eastAsia="zh-CN"/>
        </w:rPr>
        <w:fldChar w:fldCharType="end"/>
      </w:r>
      <w:r>
        <w:rPr>
          <w:rFonts w:hint="default" w:ascii="Times New Roman" w:hAnsi="Times New Roman" w:eastAsia="方正仿宋_GBK" w:cs="Times New Roman"/>
          <w:color w:val="auto"/>
          <w:sz w:val="31"/>
          <w:szCs w:val="31"/>
          <w:lang w:val="en-US" w:eastAsia="zh-CN"/>
        </w:rPr>
        <w:t>数量指标：补贴企业数，指标值：&gt;=4家，实际完成值</w:t>
      </w:r>
      <w:r>
        <w:rPr>
          <w:rFonts w:hint="eastAsia" w:eastAsia="方正仿宋_GBK" w:cs="Times New Roman"/>
          <w:color w:val="auto"/>
          <w:sz w:val="31"/>
          <w:szCs w:val="31"/>
          <w:lang w:val="en-US" w:eastAsia="zh-CN"/>
        </w:rPr>
        <w:t>3家</w:t>
      </w:r>
      <w:r>
        <w:rPr>
          <w:rFonts w:hint="default" w:ascii="Times New Roman" w:hAnsi="Times New Roman" w:eastAsia="方正仿宋_GBK" w:cs="Times New Roman"/>
          <w:color w:val="auto"/>
          <w:sz w:val="31"/>
          <w:szCs w:val="31"/>
          <w:lang w:val="en-US" w:eastAsia="zh-CN"/>
        </w:rPr>
        <w:t>，指标完成率</w:t>
      </w:r>
      <w:r>
        <w:rPr>
          <w:rFonts w:hint="eastAsia" w:ascii="Times New Roman" w:hAnsi="Times New Roman" w:eastAsia="方正仿宋_GBK" w:cs="Times New Roman"/>
          <w:color w:val="auto"/>
          <w:sz w:val="31"/>
          <w:szCs w:val="31"/>
          <w:lang w:val="en-US" w:eastAsia="zh-CN"/>
        </w:rPr>
        <w:t>75</w:t>
      </w:r>
      <w:r>
        <w:rPr>
          <w:rFonts w:hint="default" w:ascii="Times New Roman" w:hAnsi="Times New Roman" w:eastAsia="方正仿宋_GBK" w:cs="Times New Roman"/>
          <w:color w:val="auto"/>
          <w:sz w:val="31"/>
          <w:szCs w:val="31"/>
          <w:lang w:val="en-US" w:eastAsia="zh-CN"/>
        </w:rPr>
        <w:t>%，偏差原因：库尔勒市牛羊肉初加工（设施设备）</w:t>
      </w:r>
      <w:r>
        <w:rPr>
          <w:rFonts w:hint="eastAsia" w:ascii="Times New Roman" w:hAnsi="Times New Roman" w:eastAsia="方正仿宋_GBK" w:cs="Times New Roman"/>
          <w:color w:val="auto"/>
          <w:sz w:val="31"/>
          <w:szCs w:val="31"/>
          <w:lang w:val="en-US" w:eastAsia="zh-CN"/>
        </w:rPr>
        <w:t>项目与乡村振兴局乡村振兴衔接资金重复申领补贴资金，故未对中泰鸿茂畜牧进行补贴。改进措施：在今后的工作中将更好的规划资金使用计划。</w:t>
      </w:r>
    </w:p>
    <w:p w14:paraId="4B2E871C">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10分，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9</w:t>
      </w:r>
      <w:r>
        <w:rPr>
          <w:rFonts w:hint="eastAsia" w:ascii="Times New Roman" w:hAnsi="Times New Roman" w:eastAsia="方正仿宋_GBK" w:cs="Times New Roman"/>
          <w:color w:val="auto"/>
          <w:sz w:val="31"/>
          <w:szCs w:val="31"/>
          <w:lang w:val="en-US" w:eastAsia="zh-CN"/>
        </w:rPr>
        <w:t>分。</w:t>
      </w:r>
    </w:p>
    <w:p w14:paraId="2FA6881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fldChar w:fldCharType="begin"/>
      </w:r>
      <w:r>
        <w:rPr>
          <w:rFonts w:hint="default" w:ascii="Times New Roman" w:hAnsi="Times New Roman" w:eastAsia="方正仿宋_GBK" w:cs="Times New Roman"/>
          <w:color w:val="auto"/>
          <w:sz w:val="31"/>
          <w:szCs w:val="31"/>
          <w:lang w:val="en-US" w:eastAsia="zh-CN"/>
        </w:rPr>
        <w:instrText xml:space="preserve"> = 2 \* GB3 </w:instrText>
      </w:r>
      <w:r>
        <w:rPr>
          <w:rFonts w:hint="default" w:ascii="Times New Roman" w:hAnsi="Times New Roman" w:eastAsia="方正仿宋_GBK" w:cs="Times New Roman"/>
          <w:color w:val="auto"/>
          <w:sz w:val="31"/>
          <w:szCs w:val="31"/>
          <w:lang w:val="en-US" w:eastAsia="zh-CN"/>
        </w:rPr>
        <w:fldChar w:fldCharType="separate"/>
      </w:r>
      <w:r>
        <w:rPr>
          <w:rFonts w:hint="default" w:ascii="Times New Roman" w:hAnsi="Times New Roman" w:eastAsia="方正仿宋_GBK" w:cs="Times New Roman"/>
          <w:color w:val="auto"/>
          <w:sz w:val="31"/>
          <w:szCs w:val="31"/>
          <w:lang w:val="en-US" w:eastAsia="zh-CN"/>
        </w:rPr>
        <w:t>②</w:t>
      </w:r>
      <w:r>
        <w:rPr>
          <w:rFonts w:hint="default" w:ascii="Times New Roman" w:hAnsi="Times New Roman" w:eastAsia="方正仿宋_GBK" w:cs="Times New Roman"/>
          <w:color w:val="auto"/>
          <w:sz w:val="31"/>
          <w:szCs w:val="31"/>
          <w:lang w:val="en-US" w:eastAsia="zh-CN"/>
        </w:rPr>
        <w:fldChar w:fldCharType="end"/>
      </w:r>
      <w:r>
        <w:rPr>
          <w:rFonts w:hint="default" w:ascii="Times New Roman" w:hAnsi="Times New Roman" w:eastAsia="方正仿宋_GBK" w:cs="Times New Roman"/>
          <w:color w:val="auto"/>
          <w:sz w:val="31"/>
          <w:szCs w:val="31"/>
          <w:lang w:val="en-US" w:eastAsia="zh-CN"/>
        </w:rPr>
        <w:t>质量指标：资金拨付准确率</w:t>
      </w:r>
      <w:r>
        <w:rPr>
          <w:rFonts w:hint="eastAsia"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指标值：=</w:t>
      </w:r>
      <w:r>
        <w:rPr>
          <w:rFonts w:hint="eastAsia" w:ascii="Times New Roman" w:hAnsi="Times New Roman" w:eastAsia="方正仿宋_GBK" w:cs="Times New Roman"/>
          <w:color w:val="auto"/>
          <w:sz w:val="31"/>
          <w:szCs w:val="31"/>
          <w:lang w:val="en-US" w:eastAsia="zh-CN"/>
        </w:rPr>
        <w:t>100%</w:t>
      </w:r>
      <w:r>
        <w:rPr>
          <w:rFonts w:hint="default" w:ascii="Times New Roman" w:hAnsi="Times New Roman" w:eastAsia="方正仿宋_GBK" w:cs="Times New Roman"/>
          <w:color w:val="auto"/>
          <w:sz w:val="31"/>
          <w:szCs w:val="31"/>
          <w:lang w:val="en-US" w:eastAsia="zh-CN"/>
        </w:rPr>
        <w:t>，实际完成值：</w:t>
      </w:r>
      <w:r>
        <w:rPr>
          <w:rFonts w:hint="eastAsia" w:ascii="Times New Roman" w:hAnsi="Times New Roman" w:eastAsia="方正仿宋_GBK" w:cs="Times New Roman"/>
          <w:color w:val="auto"/>
          <w:sz w:val="31"/>
          <w:szCs w:val="31"/>
          <w:lang w:val="en-US" w:eastAsia="zh-CN"/>
        </w:rPr>
        <w:t>=100%</w:t>
      </w:r>
      <w:r>
        <w:rPr>
          <w:rFonts w:hint="default" w:ascii="Times New Roman" w:hAnsi="Times New Roman" w:eastAsia="方正仿宋_GBK" w:cs="Times New Roman"/>
          <w:color w:val="auto"/>
          <w:sz w:val="31"/>
          <w:szCs w:val="31"/>
          <w:lang w:val="en-US" w:eastAsia="zh-CN"/>
        </w:rPr>
        <w:t>，指标完成率</w:t>
      </w:r>
      <w:r>
        <w:rPr>
          <w:rFonts w:hint="eastAsia" w:ascii="Times New Roman" w:hAnsi="Times New Roman" w:eastAsia="方正仿宋_GBK" w:cs="Times New Roman"/>
          <w:color w:val="auto"/>
          <w:sz w:val="31"/>
          <w:szCs w:val="31"/>
          <w:lang w:val="en-US" w:eastAsia="zh-CN"/>
        </w:rPr>
        <w:t>100%。</w:t>
      </w:r>
    </w:p>
    <w:p w14:paraId="30B75BC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10分，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10</w:t>
      </w:r>
      <w:r>
        <w:rPr>
          <w:rFonts w:hint="eastAsia" w:ascii="Times New Roman" w:hAnsi="Times New Roman" w:eastAsia="方正仿宋_GBK" w:cs="Times New Roman"/>
          <w:color w:val="auto"/>
          <w:sz w:val="31"/>
          <w:szCs w:val="31"/>
          <w:lang w:val="en-US" w:eastAsia="zh-CN"/>
        </w:rPr>
        <w:t>分。</w:t>
      </w:r>
    </w:p>
    <w:p w14:paraId="26AF12A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fldChar w:fldCharType="begin"/>
      </w:r>
      <w:r>
        <w:rPr>
          <w:rFonts w:hint="default" w:ascii="Times New Roman" w:hAnsi="Times New Roman" w:eastAsia="方正仿宋_GBK" w:cs="Times New Roman"/>
          <w:color w:val="auto"/>
          <w:sz w:val="31"/>
          <w:szCs w:val="31"/>
          <w:lang w:val="en-US" w:eastAsia="zh-CN"/>
        </w:rPr>
        <w:instrText xml:space="preserve"> = 3 \* GB3 </w:instrText>
      </w:r>
      <w:r>
        <w:rPr>
          <w:rFonts w:hint="default" w:ascii="Times New Roman" w:hAnsi="Times New Roman" w:eastAsia="方正仿宋_GBK" w:cs="Times New Roman"/>
          <w:color w:val="auto"/>
          <w:sz w:val="31"/>
          <w:szCs w:val="31"/>
          <w:lang w:val="en-US" w:eastAsia="zh-CN"/>
        </w:rPr>
        <w:fldChar w:fldCharType="separate"/>
      </w:r>
      <w:r>
        <w:rPr>
          <w:rFonts w:hint="default" w:ascii="Times New Roman" w:hAnsi="Times New Roman" w:eastAsia="方正仿宋_GBK" w:cs="Times New Roman"/>
          <w:color w:val="auto"/>
          <w:sz w:val="31"/>
          <w:szCs w:val="31"/>
          <w:lang w:val="en-US" w:eastAsia="zh-CN"/>
        </w:rPr>
        <w:t>③</w:t>
      </w:r>
      <w:r>
        <w:rPr>
          <w:rFonts w:hint="default" w:ascii="Times New Roman" w:hAnsi="Times New Roman" w:eastAsia="方正仿宋_GBK" w:cs="Times New Roman"/>
          <w:color w:val="auto"/>
          <w:sz w:val="31"/>
          <w:szCs w:val="31"/>
          <w:lang w:val="en-US" w:eastAsia="zh-CN"/>
        </w:rPr>
        <w:fldChar w:fldCharType="end"/>
      </w:r>
      <w:r>
        <w:rPr>
          <w:rFonts w:hint="default" w:ascii="Times New Roman" w:hAnsi="Times New Roman" w:eastAsia="方正仿宋_GBK" w:cs="Times New Roman"/>
          <w:color w:val="auto"/>
          <w:sz w:val="31"/>
          <w:szCs w:val="31"/>
          <w:lang w:val="en-US" w:eastAsia="zh-CN"/>
        </w:rPr>
        <w:t>时效指标：发放资金完成时间</w:t>
      </w:r>
      <w:r>
        <w:rPr>
          <w:rFonts w:hint="eastAsia"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指标值：2024年12月20日，实际完成值：</w:t>
      </w:r>
      <w:r>
        <w:rPr>
          <w:rFonts w:hint="eastAsia" w:ascii="Times New Roman" w:hAnsi="Times New Roman" w:eastAsia="方正仿宋_GBK" w:cs="Times New Roman"/>
          <w:color w:val="auto"/>
          <w:sz w:val="31"/>
          <w:szCs w:val="31"/>
          <w:lang w:val="en-US" w:eastAsia="zh-CN"/>
        </w:rPr>
        <w:t>2024年11月25日</w:t>
      </w:r>
      <w:r>
        <w:rPr>
          <w:rFonts w:hint="default" w:ascii="Times New Roman" w:hAnsi="Times New Roman" w:eastAsia="方正仿宋_GBK" w:cs="Times New Roman"/>
          <w:color w:val="auto"/>
          <w:sz w:val="31"/>
          <w:szCs w:val="31"/>
          <w:lang w:val="en-US" w:eastAsia="zh-CN"/>
        </w:rPr>
        <w:t>，指标完成率</w:t>
      </w:r>
      <w:r>
        <w:rPr>
          <w:rFonts w:hint="eastAsia" w:ascii="Times New Roman" w:hAnsi="Times New Roman" w:eastAsia="方正仿宋_GBK" w:cs="Times New Roman"/>
          <w:color w:val="auto"/>
          <w:sz w:val="31"/>
          <w:szCs w:val="31"/>
          <w:lang w:val="en-US" w:eastAsia="zh-CN"/>
        </w:rPr>
        <w:t>100%。</w:t>
      </w:r>
    </w:p>
    <w:p w14:paraId="17AEFD3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10分，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10</w:t>
      </w:r>
      <w:r>
        <w:rPr>
          <w:rFonts w:hint="eastAsia" w:ascii="Times New Roman" w:hAnsi="Times New Roman" w:eastAsia="方正仿宋_GBK" w:cs="Times New Roman"/>
          <w:color w:val="auto"/>
          <w:sz w:val="31"/>
          <w:szCs w:val="31"/>
          <w:lang w:val="en-US" w:eastAsia="zh-CN"/>
        </w:rPr>
        <w:t>分。</w:t>
      </w:r>
    </w:p>
    <w:p w14:paraId="6240B29F">
      <w:pPr>
        <w:shd w:val="clear"/>
        <w:spacing w:line="600" w:lineRule="exact"/>
        <w:ind w:firstLine="620" w:firstLineChars="200"/>
        <w:outlineLvl w:val="0"/>
        <w:rPr>
          <w:rFonts w:hint="eastAsia" w:ascii="Times New Roman" w:hAnsi="Times New Roman" w:eastAsia="仿宋_GB2312" w:cs="Times New Roman"/>
          <w:sz w:val="32"/>
          <w:szCs w:val="32"/>
          <w:highlight w:val="none"/>
          <w:lang w:eastAsia="zh-CN"/>
        </w:rPr>
      </w:pPr>
      <w:r>
        <w:rPr>
          <w:rFonts w:hint="eastAsia" w:ascii="方正仿宋_GBK" w:hAnsi="方正仿宋_GBK" w:eastAsia="方正仿宋_GBK" w:cs="方正仿宋_GBK"/>
          <w:color w:val="auto"/>
          <w:sz w:val="31"/>
          <w:szCs w:val="31"/>
          <w:lang w:val="en-US" w:eastAsia="zh-CN"/>
        </w:rPr>
        <w:t>④经济</w:t>
      </w:r>
      <w:r>
        <w:rPr>
          <w:rFonts w:hint="eastAsia" w:eastAsia="方正仿宋_GBK" w:cs="Times New Roman"/>
          <w:color w:val="auto"/>
          <w:sz w:val="31"/>
          <w:szCs w:val="31"/>
          <w:lang w:val="en-US" w:eastAsia="zh-CN"/>
        </w:rPr>
        <w:t>成本指标</w:t>
      </w:r>
      <w:r>
        <w:rPr>
          <w:rFonts w:hint="default" w:ascii="Times New Roman" w:hAnsi="Times New Roman" w:eastAsia="仿宋_GB2312" w:cs="Times New Roman"/>
          <w:sz w:val="32"/>
          <w:szCs w:val="32"/>
          <w:highlight w:val="none"/>
        </w:rPr>
        <w:t>1：</w:t>
      </w:r>
      <w:r>
        <w:rPr>
          <w:rFonts w:hint="eastAsia" w:ascii="Times New Roman" w:hAnsi="Times New Roman" w:eastAsia="仿宋_GB2312" w:cs="Times New Roman"/>
          <w:sz w:val="32"/>
          <w:szCs w:val="32"/>
          <w:highlight w:val="none"/>
          <w:lang w:eastAsia="zh-CN"/>
        </w:rPr>
        <w:t>补贴库尔勒市香梨产业发展有限公司金额</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rPr>
        <w:t>≦</w:t>
      </w:r>
      <w:r>
        <w:rPr>
          <w:rFonts w:hint="eastAsia" w:ascii="Times New Roman" w:hAnsi="Times New Roman" w:eastAsia="仿宋_GB2312" w:cs="Times New Roman"/>
          <w:sz w:val="32"/>
          <w:szCs w:val="32"/>
          <w:highlight w:val="none"/>
          <w:lang w:val="en-US" w:eastAsia="zh-CN"/>
        </w:rPr>
        <w:t>229.58万元</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229.58万元</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7A54E5B1">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lang w:val="en-US" w:eastAsia="zh-CN"/>
        </w:rPr>
      </w:pPr>
      <w:r>
        <w:rPr>
          <w:rFonts w:hint="eastAsia" w:eastAsia="方正仿宋_GBK" w:cs="Times New Roman"/>
          <w:color w:val="auto"/>
          <w:sz w:val="31"/>
          <w:szCs w:val="31"/>
          <w:lang w:val="en-US" w:eastAsia="zh-CN"/>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补贴库尔勒市中泰鸿茂畜牧发展有限公司金额</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eastAsia="zh-CN"/>
        </w:rPr>
        <w:t>：</w:t>
      </w:r>
      <w:r>
        <w:rPr>
          <w:rFonts w:hint="eastAsia" w:ascii="宋体" w:hAnsi="宋体" w:eastAsia="宋体" w:cs="宋体"/>
          <w:sz w:val="32"/>
          <w:szCs w:val="32"/>
          <w:highlight w:val="none"/>
          <w:lang w:eastAsia="zh-CN"/>
        </w:rPr>
        <w:t>≦</w:t>
      </w:r>
      <w:r>
        <w:rPr>
          <w:rFonts w:hint="eastAsia" w:ascii="Times New Roman" w:hAnsi="Times New Roman" w:eastAsia="仿宋_GB2312" w:cs="Times New Roman"/>
          <w:sz w:val="32"/>
          <w:szCs w:val="32"/>
          <w:highlight w:val="none"/>
          <w:lang w:val="en-US" w:eastAsia="zh-CN"/>
        </w:rPr>
        <w:t>157.24万元</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0万元</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方正仿宋_GBK" w:cs="Times New Roman"/>
          <w:color w:val="auto"/>
          <w:kern w:val="2"/>
          <w:sz w:val="31"/>
          <w:szCs w:val="31"/>
          <w:lang w:val="en-US" w:eastAsia="zh-CN" w:bidi="ar-SA"/>
        </w:rPr>
        <w:t>此</w:t>
      </w:r>
      <w:r>
        <w:rPr>
          <w:rFonts w:hint="default" w:ascii="Times New Roman" w:hAnsi="Times New Roman" w:eastAsia="方正仿宋_GBK" w:cs="Times New Roman"/>
          <w:color w:val="auto"/>
          <w:kern w:val="2"/>
          <w:sz w:val="31"/>
          <w:szCs w:val="31"/>
          <w:lang w:val="en-US" w:eastAsia="zh-CN" w:bidi="ar-SA"/>
        </w:rPr>
        <w:t>项目与乡村振兴局乡村振兴衔接资金重复申领补贴资金情况，</w:t>
      </w:r>
      <w:r>
        <w:rPr>
          <w:rFonts w:hint="default" w:ascii="Times New Roman" w:hAnsi="Times New Roman" w:eastAsia="方正仿宋_GBK" w:cs="Times New Roman"/>
          <w:color w:val="auto"/>
          <w:kern w:val="2"/>
          <w:sz w:val="31"/>
          <w:szCs w:val="31"/>
          <w:lang w:val="en-US" w:eastAsia="zh-Hans" w:bidi="ar-SA"/>
        </w:rPr>
        <w:t>改进</w:t>
      </w:r>
      <w:r>
        <w:rPr>
          <w:rFonts w:hint="default" w:ascii="Times New Roman" w:hAnsi="Times New Roman" w:eastAsia="方正仿宋_GBK" w:cs="Times New Roman"/>
          <w:color w:val="auto"/>
          <w:kern w:val="2"/>
          <w:sz w:val="31"/>
          <w:szCs w:val="31"/>
          <w:lang w:val="en-US" w:eastAsia="zh-CN" w:bidi="ar-SA"/>
        </w:rPr>
        <w:t>措施</w:t>
      </w:r>
      <w:r>
        <w:rPr>
          <w:rFonts w:hint="eastAsia" w:ascii="Times New Roman" w:hAnsi="Times New Roman" w:eastAsia="方正仿宋_GBK" w:cs="Times New Roman"/>
          <w:color w:val="auto"/>
          <w:kern w:val="2"/>
          <w:sz w:val="31"/>
          <w:szCs w:val="31"/>
          <w:lang w:val="en-US" w:eastAsia="zh-CN" w:bidi="ar-SA"/>
        </w:rPr>
        <w:t>通过资金可支持方向重新申报项目</w:t>
      </w:r>
      <w:r>
        <w:rPr>
          <w:rFonts w:hint="default" w:ascii="Times New Roman" w:hAnsi="Times New Roman" w:eastAsia="方正仿宋_GBK" w:cs="Times New Roman"/>
          <w:color w:val="auto"/>
          <w:kern w:val="2"/>
          <w:sz w:val="31"/>
          <w:szCs w:val="31"/>
          <w:lang w:val="en-US" w:eastAsia="zh-CN" w:bidi="ar-SA"/>
        </w:rPr>
        <w:t>。</w:t>
      </w:r>
    </w:p>
    <w:p w14:paraId="2FEF513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仿宋_GB2312" w:cs="Times New Roman"/>
          <w:sz w:val="32"/>
          <w:szCs w:val="32"/>
          <w:highlight w:val="none"/>
          <w:lang w:eastAsia="zh-CN"/>
        </w:rPr>
      </w:pPr>
      <w:r>
        <w:rPr>
          <w:rFonts w:hint="eastAsia" w:eastAsia="方正仿宋_GBK" w:cs="Times New Roman"/>
          <w:color w:val="auto"/>
          <w:sz w:val="31"/>
          <w:szCs w:val="31"/>
          <w:lang w:val="en-US" w:eastAsia="zh-CN"/>
        </w:rPr>
        <w:t>指标</w:t>
      </w:r>
      <w:r>
        <w:rPr>
          <w:rFonts w:hint="eastAsia" w:ascii="Times New Roman" w:hAnsi="Times New Roman" w:eastAsia="仿宋_GB2312" w:cs="Times New Roman"/>
          <w:sz w:val="32"/>
          <w:szCs w:val="32"/>
          <w:highlight w:val="none"/>
          <w:lang w:val="en-US" w:eastAsia="zh-CN"/>
        </w:rPr>
        <w:t>3：补贴新疆库尔勒铁克其乡上恰其村股份经济合作社</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eastAsia="zh-CN"/>
        </w:rPr>
        <w:t>：</w:t>
      </w:r>
      <w:r>
        <w:rPr>
          <w:rFonts w:hint="eastAsia" w:ascii="宋体" w:hAnsi="宋体" w:eastAsia="宋体" w:cs="宋体"/>
          <w:sz w:val="32"/>
          <w:szCs w:val="32"/>
          <w:highlight w:val="none"/>
          <w:lang w:eastAsia="zh-CN"/>
        </w:rPr>
        <w:t>≦</w:t>
      </w:r>
      <w:r>
        <w:rPr>
          <w:rFonts w:hint="eastAsia" w:ascii="宋体" w:hAnsi="宋体" w:cs="宋体"/>
          <w:sz w:val="32"/>
          <w:szCs w:val="32"/>
          <w:highlight w:val="none"/>
          <w:lang w:val="en-US" w:eastAsia="zh-CN"/>
        </w:rPr>
        <w:t>27.66万元</w:t>
      </w:r>
      <w:r>
        <w:rPr>
          <w:rFonts w:hint="default" w:ascii="Times New Roman" w:hAnsi="Times New Roman" w:eastAsia="仿宋_GB2312" w:cs="Times New Roman"/>
          <w:sz w:val="32"/>
          <w:szCs w:val="32"/>
          <w:highlight w:val="none"/>
        </w:rPr>
        <w:t>，实际完成值：</w:t>
      </w:r>
      <w:r>
        <w:rPr>
          <w:rFonts w:hint="eastAsia" w:ascii="宋体" w:hAnsi="宋体" w:cs="宋体"/>
          <w:sz w:val="32"/>
          <w:szCs w:val="32"/>
          <w:highlight w:val="none"/>
          <w:lang w:val="en-US" w:eastAsia="zh-CN"/>
        </w:rPr>
        <w:t>27.66万元</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lang w:eastAsia="zh-CN"/>
        </w:rPr>
        <w:t>。</w:t>
      </w:r>
    </w:p>
    <w:p w14:paraId="3891D433">
      <w:pPr>
        <w:shd w:val="clear"/>
        <w:spacing w:line="600" w:lineRule="exact"/>
        <w:ind w:firstLine="620" w:firstLineChars="200"/>
        <w:outlineLvl w:val="0"/>
        <w:rPr>
          <w:rFonts w:hint="default" w:ascii="Times New Roman" w:hAnsi="Times New Roman" w:eastAsia="方正仿宋_GBK" w:cs="Times New Roman"/>
          <w:color w:val="auto"/>
          <w:sz w:val="31"/>
          <w:szCs w:val="31"/>
          <w:lang w:val="en-US" w:eastAsia="zh-CN"/>
        </w:rPr>
      </w:pPr>
      <w:r>
        <w:rPr>
          <w:rFonts w:hint="eastAsia" w:eastAsia="方正仿宋_GBK" w:cs="Times New Roman"/>
          <w:color w:val="auto"/>
          <w:sz w:val="31"/>
          <w:szCs w:val="31"/>
          <w:lang w:val="en-US" w:eastAsia="zh-CN"/>
        </w:rPr>
        <w:t>指标</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补贴新疆博海市场管理有限公司金额</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lang w:eastAsia="zh-CN"/>
        </w:rPr>
        <w:t>≦</w:t>
      </w:r>
      <w:r>
        <w:rPr>
          <w:rFonts w:hint="eastAsia" w:ascii="宋体" w:hAnsi="宋体" w:cs="宋体"/>
          <w:sz w:val="32"/>
          <w:szCs w:val="32"/>
          <w:highlight w:val="none"/>
          <w:lang w:val="en-US" w:eastAsia="zh-CN"/>
        </w:rPr>
        <w:t>500万元</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500万元</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3229796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10分，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7.5</w:t>
      </w:r>
      <w:r>
        <w:rPr>
          <w:rFonts w:hint="eastAsia" w:ascii="Times New Roman" w:hAnsi="Times New Roman" w:eastAsia="方正仿宋_GBK" w:cs="Times New Roman"/>
          <w:color w:val="auto"/>
          <w:sz w:val="31"/>
          <w:szCs w:val="31"/>
          <w:lang w:val="en-US" w:eastAsia="zh-CN"/>
        </w:rPr>
        <w:t>分。</w:t>
      </w:r>
    </w:p>
    <w:p w14:paraId="6523FE47">
      <w:pPr>
        <w:pStyle w:val="13"/>
        <w:pageBreakBefore w:val="0"/>
        <w:numPr>
          <w:ilvl w:val="0"/>
          <w:numId w:val="3"/>
        </w:numPr>
        <w:kinsoku/>
        <w:wordWrap/>
        <w:overflowPunct/>
        <w:topLinePunct w:val="0"/>
        <w:autoSpaceDE/>
        <w:autoSpaceDN/>
        <w:bidi w:val="0"/>
        <w:adjustRightInd/>
        <w:snapToGrid/>
        <w:spacing w:line="560" w:lineRule="exact"/>
        <w:ind w:firstLine="622" w:firstLineChars="200"/>
        <w:textAlignment w:val="auto"/>
        <w:rPr>
          <w:rFonts w:hint="default" w:ascii="Times New Roman" w:hAnsi="Times New Roman" w:eastAsia="楷体_GB2312" w:cs="Times New Roman"/>
          <w:b/>
          <w:bCs/>
          <w:sz w:val="31"/>
          <w:szCs w:val="31"/>
          <w:lang w:val="en-US" w:eastAsia="zh-CN"/>
        </w:rPr>
      </w:pPr>
      <w:r>
        <w:rPr>
          <w:rFonts w:hint="default" w:ascii="Times New Roman" w:hAnsi="Times New Roman" w:eastAsia="楷体_GB2312" w:cs="Times New Roman"/>
          <w:b/>
          <w:bCs/>
          <w:sz w:val="31"/>
          <w:szCs w:val="31"/>
          <w:lang w:val="en-US" w:eastAsia="zh-CN"/>
        </w:rPr>
        <w:t>项目效益情况</w:t>
      </w:r>
    </w:p>
    <w:p w14:paraId="1BE4BD4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项目效益类指标包括项目实施效益和满意度两方面的内容，由</w:t>
      </w:r>
      <w:r>
        <w:rPr>
          <w:rFonts w:hint="eastAsia" w:ascii="Times New Roman" w:hAnsi="Times New Roman" w:eastAsia="方正仿宋_GBK" w:cs="Times New Roman"/>
          <w:color w:val="auto"/>
          <w:sz w:val="31"/>
          <w:szCs w:val="31"/>
          <w:lang w:val="en-US" w:eastAsia="zh-CN"/>
        </w:rPr>
        <w:t>1</w:t>
      </w:r>
      <w:r>
        <w:rPr>
          <w:rFonts w:hint="default" w:ascii="Times New Roman" w:hAnsi="Times New Roman" w:eastAsia="方正仿宋_GBK" w:cs="Times New Roman"/>
          <w:color w:val="auto"/>
          <w:sz w:val="31"/>
          <w:szCs w:val="31"/>
          <w:lang w:val="en-US" w:eastAsia="zh-CN"/>
        </w:rPr>
        <w:t>个三级指标构成，权重分为20分，实际得分</w:t>
      </w:r>
      <w:r>
        <w:rPr>
          <w:rFonts w:hint="eastAsia" w:ascii="Times New Roman" w:hAnsi="Times New Roman" w:eastAsia="方正仿宋_GBK" w:cs="Times New Roman"/>
          <w:color w:val="auto"/>
          <w:sz w:val="31"/>
          <w:szCs w:val="31"/>
          <w:lang w:val="en-US" w:eastAsia="zh-CN"/>
        </w:rPr>
        <w:t>20</w:t>
      </w:r>
      <w:r>
        <w:rPr>
          <w:rFonts w:hint="default" w:ascii="Times New Roman" w:hAnsi="Times New Roman" w:eastAsia="方正仿宋_GBK" w:cs="Times New Roman"/>
          <w:color w:val="auto"/>
          <w:sz w:val="31"/>
          <w:szCs w:val="31"/>
          <w:lang w:val="en-US" w:eastAsia="zh-CN"/>
        </w:rPr>
        <w:t>分，得分率为</w:t>
      </w:r>
      <w:r>
        <w:rPr>
          <w:rFonts w:hint="eastAsia" w:ascii="Times New Roman" w:hAnsi="Times New Roman" w:eastAsia="方正仿宋_GBK" w:cs="Times New Roman"/>
          <w:color w:val="auto"/>
          <w:sz w:val="31"/>
          <w:szCs w:val="31"/>
          <w:lang w:val="en-US" w:eastAsia="zh-CN"/>
        </w:rPr>
        <w:t>100</w:t>
      </w:r>
      <w:r>
        <w:rPr>
          <w:rFonts w:hint="default" w:ascii="Times New Roman" w:hAnsi="Times New Roman" w:eastAsia="方正仿宋_GBK" w:cs="Times New Roman"/>
          <w:color w:val="auto"/>
          <w:sz w:val="31"/>
          <w:szCs w:val="31"/>
          <w:lang w:val="en-US" w:eastAsia="zh-CN"/>
        </w:rPr>
        <w:t>%。具体效益指标及满意度指标完成情况如下：</w:t>
      </w:r>
    </w:p>
    <w:p w14:paraId="60FE3CF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实施效益</w:t>
      </w:r>
    </w:p>
    <w:p w14:paraId="425A45E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①经济效益指标：改善优化县域消费渠道</w:t>
      </w:r>
      <w:r>
        <w:rPr>
          <w:rFonts w:hint="eastAsia"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指标值：</w:t>
      </w:r>
      <w:r>
        <w:rPr>
          <w:rFonts w:hint="eastAsia" w:ascii="Times New Roman" w:hAnsi="Times New Roman" w:eastAsia="方正仿宋_GBK" w:cs="Times New Roman"/>
          <w:color w:val="auto"/>
          <w:sz w:val="31"/>
          <w:szCs w:val="31"/>
          <w:lang w:val="en-US" w:eastAsia="zh-CN"/>
        </w:rPr>
        <w:t>有效改善。</w:t>
      </w:r>
    </w:p>
    <w:p w14:paraId="11FD351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10分，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10</w:t>
      </w:r>
      <w:r>
        <w:rPr>
          <w:rFonts w:hint="eastAsia" w:ascii="Times New Roman" w:hAnsi="Times New Roman" w:eastAsia="方正仿宋_GBK" w:cs="Times New Roman"/>
          <w:color w:val="auto"/>
          <w:sz w:val="31"/>
          <w:szCs w:val="31"/>
          <w:lang w:val="en-US" w:eastAsia="zh-CN"/>
        </w:rPr>
        <w:t>分。</w:t>
      </w:r>
    </w:p>
    <w:p w14:paraId="2142DD1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2.满意度</w:t>
      </w:r>
      <w:r>
        <w:rPr>
          <w:rFonts w:hint="eastAsia"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补贴企业满意度</w:t>
      </w:r>
      <w:r>
        <w:rPr>
          <w:rFonts w:hint="eastAsia"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指标值：&gt;=95%</w:t>
      </w:r>
      <w:r>
        <w:rPr>
          <w:rFonts w:hint="eastAsia" w:ascii="Times New Roman" w:hAnsi="Times New Roman" w:eastAsia="方正仿宋_GBK" w:cs="Times New Roman"/>
          <w:color w:val="auto"/>
          <w:sz w:val="31"/>
          <w:szCs w:val="31"/>
          <w:lang w:val="en-US" w:eastAsia="zh-CN"/>
        </w:rPr>
        <w:t>。</w:t>
      </w:r>
    </w:p>
    <w:p w14:paraId="1C2077F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eastAsia" w:ascii="Times New Roman" w:hAnsi="Times New Roman" w:eastAsia="方正仿宋_GBK" w:cs="Times New Roman"/>
          <w:color w:val="auto"/>
          <w:sz w:val="31"/>
          <w:szCs w:val="31"/>
          <w:lang w:val="en-US" w:eastAsia="zh-CN"/>
        </w:rPr>
        <w:t>此项权重分值为</w:t>
      </w:r>
      <w:r>
        <w:rPr>
          <w:rFonts w:hint="eastAsia" w:eastAsia="方正仿宋_GBK" w:cs="Times New Roman"/>
          <w:color w:val="auto"/>
          <w:sz w:val="31"/>
          <w:szCs w:val="31"/>
          <w:lang w:val="en-US" w:eastAsia="zh-CN"/>
        </w:rPr>
        <w:t>10分，</w:t>
      </w:r>
      <w:r>
        <w:rPr>
          <w:rFonts w:hint="eastAsia" w:ascii="Times New Roman" w:hAnsi="Times New Roman" w:eastAsia="方正仿宋_GBK" w:cs="Times New Roman"/>
          <w:color w:val="auto"/>
          <w:sz w:val="31"/>
          <w:szCs w:val="31"/>
          <w:lang w:val="en-US" w:eastAsia="zh-CN"/>
        </w:rPr>
        <w:t>得分为</w:t>
      </w:r>
      <w:r>
        <w:rPr>
          <w:rFonts w:hint="eastAsia" w:eastAsia="方正仿宋_GBK" w:cs="Times New Roman"/>
          <w:color w:val="auto"/>
          <w:sz w:val="31"/>
          <w:szCs w:val="31"/>
          <w:lang w:val="en-US" w:eastAsia="zh-CN"/>
        </w:rPr>
        <w:t>10</w:t>
      </w:r>
      <w:r>
        <w:rPr>
          <w:rFonts w:hint="eastAsia" w:ascii="Times New Roman" w:hAnsi="Times New Roman" w:eastAsia="方正仿宋_GBK" w:cs="Times New Roman"/>
          <w:color w:val="auto"/>
          <w:sz w:val="31"/>
          <w:szCs w:val="31"/>
          <w:lang w:val="en-US" w:eastAsia="zh-CN"/>
        </w:rPr>
        <w:t>分。</w:t>
      </w:r>
    </w:p>
    <w:p w14:paraId="02DAEC8C">
      <w:pPr>
        <w:pageBreakBefore w:val="0"/>
        <w:kinsoku/>
        <w:wordWrap/>
        <w:overflowPunct/>
        <w:topLinePunct w:val="0"/>
        <w:autoSpaceDE/>
        <w:autoSpaceDN/>
        <w:bidi w:val="0"/>
        <w:adjustRightInd/>
        <w:snapToGrid/>
        <w:spacing w:line="560" w:lineRule="exact"/>
        <w:ind w:firstLine="622" w:firstLineChars="200"/>
        <w:textAlignment w:val="auto"/>
        <w:rPr>
          <w:rFonts w:hint="default" w:ascii="Times New Roman" w:hAnsi="Times New Roman" w:eastAsia="楷体_GB2312" w:cs="Times New Roman"/>
          <w:b/>
          <w:bCs/>
          <w:sz w:val="31"/>
          <w:szCs w:val="31"/>
          <w:lang w:val="en-US" w:eastAsia="zh-Hans"/>
        </w:rPr>
      </w:pPr>
      <w:r>
        <w:rPr>
          <w:rFonts w:hint="default" w:ascii="Times New Roman" w:hAnsi="Times New Roman" w:eastAsia="楷体_GB2312" w:cs="Times New Roman"/>
          <w:b/>
          <w:bCs/>
          <w:sz w:val="31"/>
          <w:szCs w:val="31"/>
          <w:lang w:val="en-US" w:eastAsia="zh-CN"/>
        </w:rPr>
        <w:t>（</w:t>
      </w:r>
      <w:r>
        <w:rPr>
          <w:rFonts w:hint="eastAsia" w:eastAsia="楷体_GB2312" w:cs="Times New Roman"/>
          <w:b/>
          <w:bCs/>
          <w:sz w:val="31"/>
          <w:szCs w:val="31"/>
          <w:lang w:val="en-US" w:eastAsia="zh-CN"/>
        </w:rPr>
        <w:t>四</w:t>
      </w:r>
      <w:r>
        <w:rPr>
          <w:rFonts w:hint="default" w:ascii="Times New Roman" w:hAnsi="Times New Roman" w:eastAsia="楷体_GB2312" w:cs="Times New Roman"/>
          <w:b/>
          <w:bCs/>
          <w:sz w:val="31"/>
          <w:szCs w:val="31"/>
          <w:lang w:val="en-US" w:eastAsia="zh-CN"/>
        </w:rPr>
        <w:t>）</w:t>
      </w:r>
      <w:r>
        <w:rPr>
          <w:rFonts w:hint="default" w:ascii="Times New Roman" w:hAnsi="Times New Roman" w:eastAsia="楷体_GB2312" w:cs="Times New Roman"/>
          <w:b/>
          <w:bCs/>
          <w:sz w:val="31"/>
          <w:szCs w:val="31"/>
          <w:lang w:val="en-US" w:eastAsia="zh-Hans"/>
        </w:rPr>
        <w:t>预算执行进度与绩效指标总体完成率偏差</w:t>
      </w:r>
    </w:p>
    <w:p w14:paraId="2959D762">
      <w:pPr>
        <w:pStyle w:val="20"/>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sz w:val="31"/>
          <w:szCs w:val="31"/>
          <w:highlight w:val="none"/>
        </w:rPr>
      </w:pPr>
      <w:r>
        <w:rPr>
          <w:rFonts w:hint="default" w:ascii="Times New Roman" w:hAnsi="Times New Roman" w:eastAsia="方正仿宋_GBK" w:cs="Times New Roman"/>
          <w:color w:val="auto"/>
          <w:kern w:val="2"/>
          <w:sz w:val="31"/>
          <w:szCs w:val="31"/>
          <w:lang w:val="en-US" w:eastAsia="zh-CN" w:bidi="ar-SA"/>
        </w:rPr>
        <w:t>巴财企[2024]38号关于拨付2024年度服务业发展资金的通知项目年初预算</w:t>
      </w:r>
      <w:r>
        <w:rPr>
          <w:rFonts w:hint="eastAsia" w:ascii="Times New Roman" w:hAnsi="Times New Roman" w:eastAsia="方正仿宋_GBK" w:cs="Times New Roman"/>
          <w:color w:val="auto"/>
          <w:kern w:val="2"/>
          <w:sz w:val="31"/>
          <w:szCs w:val="31"/>
          <w:lang w:val="en-US" w:eastAsia="zh-CN" w:bidi="ar-SA"/>
        </w:rPr>
        <w:t>914.48</w:t>
      </w:r>
      <w:r>
        <w:rPr>
          <w:rFonts w:hint="default" w:ascii="Times New Roman" w:hAnsi="Times New Roman" w:eastAsia="方正仿宋_GBK" w:cs="Times New Roman"/>
          <w:color w:val="auto"/>
          <w:kern w:val="2"/>
          <w:sz w:val="31"/>
          <w:szCs w:val="31"/>
          <w:lang w:val="en-US" w:eastAsia="zh-CN" w:bidi="ar-SA"/>
        </w:rPr>
        <w:t>万元，全年预算</w:t>
      </w:r>
      <w:r>
        <w:rPr>
          <w:rFonts w:hint="eastAsia" w:ascii="Times New Roman" w:hAnsi="Times New Roman" w:eastAsia="方正仿宋_GBK" w:cs="Times New Roman"/>
          <w:color w:val="auto"/>
          <w:kern w:val="2"/>
          <w:sz w:val="31"/>
          <w:szCs w:val="31"/>
          <w:lang w:val="en-US" w:eastAsia="zh-CN" w:bidi="ar-SA"/>
        </w:rPr>
        <w:t>914.48</w:t>
      </w:r>
      <w:r>
        <w:rPr>
          <w:rFonts w:hint="default" w:ascii="Times New Roman" w:hAnsi="Times New Roman" w:eastAsia="方正仿宋_GBK" w:cs="Times New Roman"/>
          <w:color w:val="auto"/>
          <w:kern w:val="2"/>
          <w:sz w:val="31"/>
          <w:szCs w:val="31"/>
          <w:lang w:val="en-US" w:eastAsia="zh-CN" w:bidi="ar-SA"/>
        </w:rPr>
        <w:t>万元，实际支出</w:t>
      </w:r>
      <w:r>
        <w:rPr>
          <w:rFonts w:hint="eastAsia" w:ascii="Times New Roman" w:hAnsi="Times New Roman" w:eastAsia="方正仿宋_GBK" w:cs="Times New Roman"/>
          <w:color w:val="auto"/>
          <w:kern w:val="2"/>
          <w:sz w:val="31"/>
          <w:szCs w:val="31"/>
          <w:lang w:val="en-US" w:eastAsia="zh-CN" w:bidi="ar-SA"/>
        </w:rPr>
        <w:t>757.24</w:t>
      </w:r>
      <w:r>
        <w:rPr>
          <w:rFonts w:hint="default" w:ascii="Times New Roman" w:hAnsi="Times New Roman" w:eastAsia="方正仿宋_GBK" w:cs="Times New Roman"/>
          <w:color w:val="auto"/>
          <w:kern w:val="2"/>
          <w:sz w:val="31"/>
          <w:szCs w:val="31"/>
          <w:lang w:val="en-US" w:eastAsia="zh-CN" w:bidi="ar-SA"/>
        </w:rPr>
        <w:t>万元，预算执行率为</w:t>
      </w:r>
      <w:r>
        <w:rPr>
          <w:rFonts w:hint="eastAsia" w:ascii="Times New Roman" w:hAnsi="Times New Roman" w:eastAsia="方正仿宋_GBK" w:cs="Times New Roman"/>
          <w:color w:val="auto"/>
          <w:kern w:val="2"/>
          <w:sz w:val="31"/>
          <w:szCs w:val="31"/>
          <w:lang w:val="en-US" w:eastAsia="zh-CN" w:bidi="ar-SA"/>
        </w:rPr>
        <w:t>82.81</w:t>
      </w:r>
      <w:r>
        <w:rPr>
          <w:rFonts w:hint="default" w:ascii="Times New Roman" w:hAnsi="Times New Roman" w:eastAsia="方正仿宋_GBK" w:cs="Times New Roman"/>
          <w:color w:val="auto"/>
          <w:kern w:val="2"/>
          <w:sz w:val="31"/>
          <w:szCs w:val="31"/>
          <w:lang w:val="en-US" w:eastAsia="zh-CN" w:bidi="ar-SA"/>
        </w:rPr>
        <w:t>%，项目绩效指标总体完成率为</w:t>
      </w:r>
      <w:r>
        <w:rPr>
          <w:rFonts w:hint="eastAsia" w:eastAsia="方正仿宋_GBK" w:cs="Times New Roman"/>
          <w:color w:val="auto"/>
          <w:kern w:val="2"/>
          <w:sz w:val="31"/>
          <w:szCs w:val="31"/>
          <w:lang w:val="en-US" w:eastAsia="zh-CN" w:bidi="ar-SA"/>
        </w:rPr>
        <w:t>98.09</w:t>
      </w:r>
      <w:r>
        <w:rPr>
          <w:rFonts w:hint="default" w:ascii="Times New Roman" w:hAnsi="Times New Roman" w:eastAsia="方正仿宋_GBK" w:cs="Times New Roman"/>
          <w:color w:val="auto"/>
          <w:kern w:val="2"/>
          <w:sz w:val="31"/>
          <w:szCs w:val="31"/>
          <w:lang w:val="en-US" w:eastAsia="zh-CN" w:bidi="ar-SA"/>
        </w:rPr>
        <w:t>%，</w:t>
      </w:r>
      <w:r>
        <w:rPr>
          <w:rFonts w:hint="default" w:ascii="Times New Roman" w:hAnsi="Times New Roman" w:eastAsia="方正仿宋_GBK" w:cs="Times New Roman"/>
          <w:color w:val="auto"/>
          <w:kern w:val="2"/>
          <w:sz w:val="31"/>
          <w:szCs w:val="31"/>
          <w:lang w:val="en-US" w:eastAsia="zh-Hans" w:bidi="ar-SA"/>
        </w:rPr>
        <w:t>总体</w:t>
      </w:r>
      <w:r>
        <w:rPr>
          <w:rFonts w:hint="default" w:ascii="Times New Roman" w:hAnsi="Times New Roman" w:eastAsia="方正仿宋_GBK" w:cs="Times New Roman"/>
          <w:color w:val="auto"/>
          <w:kern w:val="2"/>
          <w:sz w:val="31"/>
          <w:szCs w:val="31"/>
          <w:lang w:val="en-US" w:eastAsia="zh-CN" w:bidi="ar-SA"/>
        </w:rPr>
        <w:t>偏差率为</w:t>
      </w:r>
      <w:r>
        <w:rPr>
          <w:rFonts w:hint="eastAsia" w:eastAsia="方正仿宋_GBK" w:cs="Times New Roman"/>
          <w:color w:val="auto"/>
          <w:kern w:val="2"/>
          <w:sz w:val="31"/>
          <w:szCs w:val="31"/>
          <w:lang w:val="en-US" w:eastAsia="zh-CN" w:bidi="ar-SA"/>
        </w:rPr>
        <w:t>1.9</w:t>
      </w:r>
      <w:r>
        <w:rPr>
          <w:rFonts w:hint="default" w:ascii="Times New Roman" w:hAnsi="Times New Roman" w:eastAsia="方正仿宋_GBK" w:cs="Times New Roman"/>
          <w:color w:val="auto"/>
          <w:kern w:val="2"/>
          <w:sz w:val="31"/>
          <w:szCs w:val="31"/>
          <w:lang w:val="en-US" w:eastAsia="zh-CN" w:bidi="ar-SA"/>
        </w:rPr>
        <w:t>%</w:t>
      </w:r>
      <w:r>
        <w:rPr>
          <w:rFonts w:hint="eastAsia" w:ascii="Times New Roman" w:hAnsi="Times New Roman" w:eastAsia="方正仿宋_GBK" w:cs="Times New Roman"/>
          <w:color w:val="auto"/>
          <w:kern w:val="2"/>
          <w:sz w:val="31"/>
          <w:szCs w:val="31"/>
          <w:lang w:val="en-US" w:eastAsia="zh-CN" w:bidi="ar-SA"/>
        </w:rPr>
        <w:t>，</w:t>
      </w:r>
      <w:r>
        <w:rPr>
          <w:rFonts w:hint="default" w:ascii="Times New Roman" w:hAnsi="Times New Roman" w:eastAsia="方正仿宋_GBK" w:cs="Times New Roman"/>
          <w:color w:val="auto"/>
          <w:kern w:val="2"/>
          <w:sz w:val="31"/>
          <w:szCs w:val="31"/>
          <w:lang w:val="en-US" w:eastAsia="zh-Hans" w:bidi="ar-SA"/>
        </w:rPr>
        <w:t>偏差</w:t>
      </w:r>
      <w:r>
        <w:rPr>
          <w:rFonts w:hint="default" w:ascii="Times New Roman" w:hAnsi="Times New Roman" w:eastAsia="方正仿宋_GBK" w:cs="Times New Roman"/>
          <w:color w:val="auto"/>
          <w:kern w:val="2"/>
          <w:sz w:val="31"/>
          <w:szCs w:val="31"/>
          <w:lang w:val="en-US" w:eastAsia="zh-CN" w:bidi="ar-SA"/>
        </w:rPr>
        <w:t>原因</w:t>
      </w:r>
      <w:r>
        <w:rPr>
          <w:rFonts w:hint="eastAsia" w:ascii="Times New Roman" w:hAnsi="Times New Roman" w:eastAsia="方正仿宋_GBK" w:cs="Times New Roman"/>
          <w:color w:val="auto"/>
          <w:kern w:val="2"/>
          <w:sz w:val="31"/>
          <w:szCs w:val="31"/>
          <w:lang w:val="en-US" w:eastAsia="zh-CN" w:bidi="ar-SA"/>
        </w:rPr>
        <w:t>：</w:t>
      </w:r>
      <w:r>
        <w:rPr>
          <w:rFonts w:hint="default" w:ascii="Times New Roman" w:hAnsi="Times New Roman" w:eastAsia="方正仿宋_GBK" w:cs="Times New Roman"/>
          <w:color w:val="auto"/>
          <w:kern w:val="2"/>
          <w:sz w:val="31"/>
          <w:szCs w:val="31"/>
          <w:lang w:val="en-US" w:eastAsia="zh-CN" w:bidi="ar-SA"/>
        </w:rPr>
        <w:t>库尔勒市牛羊肉初加工（设施设备）项目与乡村振兴局乡村振兴衔接资金重复申领补贴资金情况，</w:t>
      </w:r>
      <w:r>
        <w:rPr>
          <w:rFonts w:hint="default" w:ascii="Times New Roman" w:hAnsi="Times New Roman" w:eastAsia="方正仿宋_GBK" w:cs="Times New Roman"/>
          <w:color w:val="auto"/>
          <w:kern w:val="2"/>
          <w:sz w:val="31"/>
          <w:szCs w:val="31"/>
          <w:lang w:val="en-US" w:eastAsia="zh-Hans" w:bidi="ar-SA"/>
        </w:rPr>
        <w:t>改进</w:t>
      </w:r>
      <w:r>
        <w:rPr>
          <w:rFonts w:hint="default" w:ascii="Times New Roman" w:hAnsi="Times New Roman" w:eastAsia="方正仿宋_GBK" w:cs="Times New Roman"/>
          <w:color w:val="auto"/>
          <w:kern w:val="2"/>
          <w:sz w:val="31"/>
          <w:szCs w:val="31"/>
          <w:lang w:val="en-US" w:eastAsia="zh-CN" w:bidi="ar-SA"/>
        </w:rPr>
        <w:t>措施</w:t>
      </w:r>
      <w:r>
        <w:rPr>
          <w:rFonts w:hint="eastAsia" w:ascii="Times New Roman" w:hAnsi="Times New Roman" w:eastAsia="方正仿宋_GBK" w:cs="Times New Roman"/>
          <w:color w:val="auto"/>
          <w:kern w:val="2"/>
          <w:sz w:val="31"/>
          <w:szCs w:val="31"/>
          <w:lang w:val="en-US" w:eastAsia="zh-CN" w:bidi="ar-SA"/>
        </w:rPr>
        <w:t>通过资金可支持方向重新申报项目</w:t>
      </w:r>
      <w:r>
        <w:rPr>
          <w:rFonts w:hint="default" w:ascii="Times New Roman" w:hAnsi="Times New Roman" w:eastAsia="方正仿宋_GBK" w:cs="Times New Roman"/>
          <w:color w:val="auto"/>
          <w:kern w:val="2"/>
          <w:sz w:val="31"/>
          <w:szCs w:val="31"/>
          <w:lang w:val="en-US" w:eastAsia="zh-CN" w:bidi="ar-SA"/>
        </w:rPr>
        <w:t>。</w:t>
      </w:r>
    </w:p>
    <w:p w14:paraId="1F640C20">
      <w:pPr>
        <w:pageBreakBefore w:val="0"/>
        <w:kinsoku/>
        <w:wordWrap/>
        <w:overflowPunct/>
        <w:topLinePunct w:val="0"/>
        <w:autoSpaceDE/>
        <w:autoSpaceDN/>
        <w:bidi w:val="0"/>
        <w:adjustRightInd/>
        <w:snapToGrid/>
        <w:spacing w:line="560" w:lineRule="exact"/>
        <w:ind w:firstLine="620" w:firstLineChars="200"/>
        <w:textAlignment w:val="auto"/>
        <w:rPr>
          <w:rFonts w:hint="default" w:ascii="方正黑体_GBK" w:hAnsi="方正黑体_GBK" w:eastAsia="方正黑体_GBK" w:cs="方正黑体_GBK"/>
          <w:bCs/>
          <w:sz w:val="31"/>
          <w:szCs w:val="31"/>
        </w:rPr>
      </w:pPr>
      <w:r>
        <w:rPr>
          <w:rFonts w:hint="eastAsia" w:ascii="方正黑体_GBK" w:hAnsi="方正黑体_GBK" w:eastAsia="方正黑体_GBK" w:cs="方正黑体_GBK"/>
          <w:bCs/>
          <w:sz w:val="31"/>
          <w:szCs w:val="31"/>
          <w:lang w:val="en-US" w:eastAsia="zh-CN"/>
        </w:rPr>
        <w:t>五、</w:t>
      </w:r>
      <w:r>
        <w:rPr>
          <w:rFonts w:hint="default" w:ascii="方正黑体_GBK" w:hAnsi="方正黑体_GBK" w:eastAsia="方正黑体_GBK" w:cs="方正黑体_GBK"/>
          <w:bCs/>
          <w:sz w:val="31"/>
          <w:szCs w:val="31"/>
        </w:rPr>
        <w:t>主要经验及做法、存在的问题及原因分析</w:t>
      </w:r>
    </w:p>
    <w:p w14:paraId="22F6BA8F">
      <w:pPr>
        <w:pageBreakBefore w:val="0"/>
        <w:kinsoku/>
        <w:wordWrap/>
        <w:overflowPunct/>
        <w:topLinePunct w:val="0"/>
        <w:autoSpaceDE/>
        <w:autoSpaceDN/>
        <w:bidi w:val="0"/>
        <w:adjustRightInd/>
        <w:snapToGrid/>
        <w:spacing w:line="560" w:lineRule="exact"/>
        <w:ind w:firstLine="606" w:firstLineChars="200"/>
        <w:textAlignment w:val="auto"/>
        <w:rPr>
          <w:rFonts w:hint="default" w:ascii="Times New Roman" w:hAnsi="Times New Roman" w:eastAsia="楷体" w:cs="Times New Roman"/>
          <w:b/>
          <w:spacing w:val="-4"/>
          <w:sz w:val="31"/>
          <w:szCs w:val="31"/>
        </w:rPr>
      </w:pPr>
      <w:r>
        <w:rPr>
          <w:rFonts w:hint="default" w:ascii="Times New Roman" w:hAnsi="Times New Roman" w:eastAsia="楷体" w:cs="Times New Roman"/>
          <w:b/>
          <w:spacing w:val="-4"/>
          <w:sz w:val="31"/>
          <w:szCs w:val="31"/>
        </w:rPr>
        <w:t>（一）主要经验及做法</w:t>
      </w:r>
    </w:p>
    <w:p w14:paraId="4A45FDD2">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AD6267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严格坚持先做事、后验收、再拨付的原则，</w:t>
      </w:r>
      <w:r>
        <w:rPr>
          <w:rFonts w:hint="eastAsia" w:ascii="Times New Roman" w:hAnsi="Times New Roman" w:eastAsia="方正仿宋_GBK" w:cs="Times New Roman"/>
          <w:color w:val="auto"/>
          <w:sz w:val="31"/>
          <w:szCs w:val="31"/>
          <w:lang w:val="en-US" w:eastAsia="zh-CN"/>
        </w:rPr>
        <w:t>杜绝</w:t>
      </w:r>
      <w:r>
        <w:rPr>
          <w:rFonts w:hint="default" w:ascii="Times New Roman" w:hAnsi="Times New Roman" w:eastAsia="方正仿宋_GBK" w:cs="Times New Roman"/>
          <w:color w:val="auto"/>
          <w:sz w:val="31"/>
          <w:szCs w:val="31"/>
          <w:lang w:val="en-US" w:eastAsia="zh-CN"/>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0A906FF">
      <w:pPr>
        <w:keepNext/>
        <w:keepLines/>
        <w:pageBreakBefore w:val="0"/>
        <w:numPr>
          <w:ilvl w:val="0"/>
          <w:numId w:val="4"/>
        </w:numPr>
        <w:kinsoku/>
        <w:wordWrap/>
        <w:overflowPunct/>
        <w:topLinePunct w:val="0"/>
        <w:autoSpaceDE/>
        <w:autoSpaceDN/>
        <w:bidi w:val="0"/>
        <w:adjustRightInd/>
        <w:snapToGrid/>
        <w:spacing w:line="560" w:lineRule="exact"/>
        <w:ind w:firstLine="622" w:firstLineChars="200"/>
        <w:textAlignment w:val="auto"/>
        <w:rPr>
          <w:rFonts w:hint="default" w:ascii="Times New Roman" w:hAnsi="Times New Roman" w:eastAsia="楷体_GB2312" w:cs="Times New Roman"/>
          <w:b/>
          <w:bCs/>
          <w:sz w:val="31"/>
          <w:szCs w:val="31"/>
        </w:rPr>
      </w:pPr>
      <w:r>
        <w:rPr>
          <w:rFonts w:hint="default" w:ascii="Times New Roman" w:hAnsi="Times New Roman" w:eastAsia="楷体_GB2312" w:cs="Times New Roman"/>
          <w:b/>
          <w:bCs/>
          <w:sz w:val="31"/>
          <w:szCs w:val="31"/>
        </w:rPr>
        <w:t>存在的问题及原因分析</w:t>
      </w:r>
    </w:p>
    <w:p w14:paraId="6C0302E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1</w:t>
      </w:r>
      <w:r>
        <w:rPr>
          <w:rFonts w:hint="eastAsia"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0DB0C9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2</w:t>
      </w:r>
      <w:r>
        <w:rPr>
          <w:rFonts w:hint="eastAsia"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因轮岗、调动</w:t>
      </w:r>
      <w:r>
        <w:rPr>
          <w:rFonts w:hint="eastAsia" w:ascii="Times New Roman" w:hAnsi="Times New Roman" w:eastAsia="方正仿宋_GBK" w:cs="Times New Roman"/>
          <w:color w:val="auto"/>
          <w:sz w:val="31"/>
          <w:szCs w:val="31"/>
          <w:lang w:val="en-US" w:eastAsia="zh-CN"/>
        </w:rPr>
        <w:t>等</w:t>
      </w:r>
      <w:r>
        <w:rPr>
          <w:rFonts w:hint="default" w:ascii="Times New Roman" w:hAnsi="Times New Roman" w:eastAsia="方正仿宋_GBK" w:cs="Times New Roman"/>
          <w:color w:val="auto"/>
          <w:sz w:val="31"/>
          <w:szCs w:val="31"/>
          <w:lang w:val="en-US" w:eastAsia="zh-CN"/>
        </w:rPr>
        <w:t>因素使我单位绩效工作人员流动频繁，</w:t>
      </w:r>
      <w:r>
        <w:rPr>
          <w:rFonts w:hint="eastAsia" w:ascii="Times New Roman" w:hAnsi="Times New Roman" w:eastAsia="方正仿宋_GBK" w:cs="Times New Roman"/>
          <w:color w:val="auto"/>
          <w:sz w:val="31"/>
          <w:szCs w:val="31"/>
          <w:lang w:val="en-US" w:eastAsia="zh-CN"/>
        </w:rPr>
        <w:t>造成</w:t>
      </w:r>
      <w:r>
        <w:rPr>
          <w:rFonts w:hint="default" w:ascii="Times New Roman" w:hAnsi="Times New Roman" w:eastAsia="方正仿宋_GBK" w:cs="Times New Roman"/>
          <w:color w:val="auto"/>
          <w:sz w:val="31"/>
          <w:szCs w:val="31"/>
          <w:lang w:val="en-US" w:eastAsia="zh-CN"/>
        </w:rPr>
        <w:t>工作衔接不到位的情况。</w:t>
      </w:r>
    </w:p>
    <w:p w14:paraId="7903BEB5">
      <w:pPr>
        <w:pageBreakBefore w:val="0"/>
        <w:kinsoku/>
        <w:wordWrap/>
        <w:overflowPunct/>
        <w:topLinePunct w:val="0"/>
        <w:autoSpaceDE/>
        <w:autoSpaceDN/>
        <w:bidi w:val="0"/>
        <w:adjustRightInd/>
        <w:snapToGrid/>
        <w:spacing w:line="560" w:lineRule="exact"/>
        <w:ind w:firstLine="620" w:firstLineChars="200"/>
        <w:textAlignment w:val="auto"/>
        <w:rPr>
          <w:rFonts w:hint="default" w:ascii="方正黑体_GBK" w:hAnsi="方正黑体_GBK" w:eastAsia="方正黑体_GBK" w:cs="方正黑体_GBK"/>
          <w:bCs/>
          <w:sz w:val="31"/>
          <w:szCs w:val="31"/>
        </w:rPr>
      </w:pPr>
      <w:r>
        <w:rPr>
          <w:rFonts w:hint="eastAsia" w:ascii="方正黑体_GBK" w:hAnsi="方正黑体_GBK" w:eastAsia="方正黑体_GBK" w:cs="方正黑体_GBK"/>
          <w:bCs/>
          <w:sz w:val="31"/>
          <w:szCs w:val="31"/>
          <w:lang w:val="en-US" w:eastAsia="zh-CN"/>
        </w:rPr>
        <w:t>六、</w:t>
      </w:r>
      <w:r>
        <w:rPr>
          <w:rFonts w:hint="default" w:ascii="方正黑体_GBK" w:hAnsi="方正黑体_GBK" w:eastAsia="方正黑体_GBK" w:cs="方正黑体_GBK"/>
          <w:bCs/>
          <w:sz w:val="31"/>
          <w:szCs w:val="31"/>
        </w:rPr>
        <w:t>有关建议</w:t>
      </w:r>
    </w:p>
    <w:p w14:paraId="535EE93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1</w:t>
      </w:r>
      <w:r>
        <w:rPr>
          <w:rFonts w:hint="eastAsia"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多进行有关绩效管理工作方面的培训。积极组织第三方开展绩效管理工作培训，进一步夯实业务基础，提高我单位绩效人员水平。</w:t>
      </w:r>
    </w:p>
    <w:p w14:paraId="1F6887F3">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CN"/>
        </w:rPr>
        <w:t>2</w:t>
      </w:r>
      <w:r>
        <w:rPr>
          <w:rFonts w:hint="eastAsia"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进一步加强对绩效管理工作的组织领导，提高对预算绩效管理工作重要性的认识，总结经验查找问题，抓紧研究制定更全面更完善的绩效评价管理办法。结合考核</w:t>
      </w:r>
      <w:r>
        <w:rPr>
          <w:rFonts w:hint="eastAsia" w:ascii="Times New Roman" w:hAnsi="Times New Roman" w:eastAsia="方正仿宋_GBK" w:cs="Times New Roman"/>
          <w:color w:val="auto"/>
          <w:sz w:val="31"/>
          <w:szCs w:val="31"/>
          <w:lang w:val="en-US" w:eastAsia="zh-CN"/>
        </w:rPr>
        <w:t>内容</w:t>
      </w:r>
      <w:r>
        <w:rPr>
          <w:rFonts w:hint="default" w:ascii="Times New Roman" w:hAnsi="Times New Roman" w:eastAsia="方正仿宋_GBK" w:cs="Times New Roman"/>
          <w:color w:val="auto"/>
          <w:sz w:val="31"/>
          <w:szCs w:val="31"/>
          <w:lang w:val="en-US" w:eastAsia="zh-CN"/>
        </w:rPr>
        <w:t>建立绩效工作考核制度，加大全局对全面实施预算绩效管理和绩效管理工作的学习力度，让</w:t>
      </w:r>
      <w:r>
        <w:rPr>
          <w:rFonts w:hint="eastAsia"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花钱必问效，无效必问责</w:t>
      </w:r>
      <w:r>
        <w:rPr>
          <w:rFonts w:hint="eastAsia"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val="en-US" w:eastAsia="zh-CN"/>
        </w:rPr>
        <w:t>的理念深入工作每个环节。</w:t>
      </w:r>
    </w:p>
    <w:p w14:paraId="361C5607">
      <w:pPr>
        <w:pageBreakBefore w:val="0"/>
        <w:kinsoku/>
        <w:wordWrap/>
        <w:overflowPunct/>
        <w:topLinePunct w:val="0"/>
        <w:autoSpaceDE/>
        <w:autoSpaceDN/>
        <w:bidi w:val="0"/>
        <w:adjustRightInd/>
        <w:snapToGrid/>
        <w:spacing w:line="560" w:lineRule="exact"/>
        <w:ind w:firstLine="620" w:firstLineChars="200"/>
        <w:textAlignment w:val="auto"/>
        <w:rPr>
          <w:rFonts w:hint="default" w:ascii="方正黑体_GBK" w:hAnsi="方正黑体_GBK" w:eastAsia="方正黑体_GBK" w:cs="方正黑体_GBK"/>
          <w:bCs/>
          <w:sz w:val="31"/>
          <w:szCs w:val="31"/>
        </w:rPr>
      </w:pPr>
      <w:r>
        <w:rPr>
          <w:rFonts w:hint="eastAsia" w:ascii="方正黑体_GBK" w:hAnsi="方正黑体_GBK" w:eastAsia="方正黑体_GBK" w:cs="方正黑体_GBK"/>
          <w:bCs/>
          <w:sz w:val="31"/>
          <w:szCs w:val="31"/>
          <w:lang w:val="en-US" w:eastAsia="zh-CN"/>
        </w:rPr>
        <w:t>七、</w:t>
      </w:r>
      <w:r>
        <w:rPr>
          <w:rFonts w:hint="default" w:ascii="方正黑体_GBK" w:hAnsi="方正黑体_GBK" w:eastAsia="方正黑体_GBK" w:cs="方正黑体_GBK"/>
          <w:bCs/>
          <w:sz w:val="31"/>
          <w:szCs w:val="31"/>
        </w:rPr>
        <w:t>其他需要说</w:t>
      </w:r>
      <w:bookmarkStart w:id="0" w:name="page8"/>
      <w:bookmarkEnd w:id="0"/>
      <w:r>
        <w:rPr>
          <w:rFonts w:hint="default" w:ascii="方正黑体_GBK" w:hAnsi="方正黑体_GBK" w:eastAsia="方正黑体_GBK" w:cs="方正黑体_GBK"/>
          <w:bCs/>
          <w:sz w:val="31"/>
          <w:szCs w:val="31"/>
        </w:rPr>
        <w:t>明的问题</w:t>
      </w:r>
    </w:p>
    <w:p w14:paraId="78A7EE51">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lang w:val="en-US" w:eastAsia="zh-CN"/>
        </w:rPr>
      </w:pPr>
      <w:r>
        <w:rPr>
          <w:rFonts w:hint="default" w:ascii="Times New Roman" w:hAnsi="Times New Roman" w:eastAsia="方正仿宋_GBK" w:cs="Times New Roman"/>
          <w:color w:val="auto"/>
          <w:sz w:val="31"/>
          <w:szCs w:val="31"/>
          <w:lang w:val="en-US" w:eastAsia="zh-Hans"/>
        </w:rPr>
        <w:t>本项目无其他需说明的问题。</w:t>
      </w:r>
    </w:p>
    <w:p w14:paraId="6196EE0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方正仿宋_GBK" w:cs="Times New Roman"/>
          <w:color w:val="auto"/>
          <w:sz w:val="31"/>
          <w:szCs w:val="31"/>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1C8445F2">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13BAC30C">
      <w:pPr>
        <w:pStyle w:val="20"/>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lang w:eastAsia="zh-CN"/>
        </w:rPr>
        <w:t>《</w:t>
      </w:r>
      <w:r>
        <w:rPr>
          <w:rFonts w:hint="default" w:ascii="仿宋_GB2312" w:hAnsi="仿宋_GB2312" w:eastAsia="仿宋_GB2312" w:cs="仿宋_GB2312"/>
          <w:b/>
          <w:bCs/>
          <w:sz w:val="28"/>
          <w:szCs w:val="40"/>
        </w:rPr>
        <w:t>[</w:t>
      </w:r>
      <w:r>
        <w:rPr>
          <w:rFonts w:hint="default" w:ascii="仿宋_GB2312" w:hAnsi="仿宋_GB2312" w:eastAsia="仿宋_GB2312" w:cs="仿宋_GB2312"/>
          <w:b/>
          <w:bCs/>
          <w:sz w:val="28"/>
          <w:szCs w:val="40"/>
          <w:lang w:val="en-US" w:eastAsia="zh-CN"/>
        </w:rPr>
        <w:t>巴财企[2024]38号关于拨付2024年度服务业发展资金的通知</w:t>
      </w:r>
      <w:r>
        <w:rPr>
          <w:rFonts w:hint="eastAsia" w:ascii="仿宋_GB2312" w:hAnsi="仿宋_GB2312" w:eastAsia="仿宋_GB2312" w:cs="仿宋_GB2312"/>
          <w:b/>
          <w:bCs/>
          <w:sz w:val="28"/>
          <w:szCs w:val="40"/>
          <w:lang w:val="en-US" w:eastAsia="zh-CN"/>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6DA08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3BA6CA9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21D92FB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5A4132D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0124289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14:paraId="35A4B9A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634BB72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6AB60BA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4F76C8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48A99596">
            <w:pPr>
              <w:widowControl/>
              <w:spacing w:line="0" w:lineRule="atLeast"/>
              <w:jc w:val="center"/>
              <w:rPr>
                <w:rFonts w:hint="default" w:ascii="Times New Roman" w:hAnsi="Times New Roman" w:eastAsia="仿宋_GB2312" w:cs="Times New Roman"/>
                <w:color w:val="000000"/>
                <w:kern w:val="0"/>
                <w:sz w:val="18"/>
                <w:szCs w:val="18"/>
              </w:rPr>
            </w:pPr>
          </w:p>
          <w:p w14:paraId="6047E582">
            <w:pPr>
              <w:widowControl/>
              <w:spacing w:line="0" w:lineRule="atLeast"/>
              <w:jc w:val="center"/>
              <w:rPr>
                <w:rFonts w:hint="default" w:ascii="Times New Roman" w:hAnsi="Times New Roman" w:eastAsia="仿宋_GB2312" w:cs="Times New Roman"/>
                <w:color w:val="000000"/>
                <w:kern w:val="0"/>
                <w:sz w:val="18"/>
                <w:szCs w:val="18"/>
              </w:rPr>
            </w:pPr>
          </w:p>
          <w:p w14:paraId="39E35A5F">
            <w:pPr>
              <w:widowControl/>
              <w:spacing w:line="0" w:lineRule="atLeast"/>
              <w:jc w:val="center"/>
              <w:rPr>
                <w:rFonts w:hint="default" w:ascii="Times New Roman" w:hAnsi="Times New Roman" w:eastAsia="仿宋_GB2312" w:cs="Times New Roman"/>
                <w:color w:val="000000"/>
                <w:kern w:val="0"/>
                <w:sz w:val="18"/>
                <w:szCs w:val="18"/>
              </w:rPr>
            </w:pPr>
          </w:p>
          <w:p w14:paraId="0E3CF83C">
            <w:pPr>
              <w:widowControl/>
              <w:spacing w:line="0" w:lineRule="atLeast"/>
              <w:jc w:val="center"/>
              <w:rPr>
                <w:rFonts w:hint="default" w:ascii="Times New Roman" w:hAnsi="Times New Roman" w:eastAsia="仿宋_GB2312" w:cs="Times New Roman"/>
                <w:color w:val="000000"/>
                <w:kern w:val="0"/>
                <w:sz w:val="18"/>
                <w:szCs w:val="18"/>
              </w:rPr>
            </w:pPr>
          </w:p>
          <w:p w14:paraId="75E87AE8">
            <w:pPr>
              <w:widowControl/>
              <w:spacing w:line="0" w:lineRule="atLeast"/>
              <w:jc w:val="center"/>
              <w:rPr>
                <w:rFonts w:hint="default" w:ascii="Times New Roman" w:hAnsi="Times New Roman" w:eastAsia="仿宋_GB2312" w:cs="Times New Roman"/>
                <w:color w:val="000000"/>
                <w:kern w:val="0"/>
                <w:sz w:val="18"/>
                <w:szCs w:val="18"/>
              </w:rPr>
            </w:pPr>
          </w:p>
          <w:p w14:paraId="04038510">
            <w:pPr>
              <w:widowControl/>
              <w:spacing w:line="0" w:lineRule="atLeast"/>
              <w:jc w:val="center"/>
              <w:rPr>
                <w:rFonts w:hint="default" w:ascii="Times New Roman" w:hAnsi="Times New Roman" w:eastAsia="仿宋_GB2312" w:cs="Times New Roman"/>
                <w:color w:val="000000"/>
                <w:kern w:val="0"/>
                <w:sz w:val="18"/>
                <w:szCs w:val="18"/>
              </w:rPr>
            </w:pPr>
          </w:p>
          <w:p w14:paraId="6D914EA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14:paraId="57A6EF2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14:paraId="6EB4699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10CB1C8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512B11B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4ADD84B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7E79CB3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68F77FB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14:paraId="456B9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43E136CC">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18911EC2">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007E71D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07B6BBC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46A2700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14:paraId="5A73A98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793D34E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7EE531A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14:paraId="7463E0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3432185">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6F944E7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14:paraId="1E8D8B3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6BEF4E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1E0D0BB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6592E05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3DCBFF0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00C0D76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530730DA">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14:paraId="07E4A6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45C4E6B1">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77BE613D">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794A529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10675AD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6432815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63B49BF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4226A56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096D8E51">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14:paraId="55635B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14CEF285">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5BF6E4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727E1996">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4B22D1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7818DFF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1C5719B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28814BB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3D4DABB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3F4A3B54">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26FCA6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558CEB90">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4FF63EB1">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045D17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594BF8C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4EDFE3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11D2C5B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4E66D72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02F92621">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7AD1DE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2FAF9ADB">
            <w:pPr>
              <w:spacing w:line="0" w:lineRule="atLeast"/>
              <w:jc w:val="center"/>
              <w:rPr>
                <w:rFonts w:hint="default" w:ascii="Times New Roman" w:hAnsi="Times New Roman" w:eastAsia="仿宋_GB2312" w:cs="Times New Roman"/>
                <w:color w:val="000000"/>
                <w:kern w:val="0"/>
                <w:sz w:val="18"/>
                <w:szCs w:val="18"/>
              </w:rPr>
            </w:pPr>
          </w:p>
          <w:p w14:paraId="68A4E131">
            <w:pPr>
              <w:spacing w:line="0" w:lineRule="atLeast"/>
              <w:jc w:val="center"/>
              <w:rPr>
                <w:rFonts w:hint="default" w:ascii="Times New Roman" w:hAnsi="Times New Roman" w:eastAsia="仿宋_GB2312" w:cs="Times New Roman"/>
                <w:color w:val="000000"/>
                <w:kern w:val="0"/>
                <w:sz w:val="18"/>
                <w:szCs w:val="18"/>
              </w:rPr>
            </w:pPr>
          </w:p>
          <w:p w14:paraId="04811D71">
            <w:pPr>
              <w:spacing w:line="0" w:lineRule="atLeast"/>
              <w:jc w:val="center"/>
              <w:rPr>
                <w:rFonts w:hint="default" w:ascii="Times New Roman" w:hAnsi="Times New Roman" w:eastAsia="仿宋_GB2312" w:cs="Times New Roman"/>
                <w:color w:val="000000"/>
                <w:kern w:val="0"/>
                <w:sz w:val="18"/>
                <w:szCs w:val="18"/>
              </w:rPr>
            </w:pPr>
          </w:p>
          <w:p w14:paraId="5A7CFE4D">
            <w:pPr>
              <w:spacing w:line="0" w:lineRule="atLeast"/>
              <w:jc w:val="center"/>
              <w:rPr>
                <w:rFonts w:hint="default" w:ascii="Times New Roman" w:hAnsi="Times New Roman" w:eastAsia="仿宋_GB2312" w:cs="Times New Roman"/>
                <w:color w:val="000000"/>
                <w:kern w:val="0"/>
                <w:sz w:val="18"/>
                <w:szCs w:val="18"/>
              </w:rPr>
            </w:pPr>
          </w:p>
          <w:p w14:paraId="598AB1FE">
            <w:pPr>
              <w:spacing w:line="0" w:lineRule="atLeast"/>
              <w:jc w:val="center"/>
              <w:rPr>
                <w:rFonts w:hint="default" w:ascii="Times New Roman" w:hAnsi="Times New Roman" w:eastAsia="仿宋_GB2312" w:cs="Times New Roman"/>
                <w:color w:val="000000"/>
                <w:kern w:val="0"/>
                <w:sz w:val="18"/>
                <w:szCs w:val="18"/>
              </w:rPr>
            </w:pPr>
          </w:p>
          <w:p w14:paraId="5E5E75EF">
            <w:pPr>
              <w:spacing w:line="0" w:lineRule="atLeast"/>
              <w:jc w:val="center"/>
              <w:rPr>
                <w:rFonts w:hint="default" w:ascii="Times New Roman" w:hAnsi="Times New Roman" w:eastAsia="仿宋_GB2312" w:cs="Times New Roman"/>
                <w:color w:val="000000"/>
                <w:kern w:val="0"/>
                <w:sz w:val="18"/>
                <w:szCs w:val="18"/>
              </w:rPr>
            </w:pPr>
          </w:p>
          <w:p w14:paraId="46C1E516">
            <w:pPr>
              <w:spacing w:line="0" w:lineRule="atLeast"/>
              <w:jc w:val="center"/>
              <w:rPr>
                <w:rFonts w:hint="default" w:ascii="Times New Roman" w:hAnsi="Times New Roman" w:eastAsia="仿宋_GB2312" w:cs="Times New Roman"/>
                <w:color w:val="000000"/>
                <w:kern w:val="0"/>
                <w:sz w:val="18"/>
                <w:szCs w:val="18"/>
              </w:rPr>
            </w:pPr>
          </w:p>
          <w:p w14:paraId="1C524B93">
            <w:pPr>
              <w:spacing w:line="0" w:lineRule="atLeast"/>
              <w:jc w:val="center"/>
              <w:rPr>
                <w:rFonts w:hint="default" w:ascii="Times New Roman" w:hAnsi="Times New Roman" w:eastAsia="仿宋_GB2312" w:cs="Times New Roman"/>
                <w:color w:val="000000"/>
                <w:kern w:val="0"/>
                <w:sz w:val="18"/>
                <w:szCs w:val="18"/>
              </w:rPr>
            </w:pPr>
          </w:p>
          <w:p w14:paraId="332CD368">
            <w:pPr>
              <w:spacing w:line="0" w:lineRule="atLeast"/>
              <w:jc w:val="center"/>
              <w:rPr>
                <w:rFonts w:hint="default" w:ascii="Times New Roman" w:hAnsi="Times New Roman" w:eastAsia="仿宋_GB2312" w:cs="Times New Roman"/>
                <w:color w:val="000000"/>
                <w:kern w:val="0"/>
                <w:sz w:val="18"/>
                <w:szCs w:val="18"/>
              </w:rPr>
            </w:pPr>
          </w:p>
          <w:p w14:paraId="2447A85D">
            <w:pPr>
              <w:spacing w:line="0" w:lineRule="atLeast"/>
              <w:jc w:val="center"/>
              <w:rPr>
                <w:rFonts w:hint="default" w:ascii="Times New Roman" w:hAnsi="Times New Roman" w:eastAsia="仿宋_GB2312" w:cs="Times New Roman"/>
                <w:color w:val="000000"/>
                <w:kern w:val="0"/>
                <w:sz w:val="18"/>
                <w:szCs w:val="18"/>
              </w:rPr>
            </w:pPr>
          </w:p>
          <w:p w14:paraId="245A6664">
            <w:pPr>
              <w:spacing w:line="0" w:lineRule="atLeast"/>
              <w:jc w:val="center"/>
              <w:rPr>
                <w:rFonts w:hint="default" w:ascii="Times New Roman" w:hAnsi="Times New Roman" w:eastAsia="仿宋_GB2312" w:cs="Times New Roman"/>
                <w:color w:val="000000"/>
                <w:kern w:val="0"/>
                <w:sz w:val="18"/>
                <w:szCs w:val="18"/>
              </w:rPr>
            </w:pPr>
          </w:p>
          <w:p w14:paraId="2B156EE1">
            <w:pPr>
              <w:spacing w:line="0" w:lineRule="atLeast"/>
              <w:jc w:val="center"/>
              <w:rPr>
                <w:rFonts w:hint="default" w:ascii="Times New Roman" w:hAnsi="Times New Roman" w:eastAsia="仿宋_GB2312" w:cs="Times New Roman"/>
                <w:color w:val="000000"/>
                <w:kern w:val="0"/>
                <w:sz w:val="18"/>
                <w:szCs w:val="18"/>
              </w:rPr>
            </w:pPr>
          </w:p>
          <w:p w14:paraId="3009121E">
            <w:pPr>
              <w:spacing w:line="0" w:lineRule="atLeast"/>
              <w:jc w:val="center"/>
              <w:rPr>
                <w:rFonts w:hint="default" w:ascii="Times New Roman" w:hAnsi="Times New Roman" w:eastAsia="仿宋_GB2312" w:cs="Times New Roman"/>
                <w:color w:val="000000"/>
                <w:kern w:val="0"/>
                <w:sz w:val="18"/>
                <w:szCs w:val="18"/>
              </w:rPr>
            </w:pPr>
          </w:p>
          <w:p w14:paraId="6F0CF7E0">
            <w:pPr>
              <w:spacing w:line="0" w:lineRule="atLeast"/>
              <w:jc w:val="center"/>
              <w:rPr>
                <w:rFonts w:hint="default" w:ascii="Times New Roman" w:hAnsi="Times New Roman" w:eastAsia="仿宋_GB2312" w:cs="Times New Roman"/>
                <w:color w:val="000000"/>
                <w:kern w:val="0"/>
                <w:sz w:val="18"/>
                <w:szCs w:val="18"/>
              </w:rPr>
            </w:pPr>
          </w:p>
          <w:p w14:paraId="3C81E319">
            <w:pPr>
              <w:spacing w:line="0" w:lineRule="atLeast"/>
              <w:jc w:val="center"/>
              <w:rPr>
                <w:rFonts w:hint="default" w:ascii="Times New Roman" w:hAnsi="Times New Roman" w:eastAsia="仿宋_GB2312" w:cs="Times New Roman"/>
                <w:color w:val="000000"/>
                <w:kern w:val="0"/>
                <w:sz w:val="18"/>
                <w:szCs w:val="18"/>
              </w:rPr>
            </w:pPr>
          </w:p>
          <w:p w14:paraId="2D3588D1">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5D01A72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14:paraId="030C47A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289D982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6E17FE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7335E65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52A3764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2E6E7D8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0C11746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2E20D7C1">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591A5E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30C45DBA">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98E60E2">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5DB7ED5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14:paraId="53E4936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14:paraId="0810DA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2B076A5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7CD3562C">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 xml:space="preserve">3 </w:t>
            </w:r>
          </w:p>
        </w:tc>
      </w:tr>
      <w:tr w14:paraId="666EE6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50B39A49">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74A9BAF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2AF0965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0D3B57B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0CECC17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7F04EAE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14:paraId="21AE5F3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559E7B93">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712C54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3EA6CD5D">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36576A8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444CF9B8">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21A2B42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7119A88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6885C90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3F31CE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6B74021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6A986E0C">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120CA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406718B4">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41B7A30A">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5BEAED2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066A0CD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69CB297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14:paraId="7B494BB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0FEC95F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54C34673">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73BE2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6E208D4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14:paraId="5985D26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75C9017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0563FB8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1395A23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393B191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7060F5EB">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9</w:t>
            </w:r>
          </w:p>
        </w:tc>
      </w:tr>
      <w:tr w14:paraId="6D5216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766CF62C">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4CA2414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5D9FD25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359757D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4C28867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3A560BC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4075FB7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289DCEB3">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14:paraId="33BAE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00217B85">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0AF9F536">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3D0BE3B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25802F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14:paraId="1890316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5169F42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3A45FA63">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14:paraId="7761F0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77C99799">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2480E1E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0CF5198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14:paraId="685E623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76C95C7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5F557BD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29F78A29">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7.5</w:t>
            </w:r>
          </w:p>
        </w:tc>
      </w:tr>
      <w:tr w14:paraId="2B550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689130A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14:paraId="2D135E7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14:paraId="00954D4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73E5977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14:paraId="4406997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41BE0AA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14:paraId="444C8ED6">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14:paraId="1681B2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2C3E832D">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14165A38">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503CB15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14:paraId="53350EA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14:paraId="6C912A3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6B7915E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1BFF1D2B">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bl>
    <w:p w14:paraId="43D13F19">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1ED5D913">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7547880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61ED33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256"/>
        <w:gridCol w:w="1520"/>
        <w:gridCol w:w="890"/>
        <w:gridCol w:w="982"/>
        <w:gridCol w:w="924"/>
        <w:gridCol w:w="734"/>
        <w:gridCol w:w="1100"/>
        <w:gridCol w:w="840"/>
        <w:gridCol w:w="1060"/>
        <w:gridCol w:w="790"/>
        <w:gridCol w:w="582"/>
        <w:gridCol w:w="1287"/>
      </w:tblGrid>
      <w:tr w14:paraId="2F4AC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6A33F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A81BE9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巴财企[2024]38号关于拨付2024年度服务业发展资金的通知</w:t>
            </w:r>
          </w:p>
        </w:tc>
      </w:tr>
      <w:tr w14:paraId="238C3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2BE3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22D7E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库尔勒市商务和工业信息化局</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C0944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160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21969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库尔勒市商务和工业信息化局</w:t>
            </w:r>
          </w:p>
        </w:tc>
      </w:tr>
      <w:tr w14:paraId="3AC9C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B59F4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9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52B54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A438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23C57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D2D21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3C4BE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84EB6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1C81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65CC7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33603">
            <w:pPr>
              <w:jc w:val="center"/>
              <w:rPr>
                <w:rFonts w:hint="eastAsia" w:ascii="仿宋_GB2312" w:hAnsi="仿宋_GB2312" w:eastAsia="仿宋_GB2312" w:cs="仿宋_GB2312"/>
                <w:i w:val="0"/>
                <w:iCs w:val="0"/>
                <w:color w:val="000000"/>
                <w:sz w:val="18"/>
                <w:szCs w:val="18"/>
                <w:u w:val="none"/>
              </w:rPr>
            </w:pPr>
          </w:p>
        </w:tc>
        <w:tc>
          <w:tcPr>
            <w:tcW w:w="9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CCE3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8D3E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914.48</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918C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914.48</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2FCEF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757.24</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B4C71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D44C4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82.81</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86C9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8.28</w:t>
            </w:r>
          </w:p>
        </w:tc>
      </w:tr>
      <w:tr w14:paraId="10BBA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7FF82">
            <w:pPr>
              <w:jc w:val="center"/>
              <w:rPr>
                <w:rFonts w:hint="eastAsia" w:ascii="仿宋_GB2312" w:hAnsi="仿宋_GB2312" w:eastAsia="仿宋_GB2312" w:cs="仿宋_GB2312"/>
                <w:i w:val="0"/>
                <w:iCs w:val="0"/>
                <w:color w:val="000000"/>
                <w:sz w:val="18"/>
                <w:szCs w:val="18"/>
                <w:u w:val="none"/>
              </w:rPr>
            </w:pPr>
          </w:p>
        </w:tc>
        <w:tc>
          <w:tcPr>
            <w:tcW w:w="9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AB61B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9EBC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914.48</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82B17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914.48</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408168">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0757.24</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5705A7">
            <w:pPr>
              <w:jc w:val="center"/>
              <w:rPr>
                <w:rFonts w:hint="eastAsia" w:ascii="仿宋_GB2312" w:hAnsi="仿宋_GB2312" w:eastAsia="仿宋_GB2312" w:cs="仿宋_GB2312"/>
                <w:i w:val="0"/>
                <w:iCs w:val="0"/>
                <w:color w:val="000000"/>
                <w:sz w:val="18"/>
                <w:szCs w:val="18"/>
                <w:u w:val="none"/>
              </w:rPr>
            </w:pP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3B355A">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8E4D8">
            <w:pPr>
              <w:jc w:val="center"/>
              <w:rPr>
                <w:rFonts w:hint="eastAsia" w:ascii="仿宋_GB2312" w:hAnsi="仿宋_GB2312" w:eastAsia="仿宋_GB2312" w:cs="仿宋_GB2312"/>
                <w:i w:val="0"/>
                <w:iCs w:val="0"/>
                <w:color w:val="000000"/>
                <w:sz w:val="18"/>
                <w:szCs w:val="18"/>
                <w:u w:val="none"/>
              </w:rPr>
            </w:pPr>
          </w:p>
        </w:tc>
      </w:tr>
      <w:tr w14:paraId="0C026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E20B7">
            <w:pPr>
              <w:jc w:val="center"/>
              <w:rPr>
                <w:rFonts w:hint="eastAsia" w:ascii="仿宋_GB2312" w:hAnsi="仿宋_GB2312" w:eastAsia="仿宋_GB2312" w:cs="仿宋_GB2312"/>
                <w:i w:val="0"/>
                <w:iCs w:val="0"/>
                <w:color w:val="000000"/>
                <w:sz w:val="18"/>
                <w:szCs w:val="18"/>
                <w:u w:val="none"/>
              </w:rPr>
            </w:pPr>
          </w:p>
        </w:tc>
        <w:tc>
          <w:tcPr>
            <w:tcW w:w="979" w:type="pct"/>
            <w:gridSpan w:val="2"/>
            <w:tcBorders>
              <w:top w:val="single" w:color="000000" w:sz="4" w:space="0"/>
              <w:left w:val="single" w:color="000000" w:sz="4" w:space="0"/>
              <w:bottom w:val="nil"/>
              <w:right w:val="single" w:color="000000" w:sz="4" w:space="0"/>
            </w:tcBorders>
            <w:shd w:val="clear" w:color="auto" w:fill="auto"/>
            <w:vAlign w:val="center"/>
          </w:tcPr>
          <w:p w14:paraId="3FAF8F5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313" w:type="pct"/>
            <w:tcBorders>
              <w:top w:val="single" w:color="000000" w:sz="4" w:space="0"/>
              <w:left w:val="single" w:color="000000" w:sz="4" w:space="0"/>
              <w:bottom w:val="nil"/>
              <w:right w:val="single" w:color="000000" w:sz="4" w:space="0"/>
            </w:tcBorders>
            <w:shd w:val="clear" w:color="auto" w:fill="auto"/>
            <w:vAlign w:val="center"/>
          </w:tcPr>
          <w:p w14:paraId="0BE0088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672" w:type="pct"/>
            <w:gridSpan w:val="2"/>
            <w:tcBorders>
              <w:top w:val="single" w:color="000000" w:sz="4" w:space="0"/>
              <w:left w:val="single" w:color="000000" w:sz="4" w:space="0"/>
              <w:bottom w:val="nil"/>
              <w:right w:val="single" w:color="000000" w:sz="4" w:space="0"/>
            </w:tcBorders>
            <w:shd w:val="clear" w:color="auto" w:fill="auto"/>
            <w:vAlign w:val="center"/>
          </w:tcPr>
          <w:p w14:paraId="6FEE2671">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646" w:type="pct"/>
            <w:gridSpan w:val="2"/>
            <w:tcBorders>
              <w:top w:val="single" w:color="000000" w:sz="4" w:space="0"/>
              <w:left w:val="single" w:color="000000" w:sz="4" w:space="0"/>
              <w:bottom w:val="nil"/>
              <w:right w:val="single" w:color="000000" w:sz="4" w:space="0"/>
            </w:tcBorders>
            <w:shd w:val="clear" w:color="auto" w:fill="auto"/>
            <w:vAlign w:val="center"/>
          </w:tcPr>
          <w:p w14:paraId="1A2E68FA">
            <w:pPr>
              <w:jc w:val="center"/>
              <w:rPr>
                <w:rFonts w:hint="eastAsia" w:ascii="仿宋_GB2312" w:hAnsi="仿宋_GB2312" w:eastAsia="仿宋_GB2312" w:cs="仿宋_GB2312"/>
                <w:i w:val="0"/>
                <w:iCs w:val="0"/>
                <w:color w:val="000000"/>
                <w:sz w:val="18"/>
                <w:szCs w:val="18"/>
                <w:u w:val="none"/>
              </w:rPr>
            </w:pP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8273FA">
            <w:pPr>
              <w:jc w:val="center"/>
              <w:rPr>
                <w:rFonts w:hint="eastAsia" w:ascii="仿宋_GB2312" w:hAnsi="仿宋_GB2312" w:eastAsia="仿宋_GB2312" w:cs="仿宋_GB2312"/>
                <w:i w:val="0"/>
                <w:iCs w:val="0"/>
                <w:color w:val="000000"/>
                <w:sz w:val="18"/>
                <w:szCs w:val="18"/>
                <w:u w:val="none"/>
              </w:rPr>
            </w:pPr>
          </w:p>
        </w:tc>
        <w:tc>
          <w:tcPr>
            <w:tcW w:w="4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096EA1">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97A83">
            <w:pPr>
              <w:jc w:val="center"/>
              <w:rPr>
                <w:rFonts w:hint="eastAsia" w:ascii="仿宋_GB2312" w:hAnsi="仿宋_GB2312" w:eastAsia="仿宋_GB2312" w:cs="仿宋_GB2312"/>
                <w:i w:val="0"/>
                <w:iCs w:val="0"/>
                <w:color w:val="000000"/>
                <w:sz w:val="18"/>
                <w:szCs w:val="18"/>
                <w:u w:val="none"/>
              </w:rPr>
            </w:pPr>
          </w:p>
        </w:tc>
      </w:tr>
      <w:tr w14:paraId="3459A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66E0C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306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83DCE0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160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39985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72D02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87106">
            <w:pPr>
              <w:jc w:val="center"/>
              <w:rPr>
                <w:rFonts w:hint="eastAsia" w:ascii="仿宋_GB2312" w:hAnsi="仿宋_GB2312" w:eastAsia="仿宋_GB2312" w:cs="仿宋_GB2312"/>
                <w:i w:val="0"/>
                <w:iCs w:val="0"/>
                <w:color w:val="000000"/>
                <w:sz w:val="18"/>
                <w:szCs w:val="18"/>
                <w:u w:val="none"/>
              </w:rPr>
            </w:pPr>
          </w:p>
        </w:tc>
        <w:tc>
          <w:tcPr>
            <w:tcW w:w="3068"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1A90FEA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目标1：补贴库尔勒市香梨产业发展有限公司、库尔勒中泰鸿茂畜牧发展有限责任公司、新疆库尔勒铁克其乡上恰其村股份经济合作社、新疆博海市场管理有限公司等4家服务业发展资金。</w:t>
            </w:r>
          </w:p>
          <w:p w14:paraId="5533842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目标2：补贴库尔勒市香梨产业发展有限公司229.58万元、库尔勒中泰鸿茂畜牧发展有限责任公司157.24万元、新疆库尔勒铁克其乡上恰其村股份经济合作社27.66万元、新疆博海市场管理有限公司500万元。</w:t>
            </w:r>
          </w:p>
          <w:p w14:paraId="78E5032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目标3：通过项目的实施，有效优化改善县域消费渠道。</w:t>
            </w:r>
          </w:p>
        </w:tc>
        <w:tc>
          <w:tcPr>
            <w:tcW w:w="160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1D52D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eastAsia="zh-CN"/>
              </w:rPr>
              <w:t>截止</w:t>
            </w:r>
            <w:r>
              <w:rPr>
                <w:rFonts w:hint="eastAsia" w:ascii="仿宋_GB2312" w:hAnsi="仿宋_GB2312" w:eastAsia="仿宋_GB2312" w:cs="仿宋_GB2312"/>
                <w:i w:val="0"/>
                <w:iCs w:val="0"/>
                <w:color w:val="000000"/>
                <w:sz w:val="18"/>
                <w:szCs w:val="18"/>
                <w:u w:val="none"/>
                <w:lang w:val="en-US" w:eastAsia="zh-CN"/>
              </w:rPr>
              <w:t>2024年12月31日，通过项目的实施，补贴了4家企业，有效优化改善了县域消费渠道。</w:t>
            </w:r>
          </w:p>
        </w:tc>
      </w:tr>
      <w:tr w14:paraId="14F51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AF313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C49D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6BA0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F1E9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69A6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204A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925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ADB3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4AD1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4EE6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F486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08E9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69E8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92C3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1FA80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C2DED">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F258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443" w:type="pct"/>
            <w:tcBorders>
              <w:top w:val="single" w:color="000000" w:sz="4" w:space="0"/>
              <w:left w:val="single" w:color="000000" w:sz="4" w:space="0"/>
              <w:bottom w:val="nil"/>
              <w:right w:val="single" w:color="000000" w:sz="4" w:space="0"/>
            </w:tcBorders>
            <w:shd w:val="clear" w:color="auto" w:fill="auto"/>
            <w:noWrap/>
            <w:vAlign w:val="center"/>
          </w:tcPr>
          <w:p w14:paraId="1B729EC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536" w:type="pct"/>
            <w:tcBorders>
              <w:top w:val="single" w:color="000000" w:sz="4" w:space="0"/>
              <w:left w:val="nil"/>
              <w:bottom w:val="single" w:color="000000" w:sz="4" w:space="0"/>
              <w:right w:val="single" w:color="000000" w:sz="4" w:space="0"/>
            </w:tcBorders>
            <w:shd w:val="clear" w:color="auto" w:fill="auto"/>
            <w:vAlign w:val="center"/>
          </w:tcPr>
          <w:p w14:paraId="1C32AF4F">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补贴企业数</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31533">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&gt;=4家</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107D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E71AE">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C1E1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7EF40">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B7A06">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9551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=3家</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F2B0C">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75%</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5A61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D25A6">
            <w:pPr>
              <w:jc w:val="center"/>
              <w:rPr>
                <w:rFonts w:hint="eastAsia" w:ascii="仿宋_GB2312" w:hAnsi="仿宋_GB2312" w:eastAsia="仿宋_GB2312" w:cs="仿宋_GB2312"/>
                <w:i w:val="0"/>
                <w:iCs w:val="0"/>
                <w:color w:val="000000"/>
                <w:sz w:val="18"/>
                <w:szCs w:val="18"/>
                <w:u w:val="none"/>
              </w:rPr>
            </w:pPr>
          </w:p>
        </w:tc>
      </w:tr>
      <w:tr w14:paraId="03D71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C4BBD">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7E513">
            <w:pPr>
              <w:jc w:val="center"/>
              <w:rPr>
                <w:rFonts w:hint="eastAsia" w:ascii="仿宋_GB2312" w:hAnsi="仿宋_GB2312" w:eastAsia="仿宋_GB2312" w:cs="仿宋_GB2312"/>
                <w:i w:val="0"/>
                <w:iCs w:val="0"/>
                <w:color w:val="000000"/>
                <w:sz w:val="18"/>
                <w:szCs w:val="18"/>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02EC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283F3">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资金拨付准确率</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91AF9">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963CF">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95217">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F7E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2E82A">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F68D5">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0E4D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36721">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7ADC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9399E">
            <w:pPr>
              <w:jc w:val="center"/>
              <w:rPr>
                <w:rFonts w:hint="eastAsia" w:ascii="仿宋_GB2312" w:hAnsi="仿宋_GB2312" w:eastAsia="仿宋_GB2312" w:cs="仿宋_GB2312"/>
                <w:i w:val="0"/>
                <w:iCs w:val="0"/>
                <w:color w:val="000000"/>
                <w:sz w:val="18"/>
                <w:szCs w:val="18"/>
                <w:u w:val="none"/>
              </w:rPr>
            </w:pPr>
          </w:p>
        </w:tc>
      </w:tr>
      <w:tr w14:paraId="45E38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946C6">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86B33">
            <w:pPr>
              <w:jc w:val="center"/>
              <w:rPr>
                <w:rFonts w:hint="eastAsia" w:ascii="仿宋_GB2312" w:hAnsi="仿宋_GB2312" w:eastAsia="仿宋_GB2312" w:cs="仿宋_GB2312"/>
                <w:i w:val="0"/>
                <w:iCs w:val="0"/>
                <w:color w:val="000000"/>
                <w:sz w:val="18"/>
                <w:szCs w:val="18"/>
                <w:u w:val="none"/>
              </w:rPr>
            </w:pPr>
          </w:p>
        </w:tc>
        <w:tc>
          <w:tcPr>
            <w:tcW w:w="443"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0ADEE28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536" w:type="pct"/>
            <w:tcBorders>
              <w:top w:val="single" w:color="000000" w:sz="4" w:space="0"/>
              <w:left w:val="single" w:color="000000" w:sz="4" w:space="0"/>
              <w:bottom w:val="single" w:color="auto" w:sz="4" w:space="0"/>
              <w:right w:val="single" w:color="000000" w:sz="4" w:space="0"/>
            </w:tcBorders>
            <w:shd w:val="clear" w:color="auto" w:fill="auto"/>
            <w:vAlign w:val="center"/>
          </w:tcPr>
          <w:p w14:paraId="50F18F94">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发放资金完成时间</w:t>
            </w:r>
          </w:p>
        </w:tc>
        <w:tc>
          <w:tcPr>
            <w:tcW w:w="313" w:type="pct"/>
            <w:tcBorders>
              <w:top w:val="single" w:color="000000" w:sz="4" w:space="0"/>
              <w:left w:val="single" w:color="000000" w:sz="4" w:space="0"/>
              <w:bottom w:val="single" w:color="auto" w:sz="4" w:space="0"/>
              <w:right w:val="single" w:color="000000" w:sz="4" w:space="0"/>
            </w:tcBorders>
            <w:shd w:val="clear" w:color="auto" w:fill="auto"/>
            <w:vAlign w:val="center"/>
          </w:tcPr>
          <w:p w14:paraId="124A1B6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2024年12月20日</w:t>
            </w:r>
          </w:p>
        </w:tc>
        <w:tc>
          <w:tcPr>
            <w:tcW w:w="346" w:type="pct"/>
            <w:tcBorders>
              <w:top w:val="single" w:color="000000" w:sz="4" w:space="0"/>
              <w:left w:val="single" w:color="000000" w:sz="4" w:space="0"/>
              <w:bottom w:val="single" w:color="auto" w:sz="4" w:space="0"/>
              <w:right w:val="single" w:color="000000" w:sz="4" w:space="0"/>
            </w:tcBorders>
            <w:shd w:val="clear" w:color="auto" w:fill="auto"/>
            <w:vAlign w:val="center"/>
          </w:tcPr>
          <w:p w14:paraId="43BE8A3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325" w:type="pct"/>
            <w:tcBorders>
              <w:top w:val="single" w:color="000000" w:sz="4" w:space="0"/>
              <w:left w:val="single" w:color="000000" w:sz="4" w:space="0"/>
              <w:bottom w:val="single" w:color="auto" w:sz="4" w:space="0"/>
              <w:right w:val="single" w:color="000000" w:sz="4" w:space="0"/>
            </w:tcBorders>
            <w:shd w:val="clear" w:color="auto" w:fill="auto"/>
            <w:vAlign w:val="center"/>
          </w:tcPr>
          <w:p w14:paraId="5FB01C8C">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258" w:type="pct"/>
            <w:tcBorders>
              <w:top w:val="single" w:color="000000" w:sz="4" w:space="0"/>
              <w:left w:val="single" w:color="000000" w:sz="4" w:space="0"/>
              <w:bottom w:val="single" w:color="auto" w:sz="4" w:space="0"/>
              <w:right w:val="single" w:color="000000" w:sz="4" w:space="0"/>
            </w:tcBorders>
            <w:shd w:val="clear" w:color="auto" w:fill="auto"/>
            <w:vAlign w:val="center"/>
          </w:tcPr>
          <w:p w14:paraId="3073EC9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88" w:type="pct"/>
            <w:tcBorders>
              <w:top w:val="single" w:color="000000" w:sz="4" w:space="0"/>
              <w:left w:val="single" w:color="000000" w:sz="4" w:space="0"/>
              <w:bottom w:val="single" w:color="auto" w:sz="4" w:space="0"/>
              <w:right w:val="single" w:color="000000" w:sz="4" w:space="0"/>
            </w:tcBorders>
            <w:shd w:val="clear" w:color="auto" w:fill="auto"/>
            <w:vAlign w:val="center"/>
          </w:tcPr>
          <w:p w14:paraId="313777D3">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直接赋分</w:t>
            </w:r>
          </w:p>
        </w:tc>
        <w:tc>
          <w:tcPr>
            <w:tcW w:w="296" w:type="pct"/>
            <w:tcBorders>
              <w:top w:val="single" w:color="000000" w:sz="4" w:space="0"/>
              <w:left w:val="single" w:color="000000" w:sz="4" w:space="0"/>
              <w:bottom w:val="single" w:color="auto" w:sz="4" w:space="0"/>
              <w:right w:val="single" w:color="000000" w:sz="4" w:space="0"/>
            </w:tcBorders>
            <w:shd w:val="clear" w:color="auto" w:fill="auto"/>
            <w:vAlign w:val="center"/>
          </w:tcPr>
          <w:p w14:paraId="52D2A3A8">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373" w:type="pct"/>
            <w:tcBorders>
              <w:top w:val="single" w:color="000000" w:sz="4" w:space="0"/>
              <w:left w:val="single" w:color="000000" w:sz="4" w:space="0"/>
              <w:bottom w:val="single" w:color="auto" w:sz="4" w:space="0"/>
              <w:right w:val="single" w:color="000000" w:sz="4" w:space="0"/>
            </w:tcBorders>
            <w:shd w:val="clear" w:color="auto" w:fill="auto"/>
            <w:vAlign w:val="center"/>
          </w:tcPr>
          <w:p w14:paraId="46E4996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2024年11月</w:t>
            </w:r>
            <w:r>
              <w:rPr>
                <w:rFonts w:hint="eastAsia" w:ascii="宋体" w:hAnsi="宋体" w:cs="宋体"/>
                <w:i w:val="0"/>
                <w:iCs w:val="0"/>
                <w:color w:val="000000"/>
                <w:kern w:val="0"/>
                <w:sz w:val="18"/>
                <w:szCs w:val="18"/>
                <w:u w:val="none"/>
                <w:lang w:val="en-US" w:eastAsia="zh-CN" w:bidi="ar"/>
              </w:rPr>
              <w:t>28</w:t>
            </w:r>
            <w:r>
              <w:rPr>
                <w:rFonts w:hint="eastAsia" w:ascii="宋体" w:hAnsi="宋体" w:eastAsia="宋体" w:cs="宋体"/>
                <w:i w:val="0"/>
                <w:iCs w:val="0"/>
                <w:color w:val="000000"/>
                <w:kern w:val="0"/>
                <w:sz w:val="18"/>
                <w:szCs w:val="18"/>
                <w:u w:val="none"/>
                <w:lang w:val="en-US" w:eastAsia="zh-CN" w:bidi="ar"/>
              </w:rPr>
              <w:t>日</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7238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76A7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6F180">
            <w:pPr>
              <w:jc w:val="center"/>
              <w:rPr>
                <w:rFonts w:hint="eastAsia" w:ascii="仿宋_GB2312" w:hAnsi="仿宋_GB2312" w:eastAsia="仿宋_GB2312" w:cs="仿宋_GB2312"/>
                <w:b/>
                <w:bCs/>
                <w:i w:val="0"/>
                <w:iCs w:val="0"/>
                <w:color w:val="000000"/>
                <w:sz w:val="18"/>
                <w:szCs w:val="18"/>
                <w:u w:val="none"/>
              </w:rPr>
            </w:pPr>
          </w:p>
        </w:tc>
      </w:tr>
      <w:tr w14:paraId="2E45A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BB911">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right w:val="single" w:color="auto" w:sz="4" w:space="0"/>
            </w:tcBorders>
            <w:shd w:val="clear" w:color="auto" w:fill="auto"/>
            <w:vAlign w:val="center"/>
          </w:tcPr>
          <w:p w14:paraId="69D2390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443" w:type="pct"/>
            <w:tcBorders>
              <w:top w:val="single" w:color="auto" w:sz="4" w:space="0"/>
              <w:left w:val="single" w:color="auto" w:sz="4" w:space="0"/>
              <w:bottom w:val="single" w:color="auto" w:sz="4" w:space="0"/>
              <w:right w:val="single" w:color="000000" w:sz="4" w:space="0"/>
            </w:tcBorders>
            <w:shd w:val="clear" w:color="auto" w:fill="auto"/>
            <w:noWrap/>
            <w:vAlign w:val="center"/>
          </w:tcPr>
          <w:p w14:paraId="76E8E10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536" w:type="pct"/>
            <w:tcBorders>
              <w:top w:val="single" w:color="auto" w:sz="4" w:space="0"/>
              <w:left w:val="single" w:color="000000" w:sz="4" w:space="0"/>
              <w:bottom w:val="single" w:color="auto" w:sz="4" w:space="0"/>
              <w:right w:val="single" w:color="000000" w:sz="4" w:space="0"/>
            </w:tcBorders>
            <w:shd w:val="clear" w:color="auto" w:fill="auto"/>
            <w:vAlign w:val="center"/>
          </w:tcPr>
          <w:p w14:paraId="19FC1F5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补贴库尔勒市香梨产业发展有限公司金额</w:t>
            </w:r>
          </w:p>
        </w:tc>
        <w:tc>
          <w:tcPr>
            <w:tcW w:w="313" w:type="pct"/>
            <w:tcBorders>
              <w:top w:val="single" w:color="auto" w:sz="4" w:space="0"/>
              <w:left w:val="single" w:color="000000" w:sz="4" w:space="0"/>
              <w:bottom w:val="single" w:color="auto" w:sz="4" w:space="0"/>
              <w:right w:val="single" w:color="000000" w:sz="4" w:space="0"/>
            </w:tcBorders>
            <w:shd w:val="clear" w:color="auto" w:fill="auto"/>
            <w:vAlign w:val="center"/>
          </w:tcPr>
          <w:p w14:paraId="481CE008">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&lt;=229.58万元</w:t>
            </w:r>
          </w:p>
        </w:tc>
        <w:tc>
          <w:tcPr>
            <w:tcW w:w="346" w:type="pct"/>
            <w:tcBorders>
              <w:top w:val="single" w:color="auto" w:sz="4" w:space="0"/>
              <w:left w:val="single" w:color="000000" w:sz="4" w:space="0"/>
              <w:bottom w:val="single" w:color="auto" w:sz="4" w:space="0"/>
              <w:right w:val="single" w:color="000000" w:sz="4" w:space="0"/>
            </w:tcBorders>
            <w:shd w:val="clear" w:color="auto" w:fill="auto"/>
            <w:vAlign w:val="center"/>
          </w:tcPr>
          <w:p w14:paraId="3F175E53">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325" w:type="pct"/>
            <w:tcBorders>
              <w:top w:val="single" w:color="auto" w:sz="4" w:space="0"/>
              <w:left w:val="single" w:color="000000" w:sz="4" w:space="0"/>
              <w:bottom w:val="single" w:color="auto" w:sz="4" w:space="0"/>
              <w:right w:val="single" w:color="000000" w:sz="4" w:space="0"/>
            </w:tcBorders>
            <w:shd w:val="clear" w:color="auto" w:fill="auto"/>
            <w:vAlign w:val="center"/>
          </w:tcPr>
          <w:p w14:paraId="06B1034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258" w:type="pct"/>
            <w:tcBorders>
              <w:top w:val="single" w:color="auto" w:sz="4" w:space="0"/>
              <w:left w:val="single" w:color="000000" w:sz="4" w:space="0"/>
              <w:bottom w:val="single" w:color="auto" w:sz="4" w:space="0"/>
              <w:right w:val="single" w:color="000000" w:sz="4" w:space="0"/>
            </w:tcBorders>
            <w:shd w:val="clear" w:color="auto" w:fill="auto"/>
            <w:vAlign w:val="center"/>
          </w:tcPr>
          <w:p w14:paraId="497BF76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88" w:type="pct"/>
            <w:tcBorders>
              <w:top w:val="single" w:color="auto" w:sz="4" w:space="0"/>
              <w:left w:val="single" w:color="000000" w:sz="4" w:space="0"/>
              <w:bottom w:val="single" w:color="auto" w:sz="4" w:space="0"/>
              <w:right w:val="single" w:color="000000" w:sz="4" w:space="0"/>
            </w:tcBorders>
            <w:shd w:val="clear" w:color="auto" w:fill="auto"/>
            <w:vAlign w:val="center"/>
          </w:tcPr>
          <w:p w14:paraId="7F728EC2">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296" w:type="pct"/>
            <w:tcBorders>
              <w:top w:val="single" w:color="auto" w:sz="4" w:space="0"/>
              <w:left w:val="single" w:color="000000" w:sz="4" w:space="0"/>
              <w:bottom w:val="single" w:color="auto" w:sz="4" w:space="0"/>
              <w:right w:val="single" w:color="000000" w:sz="4" w:space="0"/>
            </w:tcBorders>
            <w:shd w:val="clear" w:color="auto" w:fill="auto"/>
            <w:vAlign w:val="center"/>
          </w:tcPr>
          <w:p w14:paraId="2EF8A5A9">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373" w:type="pct"/>
            <w:tcBorders>
              <w:top w:val="single" w:color="auto" w:sz="4" w:space="0"/>
              <w:left w:val="single" w:color="000000" w:sz="4" w:space="0"/>
              <w:bottom w:val="single" w:color="auto" w:sz="4" w:space="0"/>
              <w:right w:val="single" w:color="auto" w:sz="4" w:space="0"/>
            </w:tcBorders>
            <w:shd w:val="clear" w:color="auto" w:fill="auto"/>
            <w:vAlign w:val="center"/>
          </w:tcPr>
          <w:p w14:paraId="30C8E13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=229.58万元</w:t>
            </w:r>
          </w:p>
        </w:tc>
        <w:tc>
          <w:tcPr>
            <w:tcW w:w="278" w:type="pct"/>
            <w:tcBorders>
              <w:top w:val="single" w:color="000000" w:sz="4" w:space="0"/>
              <w:left w:val="single" w:color="auto" w:sz="4" w:space="0"/>
              <w:bottom w:val="single" w:color="000000" w:sz="4" w:space="0"/>
              <w:right w:val="single" w:color="000000" w:sz="4" w:space="0"/>
            </w:tcBorders>
            <w:shd w:val="clear" w:color="auto" w:fill="auto"/>
            <w:vAlign w:val="center"/>
          </w:tcPr>
          <w:p w14:paraId="5433C282">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0153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EA579">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p>
        </w:tc>
      </w:tr>
      <w:tr w14:paraId="3D33C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4781">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left w:val="single" w:color="000000" w:sz="4" w:space="0"/>
              <w:right w:val="single" w:color="auto" w:sz="4" w:space="0"/>
            </w:tcBorders>
            <w:shd w:val="clear" w:color="auto" w:fill="auto"/>
            <w:vAlign w:val="center"/>
          </w:tcPr>
          <w:p w14:paraId="4121E14A">
            <w:pPr>
              <w:jc w:val="center"/>
              <w:rPr>
                <w:rFonts w:hint="eastAsia" w:ascii="仿宋_GB2312" w:hAnsi="仿宋_GB2312" w:eastAsia="仿宋_GB2312" w:cs="仿宋_GB2312"/>
                <w:i w:val="0"/>
                <w:iCs w:val="0"/>
                <w:color w:val="000000"/>
                <w:sz w:val="18"/>
                <w:szCs w:val="18"/>
                <w:u w:val="none"/>
                <w:lang w:val="en-US" w:eastAsia="zh-CN"/>
              </w:rPr>
            </w:pPr>
          </w:p>
        </w:tc>
        <w:tc>
          <w:tcPr>
            <w:tcW w:w="443" w:type="pct"/>
            <w:tcBorders>
              <w:top w:val="single" w:color="auto" w:sz="4" w:space="0"/>
              <w:left w:val="single" w:color="auto" w:sz="4" w:space="0"/>
              <w:bottom w:val="single" w:color="auto" w:sz="4" w:space="0"/>
              <w:right w:val="single" w:color="000000" w:sz="4" w:space="0"/>
            </w:tcBorders>
            <w:shd w:val="clear" w:color="auto" w:fill="auto"/>
            <w:noWrap/>
            <w:vAlign w:val="center"/>
          </w:tcPr>
          <w:p w14:paraId="0028224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536" w:type="pct"/>
            <w:tcBorders>
              <w:top w:val="single" w:color="auto" w:sz="4" w:space="0"/>
              <w:left w:val="single" w:color="000000" w:sz="4" w:space="0"/>
              <w:bottom w:val="single" w:color="auto" w:sz="4" w:space="0"/>
              <w:right w:val="single" w:color="000000" w:sz="4" w:space="0"/>
            </w:tcBorders>
            <w:shd w:val="clear" w:color="auto" w:fill="auto"/>
            <w:vAlign w:val="center"/>
          </w:tcPr>
          <w:p w14:paraId="46F98D1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补贴库尔勒市中泰鸿茂畜牧发展有限公司金额</w:t>
            </w:r>
          </w:p>
        </w:tc>
        <w:tc>
          <w:tcPr>
            <w:tcW w:w="313" w:type="pct"/>
            <w:tcBorders>
              <w:top w:val="single" w:color="auto" w:sz="4" w:space="0"/>
              <w:left w:val="single" w:color="000000" w:sz="4" w:space="0"/>
              <w:bottom w:val="single" w:color="auto" w:sz="4" w:space="0"/>
              <w:right w:val="single" w:color="000000" w:sz="4" w:space="0"/>
            </w:tcBorders>
            <w:shd w:val="clear" w:color="auto" w:fill="auto"/>
            <w:vAlign w:val="center"/>
          </w:tcPr>
          <w:p w14:paraId="738B9A9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&lt;=157.24万元</w:t>
            </w:r>
          </w:p>
        </w:tc>
        <w:tc>
          <w:tcPr>
            <w:tcW w:w="346" w:type="pct"/>
            <w:tcBorders>
              <w:top w:val="single" w:color="auto" w:sz="4" w:space="0"/>
              <w:left w:val="single" w:color="000000" w:sz="4" w:space="0"/>
              <w:bottom w:val="single" w:color="auto" w:sz="4" w:space="0"/>
              <w:right w:val="single" w:color="000000" w:sz="4" w:space="0"/>
            </w:tcBorders>
            <w:shd w:val="clear" w:color="auto" w:fill="auto"/>
            <w:vAlign w:val="center"/>
          </w:tcPr>
          <w:p w14:paraId="742F542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325" w:type="pct"/>
            <w:tcBorders>
              <w:top w:val="single" w:color="auto" w:sz="4" w:space="0"/>
              <w:left w:val="single" w:color="000000" w:sz="4" w:space="0"/>
              <w:bottom w:val="single" w:color="auto" w:sz="4" w:space="0"/>
              <w:right w:val="single" w:color="000000" w:sz="4" w:space="0"/>
            </w:tcBorders>
            <w:shd w:val="clear" w:color="auto" w:fill="auto"/>
            <w:vAlign w:val="center"/>
          </w:tcPr>
          <w:p w14:paraId="3A9CB2E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258" w:type="pct"/>
            <w:tcBorders>
              <w:top w:val="single" w:color="auto" w:sz="4" w:space="0"/>
              <w:left w:val="single" w:color="000000" w:sz="4" w:space="0"/>
              <w:bottom w:val="single" w:color="auto" w:sz="4" w:space="0"/>
              <w:right w:val="single" w:color="000000" w:sz="4" w:space="0"/>
            </w:tcBorders>
            <w:shd w:val="clear" w:color="auto" w:fill="auto"/>
            <w:vAlign w:val="center"/>
          </w:tcPr>
          <w:p w14:paraId="092A605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8" w:type="pct"/>
            <w:tcBorders>
              <w:top w:val="single" w:color="auto" w:sz="4" w:space="0"/>
              <w:left w:val="single" w:color="000000" w:sz="4" w:space="0"/>
              <w:bottom w:val="single" w:color="auto" w:sz="4" w:space="0"/>
              <w:right w:val="single" w:color="000000" w:sz="4" w:space="0"/>
            </w:tcBorders>
            <w:shd w:val="clear" w:color="auto" w:fill="auto"/>
            <w:vAlign w:val="center"/>
          </w:tcPr>
          <w:p w14:paraId="060A6C1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296" w:type="pct"/>
            <w:tcBorders>
              <w:top w:val="single" w:color="auto" w:sz="4" w:space="0"/>
              <w:left w:val="single" w:color="000000" w:sz="4" w:space="0"/>
              <w:bottom w:val="single" w:color="auto" w:sz="4" w:space="0"/>
              <w:right w:val="single" w:color="000000" w:sz="4" w:space="0"/>
            </w:tcBorders>
            <w:shd w:val="clear" w:color="auto" w:fill="auto"/>
            <w:vAlign w:val="center"/>
          </w:tcPr>
          <w:p w14:paraId="1425F60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原始凭证</w:t>
            </w:r>
          </w:p>
        </w:tc>
        <w:tc>
          <w:tcPr>
            <w:tcW w:w="373" w:type="pct"/>
            <w:tcBorders>
              <w:top w:val="single" w:color="auto" w:sz="4" w:space="0"/>
              <w:left w:val="single" w:color="000000" w:sz="4" w:space="0"/>
              <w:bottom w:val="single" w:color="auto" w:sz="4" w:space="0"/>
              <w:right w:val="single" w:color="auto" w:sz="4" w:space="0"/>
            </w:tcBorders>
            <w:shd w:val="clear" w:color="auto" w:fill="auto"/>
            <w:vAlign w:val="center"/>
          </w:tcPr>
          <w:p w14:paraId="6F27926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=0万元</w:t>
            </w:r>
          </w:p>
        </w:tc>
        <w:tc>
          <w:tcPr>
            <w:tcW w:w="278" w:type="pct"/>
            <w:tcBorders>
              <w:top w:val="single" w:color="000000" w:sz="4" w:space="0"/>
              <w:left w:val="single" w:color="auto" w:sz="4" w:space="0"/>
              <w:bottom w:val="single" w:color="000000" w:sz="4" w:space="0"/>
              <w:right w:val="single" w:color="000000" w:sz="4" w:space="0"/>
            </w:tcBorders>
            <w:shd w:val="clear" w:color="auto" w:fill="auto"/>
            <w:vAlign w:val="center"/>
          </w:tcPr>
          <w:p w14:paraId="2BA8760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AC3F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403A2">
            <w:pPr>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原因：此项目与乡村振兴局乡村振兴衔接资金重复申领补贴资金，故未对中泰鸿茂畜牧进行补贴。改进措施：在今后的工作中将更好的规划资金使用计划。</w:t>
            </w:r>
          </w:p>
        </w:tc>
      </w:tr>
      <w:tr w14:paraId="57B27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8EA45">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left w:val="single" w:color="000000" w:sz="4" w:space="0"/>
              <w:right w:val="single" w:color="auto" w:sz="4" w:space="0"/>
            </w:tcBorders>
            <w:shd w:val="clear" w:color="auto" w:fill="auto"/>
            <w:vAlign w:val="center"/>
          </w:tcPr>
          <w:p w14:paraId="1FB69AB7">
            <w:pPr>
              <w:jc w:val="center"/>
              <w:rPr>
                <w:rFonts w:hint="eastAsia" w:ascii="仿宋_GB2312" w:hAnsi="仿宋_GB2312" w:eastAsia="仿宋_GB2312" w:cs="仿宋_GB2312"/>
                <w:i w:val="0"/>
                <w:iCs w:val="0"/>
                <w:color w:val="000000"/>
                <w:sz w:val="18"/>
                <w:szCs w:val="18"/>
                <w:u w:val="none"/>
                <w:lang w:val="en-US" w:eastAsia="zh-CN"/>
              </w:rPr>
            </w:pPr>
          </w:p>
        </w:tc>
        <w:tc>
          <w:tcPr>
            <w:tcW w:w="443" w:type="pct"/>
            <w:tcBorders>
              <w:top w:val="single" w:color="auto" w:sz="4" w:space="0"/>
              <w:left w:val="single" w:color="auto" w:sz="4" w:space="0"/>
              <w:bottom w:val="single" w:color="auto" w:sz="4" w:space="0"/>
              <w:right w:val="single" w:color="000000" w:sz="4" w:space="0"/>
            </w:tcBorders>
            <w:shd w:val="clear" w:color="auto" w:fill="auto"/>
            <w:noWrap/>
            <w:vAlign w:val="center"/>
          </w:tcPr>
          <w:p w14:paraId="6F75F50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536" w:type="pct"/>
            <w:tcBorders>
              <w:top w:val="single" w:color="auto" w:sz="4" w:space="0"/>
              <w:left w:val="single" w:color="000000" w:sz="4" w:space="0"/>
              <w:bottom w:val="single" w:color="auto" w:sz="4" w:space="0"/>
              <w:right w:val="single" w:color="000000" w:sz="4" w:space="0"/>
            </w:tcBorders>
            <w:shd w:val="clear" w:color="auto" w:fill="auto"/>
            <w:vAlign w:val="center"/>
          </w:tcPr>
          <w:p w14:paraId="1501E80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补贴新疆库尔勒铁克其乡上恰其村股份经济合作社</w:t>
            </w:r>
          </w:p>
        </w:tc>
        <w:tc>
          <w:tcPr>
            <w:tcW w:w="313" w:type="pct"/>
            <w:tcBorders>
              <w:top w:val="single" w:color="auto" w:sz="4" w:space="0"/>
              <w:left w:val="single" w:color="000000" w:sz="4" w:space="0"/>
              <w:bottom w:val="single" w:color="auto" w:sz="4" w:space="0"/>
              <w:right w:val="single" w:color="000000" w:sz="4" w:space="0"/>
            </w:tcBorders>
            <w:shd w:val="clear" w:color="auto" w:fill="auto"/>
            <w:vAlign w:val="center"/>
          </w:tcPr>
          <w:p w14:paraId="4274987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&lt;=27.66万元</w:t>
            </w:r>
          </w:p>
        </w:tc>
        <w:tc>
          <w:tcPr>
            <w:tcW w:w="346" w:type="pct"/>
            <w:tcBorders>
              <w:top w:val="single" w:color="auto" w:sz="4" w:space="0"/>
              <w:left w:val="single" w:color="000000" w:sz="4" w:space="0"/>
              <w:bottom w:val="single" w:color="auto" w:sz="4" w:space="0"/>
              <w:right w:val="single" w:color="000000" w:sz="4" w:space="0"/>
            </w:tcBorders>
            <w:shd w:val="clear" w:color="auto" w:fill="auto"/>
            <w:vAlign w:val="center"/>
          </w:tcPr>
          <w:p w14:paraId="4BDC2E9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325" w:type="pct"/>
            <w:tcBorders>
              <w:top w:val="single" w:color="auto" w:sz="4" w:space="0"/>
              <w:left w:val="single" w:color="000000" w:sz="4" w:space="0"/>
              <w:bottom w:val="single" w:color="auto" w:sz="4" w:space="0"/>
              <w:right w:val="single" w:color="000000" w:sz="4" w:space="0"/>
            </w:tcBorders>
            <w:shd w:val="clear" w:color="auto" w:fill="auto"/>
            <w:vAlign w:val="center"/>
          </w:tcPr>
          <w:p w14:paraId="7CFBD5C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258" w:type="pct"/>
            <w:tcBorders>
              <w:top w:val="single" w:color="auto" w:sz="4" w:space="0"/>
              <w:left w:val="single" w:color="000000" w:sz="4" w:space="0"/>
              <w:bottom w:val="single" w:color="auto" w:sz="4" w:space="0"/>
              <w:right w:val="single" w:color="000000" w:sz="4" w:space="0"/>
            </w:tcBorders>
            <w:shd w:val="clear" w:color="auto" w:fill="auto"/>
            <w:vAlign w:val="center"/>
          </w:tcPr>
          <w:p w14:paraId="1EADE6E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8" w:type="pct"/>
            <w:tcBorders>
              <w:top w:val="single" w:color="auto" w:sz="4" w:space="0"/>
              <w:left w:val="single" w:color="000000" w:sz="4" w:space="0"/>
              <w:bottom w:val="single" w:color="auto" w:sz="4" w:space="0"/>
              <w:right w:val="single" w:color="000000" w:sz="4" w:space="0"/>
            </w:tcBorders>
            <w:shd w:val="clear" w:color="auto" w:fill="auto"/>
            <w:vAlign w:val="center"/>
          </w:tcPr>
          <w:p w14:paraId="04BD86A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296" w:type="pct"/>
            <w:tcBorders>
              <w:top w:val="single" w:color="auto" w:sz="4" w:space="0"/>
              <w:left w:val="single" w:color="000000" w:sz="4" w:space="0"/>
              <w:bottom w:val="single" w:color="auto" w:sz="4" w:space="0"/>
              <w:right w:val="single" w:color="000000" w:sz="4" w:space="0"/>
            </w:tcBorders>
            <w:shd w:val="clear" w:color="auto" w:fill="auto"/>
            <w:vAlign w:val="center"/>
          </w:tcPr>
          <w:p w14:paraId="058EBC4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原始凭证</w:t>
            </w:r>
          </w:p>
        </w:tc>
        <w:tc>
          <w:tcPr>
            <w:tcW w:w="373" w:type="pct"/>
            <w:tcBorders>
              <w:top w:val="single" w:color="auto" w:sz="4" w:space="0"/>
              <w:left w:val="single" w:color="000000" w:sz="4" w:space="0"/>
              <w:bottom w:val="single" w:color="auto" w:sz="4" w:space="0"/>
              <w:right w:val="single" w:color="auto" w:sz="4" w:space="0"/>
            </w:tcBorders>
            <w:shd w:val="clear" w:color="auto" w:fill="auto"/>
            <w:vAlign w:val="center"/>
          </w:tcPr>
          <w:p w14:paraId="748F23F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=27.66万元</w:t>
            </w:r>
          </w:p>
        </w:tc>
        <w:tc>
          <w:tcPr>
            <w:tcW w:w="278" w:type="pct"/>
            <w:tcBorders>
              <w:top w:val="single" w:color="000000" w:sz="4" w:space="0"/>
              <w:left w:val="single" w:color="auto" w:sz="4" w:space="0"/>
              <w:bottom w:val="single" w:color="000000" w:sz="4" w:space="0"/>
              <w:right w:val="single" w:color="000000" w:sz="4" w:space="0"/>
            </w:tcBorders>
            <w:shd w:val="clear" w:color="auto" w:fill="auto"/>
            <w:vAlign w:val="center"/>
          </w:tcPr>
          <w:p w14:paraId="0DFFB2A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F61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4EC57">
            <w:pPr>
              <w:jc w:val="center"/>
              <w:rPr>
                <w:rFonts w:hint="eastAsia" w:ascii="宋体" w:hAnsi="宋体" w:eastAsia="宋体" w:cs="宋体"/>
                <w:i w:val="0"/>
                <w:iCs w:val="0"/>
                <w:color w:val="000000"/>
                <w:kern w:val="0"/>
                <w:sz w:val="20"/>
                <w:szCs w:val="20"/>
                <w:u w:val="none"/>
                <w:lang w:val="en-US" w:eastAsia="zh-CN" w:bidi="ar"/>
              </w:rPr>
            </w:pPr>
          </w:p>
        </w:tc>
      </w:tr>
      <w:tr w14:paraId="3D0CF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65873">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left w:val="single" w:color="000000" w:sz="4" w:space="0"/>
              <w:bottom w:val="single" w:color="000000" w:sz="4" w:space="0"/>
              <w:right w:val="single" w:color="auto" w:sz="4" w:space="0"/>
            </w:tcBorders>
            <w:shd w:val="clear" w:color="auto" w:fill="auto"/>
            <w:vAlign w:val="center"/>
          </w:tcPr>
          <w:p w14:paraId="6B7E0694">
            <w:pPr>
              <w:jc w:val="center"/>
              <w:rPr>
                <w:rFonts w:hint="eastAsia" w:ascii="仿宋_GB2312" w:hAnsi="仿宋_GB2312" w:eastAsia="仿宋_GB2312" w:cs="仿宋_GB2312"/>
                <w:i w:val="0"/>
                <w:iCs w:val="0"/>
                <w:color w:val="000000"/>
                <w:sz w:val="18"/>
                <w:szCs w:val="18"/>
                <w:u w:val="none"/>
                <w:lang w:val="en-US" w:eastAsia="zh-CN"/>
              </w:rPr>
            </w:pPr>
          </w:p>
        </w:tc>
        <w:tc>
          <w:tcPr>
            <w:tcW w:w="443" w:type="pct"/>
            <w:tcBorders>
              <w:top w:val="single" w:color="auto" w:sz="4" w:space="0"/>
              <w:left w:val="single" w:color="auto" w:sz="4" w:space="0"/>
              <w:bottom w:val="single" w:color="auto" w:sz="4" w:space="0"/>
              <w:right w:val="single" w:color="000000" w:sz="4" w:space="0"/>
            </w:tcBorders>
            <w:shd w:val="clear" w:color="auto" w:fill="auto"/>
            <w:noWrap/>
            <w:vAlign w:val="center"/>
          </w:tcPr>
          <w:p w14:paraId="7F6AA38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536" w:type="pct"/>
            <w:tcBorders>
              <w:top w:val="single" w:color="auto" w:sz="4" w:space="0"/>
              <w:left w:val="single" w:color="000000" w:sz="4" w:space="0"/>
              <w:bottom w:val="single" w:color="auto" w:sz="4" w:space="0"/>
              <w:right w:val="single" w:color="000000" w:sz="4" w:space="0"/>
            </w:tcBorders>
            <w:shd w:val="clear" w:color="auto" w:fill="auto"/>
            <w:vAlign w:val="center"/>
          </w:tcPr>
          <w:p w14:paraId="76DC240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补贴新疆博海市场管理有限公司金额</w:t>
            </w:r>
          </w:p>
        </w:tc>
        <w:tc>
          <w:tcPr>
            <w:tcW w:w="313" w:type="pct"/>
            <w:tcBorders>
              <w:top w:val="single" w:color="auto" w:sz="4" w:space="0"/>
              <w:left w:val="single" w:color="000000" w:sz="4" w:space="0"/>
              <w:bottom w:val="single" w:color="auto" w:sz="4" w:space="0"/>
              <w:right w:val="single" w:color="000000" w:sz="4" w:space="0"/>
            </w:tcBorders>
            <w:shd w:val="clear" w:color="auto" w:fill="auto"/>
            <w:vAlign w:val="center"/>
          </w:tcPr>
          <w:p w14:paraId="7949C26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&lt;=500万元</w:t>
            </w:r>
          </w:p>
        </w:tc>
        <w:tc>
          <w:tcPr>
            <w:tcW w:w="346" w:type="pct"/>
            <w:tcBorders>
              <w:top w:val="single" w:color="auto" w:sz="4" w:space="0"/>
              <w:left w:val="single" w:color="000000" w:sz="4" w:space="0"/>
              <w:bottom w:val="single" w:color="auto" w:sz="4" w:space="0"/>
              <w:right w:val="single" w:color="000000" w:sz="4" w:space="0"/>
            </w:tcBorders>
            <w:shd w:val="clear" w:color="auto" w:fill="auto"/>
            <w:vAlign w:val="center"/>
          </w:tcPr>
          <w:p w14:paraId="0878B03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325" w:type="pct"/>
            <w:tcBorders>
              <w:top w:val="single" w:color="auto" w:sz="4" w:space="0"/>
              <w:left w:val="single" w:color="000000" w:sz="4" w:space="0"/>
              <w:bottom w:val="single" w:color="auto" w:sz="4" w:space="0"/>
              <w:right w:val="single" w:color="000000" w:sz="4" w:space="0"/>
            </w:tcBorders>
            <w:shd w:val="clear" w:color="auto" w:fill="auto"/>
            <w:vAlign w:val="center"/>
          </w:tcPr>
          <w:p w14:paraId="4871CCC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258" w:type="pct"/>
            <w:tcBorders>
              <w:top w:val="single" w:color="auto" w:sz="4" w:space="0"/>
              <w:left w:val="single" w:color="000000" w:sz="4" w:space="0"/>
              <w:bottom w:val="single" w:color="auto" w:sz="4" w:space="0"/>
              <w:right w:val="single" w:color="000000" w:sz="4" w:space="0"/>
            </w:tcBorders>
            <w:shd w:val="clear" w:color="auto" w:fill="auto"/>
            <w:vAlign w:val="center"/>
          </w:tcPr>
          <w:p w14:paraId="0285AD5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8" w:type="pct"/>
            <w:tcBorders>
              <w:top w:val="single" w:color="auto" w:sz="4" w:space="0"/>
              <w:left w:val="single" w:color="000000" w:sz="4" w:space="0"/>
              <w:bottom w:val="single" w:color="auto" w:sz="4" w:space="0"/>
              <w:right w:val="single" w:color="000000" w:sz="4" w:space="0"/>
            </w:tcBorders>
            <w:shd w:val="clear" w:color="auto" w:fill="auto"/>
            <w:vAlign w:val="center"/>
          </w:tcPr>
          <w:p w14:paraId="29D133C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按照正常比例赋分</w:t>
            </w:r>
          </w:p>
        </w:tc>
        <w:tc>
          <w:tcPr>
            <w:tcW w:w="296" w:type="pct"/>
            <w:tcBorders>
              <w:top w:val="single" w:color="auto" w:sz="4" w:space="0"/>
              <w:left w:val="single" w:color="000000" w:sz="4" w:space="0"/>
              <w:bottom w:val="single" w:color="auto" w:sz="4" w:space="0"/>
              <w:right w:val="single" w:color="000000" w:sz="4" w:space="0"/>
            </w:tcBorders>
            <w:shd w:val="clear" w:color="auto" w:fill="auto"/>
            <w:vAlign w:val="center"/>
          </w:tcPr>
          <w:p w14:paraId="140A873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原始凭证</w:t>
            </w:r>
          </w:p>
        </w:tc>
        <w:tc>
          <w:tcPr>
            <w:tcW w:w="373" w:type="pct"/>
            <w:tcBorders>
              <w:top w:val="single" w:color="auto" w:sz="4" w:space="0"/>
              <w:left w:val="single" w:color="000000" w:sz="4" w:space="0"/>
              <w:bottom w:val="single" w:color="auto" w:sz="4" w:space="0"/>
              <w:right w:val="single" w:color="auto" w:sz="4" w:space="0"/>
            </w:tcBorders>
            <w:shd w:val="clear" w:color="auto" w:fill="auto"/>
            <w:vAlign w:val="center"/>
          </w:tcPr>
          <w:p w14:paraId="3581EE4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=500万元</w:t>
            </w:r>
          </w:p>
        </w:tc>
        <w:tc>
          <w:tcPr>
            <w:tcW w:w="278" w:type="pct"/>
            <w:tcBorders>
              <w:top w:val="single" w:color="000000" w:sz="4" w:space="0"/>
              <w:left w:val="single" w:color="auto" w:sz="4" w:space="0"/>
              <w:bottom w:val="single" w:color="000000" w:sz="4" w:space="0"/>
              <w:right w:val="single" w:color="000000" w:sz="4" w:space="0"/>
            </w:tcBorders>
            <w:shd w:val="clear" w:color="auto" w:fill="auto"/>
            <w:vAlign w:val="center"/>
          </w:tcPr>
          <w:p w14:paraId="0E45B87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585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1CC45">
            <w:pPr>
              <w:jc w:val="center"/>
              <w:rPr>
                <w:rFonts w:hint="eastAsia" w:ascii="宋体" w:hAnsi="宋体" w:eastAsia="宋体" w:cs="宋体"/>
                <w:i w:val="0"/>
                <w:iCs w:val="0"/>
                <w:color w:val="000000"/>
                <w:kern w:val="0"/>
                <w:sz w:val="20"/>
                <w:szCs w:val="20"/>
                <w:u w:val="none"/>
                <w:lang w:val="en-US" w:eastAsia="zh-CN" w:bidi="ar"/>
              </w:rPr>
            </w:pPr>
          </w:p>
        </w:tc>
      </w:tr>
      <w:tr w14:paraId="050AC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03E69">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878DA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443" w:type="pct"/>
            <w:tcBorders>
              <w:top w:val="single" w:color="auto" w:sz="4" w:space="0"/>
              <w:left w:val="single" w:color="000000" w:sz="4" w:space="0"/>
              <w:bottom w:val="single" w:color="000000" w:sz="4" w:space="0"/>
              <w:right w:val="single" w:color="000000" w:sz="4" w:space="0"/>
            </w:tcBorders>
            <w:shd w:val="clear" w:color="auto" w:fill="auto"/>
            <w:vAlign w:val="center"/>
          </w:tcPr>
          <w:p w14:paraId="20D2AD1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536" w:type="pct"/>
            <w:tcBorders>
              <w:top w:val="single" w:color="auto" w:sz="4" w:space="0"/>
              <w:left w:val="single" w:color="000000" w:sz="4" w:space="0"/>
              <w:bottom w:val="single" w:color="000000" w:sz="4" w:space="0"/>
              <w:right w:val="single" w:color="000000" w:sz="4" w:space="0"/>
            </w:tcBorders>
            <w:shd w:val="clear" w:color="auto" w:fill="auto"/>
            <w:vAlign w:val="center"/>
          </w:tcPr>
          <w:p w14:paraId="18F7D00F">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改善优化县域消费渠道</w:t>
            </w:r>
          </w:p>
        </w:tc>
        <w:tc>
          <w:tcPr>
            <w:tcW w:w="313" w:type="pct"/>
            <w:tcBorders>
              <w:top w:val="single" w:color="auto" w:sz="4" w:space="0"/>
              <w:left w:val="single" w:color="000000" w:sz="4" w:space="0"/>
              <w:bottom w:val="single" w:color="000000" w:sz="4" w:space="0"/>
              <w:right w:val="single" w:color="000000" w:sz="4" w:space="0"/>
            </w:tcBorders>
            <w:shd w:val="clear" w:color="auto" w:fill="auto"/>
            <w:vAlign w:val="center"/>
          </w:tcPr>
          <w:p w14:paraId="419C546E">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有效改善</w:t>
            </w:r>
          </w:p>
        </w:tc>
        <w:tc>
          <w:tcPr>
            <w:tcW w:w="346" w:type="pct"/>
            <w:tcBorders>
              <w:top w:val="single" w:color="auto" w:sz="4" w:space="0"/>
              <w:left w:val="single" w:color="000000" w:sz="4" w:space="0"/>
              <w:bottom w:val="single" w:color="000000" w:sz="4" w:space="0"/>
              <w:right w:val="single" w:color="000000" w:sz="4" w:space="0"/>
            </w:tcBorders>
            <w:shd w:val="clear" w:color="auto" w:fill="auto"/>
            <w:vAlign w:val="center"/>
          </w:tcPr>
          <w:p w14:paraId="56B29697">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325" w:type="pct"/>
            <w:tcBorders>
              <w:top w:val="single" w:color="auto" w:sz="4" w:space="0"/>
              <w:left w:val="single" w:color="000000" w:sz="4" w:space="0"/>
              <w:bottom w:val="single" w:color="000000" w:sz="4" w:space="0"/>
              <w:right w:val="single" w:color="000000" w:sz="4" w:space="0"/>
            </w:tcBorders>
            <w:shd w:val="clear" w:color="auto" w:fill="auto"/>
            <w:vAlign w:val="center"/>
          </w:tcPr>
          <w:p w14:paraId="36B6F173">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258" w:type="pct"/>
            <w:tcBorders>
              <w:top w:val="single" w:color="auto" w:sz="4" w:space="0"/>
              <w:left w:val="single" w:color="000000" w:sz="4" w:space="0"/>
              <w:bottom w:val="single" w:color="000000" w:sz="4" w:space="0"/>
              <w:right w:val="single" w:color="000000" w:sz="4" w:space="0"/>
            </w:tcBorders>
            <w:shd w:val="clear" w:color="auto" w:fill="auto"/>
            <w:vAlign w:val="center"/>
          </w:tcPr>
          <w:p w14:paraId="2DF5CEF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88" w:type="pct"/>
            <w:tcBorders>
              <w:top w:val="single" w:color="auto" w:sz="4" w:space="0"/>
              <w:left w:val="single" w:color="000000" w:sz="4" w:space="0"/>
              <w:bottom w:val="single" w:color="000000" w:sz="4" w:space="0"/>
              <w:right w:val="single" w:color="000000" w:sz="4" w:space="0"/>
            </w:tcBorders>
            <w:shd w:val="clear" w:color="auto" w:fill="auto"/>
            <w:vAlign w:val="center"/>
          </w:tcPr>
          <w:p w14:paraId="66F54070">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96" w:type="pct"/>
            <w:tcBorders>
              <w:top w:val="single" w:color="auto" w:sz="4" w:space="0"/>
              <w:left w:val="single" w:color="000000" w:sz="4" w:space="0"/>
              <w:bottom w:val="single" w:color="000000" w:sz="4" w:space="0"/>
              <w:right w:val="single" w:color="000000" w:sz="4" w:space="0"/>
            </w:tcBorders>
            <w:shd w:val="clear" w:color="auto" w:fill="auto"/>
            <w:vAlign w:val="center"/>
          </w:tcPr>
          <w:p w14:paraId="109DD707">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373" w:type="pct"/>
            <w:tcBorders>
              <w:top w:val="single" w:color="auto" w:sz="4" w:space="0"/>
              <w:left w:val="single" w:color="000000" w:sz="4" w:space="0"/>
              <w:bottom w:val="single" w:color="000000" w:sz="4" w:space="0"/>
              <w:right w:val="single" w:color="000000" w:sz="4" w:space="0"/>
            </w:tcBorders>
            <w:shd w:val="clear" w:color="auto" w:fill="auto"/>
            <w:vAlign w:val="center"/>
          </w:tcPr>
          <w:p w14:paraId="0A3604D4">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有效改善</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2D478">
            <w:pP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89792">
            <w:pPr>
              <w:keepNext w:val="0"/>
              <w:keepLines w:val="0"/>
              <w:widowControl/>
              <w:suppressLineNumbers w:val="0"/>
              <w:jc w:val="center"/>
              <w:textAlignment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5ECC8">
            <w:pPr>
              <w:jc w:val="center"/>
              <w:rPr>
                <w:rFonts w:hint="eastAsia" w:ascii="仿宋_GB2312" w:hAnsi="仿宋_GB2312" w:eastAsia="仿宋_GB2312" w:cs="仿宋_GB2312"/>
                <w:i w:val="0"/>
                <w:iCs w:val="0"/>
                <w:color w:val="000000"/>
                <w:sz w:val="18"/>
                <w:szCs w:val="18"/>
                <w:u w:val="none"/>
              </w:rPr>
            </w:pPr>
          </w:p>
        </w:tc>
      </w:tr>
      <w:tr w14:paraId="2DBC7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C728C">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C8604">
            <w:pPr>
              <w:jc w:val="center"/>
              <w:rPr>
                <w:rFonts w:hint="eastAsia" w:ascii="仿宋_GB2312" w:hAnsi="仿宋_GB2312" w:eastAsia="仿宋_GB2312" w:cs="仿宋_GB2312"/>
                <w:i w:val="0"/>
                <w:iCs w:val="0"/>
                <w:color w:val="000000"/>
                <w:sz w:val="18"/>
                <w:szCs w:val="18"/>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A950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F6522">
            <w:pPr>
              <w:jc w:val="center"/>
              <w:rPr>
                <w:rFonts w:hint="eastAsia" w:ascii="仿宋_GB2312" w:hAnsi="仿宋_GB2312" w:eastAsia="仿宋_GB2312" w:cs="仿宋_GB2312"/>
                <w:i w:val="0"/>
                <w:iCs w:val="0"/>
                <w:color w:val="000000"/>
                <w:sz w:val="18"/>
                <w:szCs w:val="18"/>
                <w:u w:val="none"/>
              </w:rPr>
            </w:pP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FE390">
            <w:pPr>
              <w:jc w:val="center"/>
              <w:rPr>
                <w:rFonts w:hint="eastAsia" w:ascii="仿宋_GB2312" w:hAnsi="仿宋_GB2312" w:eastAsia="仿宋_GB2312" w:cs="仿宋_GB2312"/>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B55D3">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30896">
            <w:pPr>
              <w:jc w:val="center"/>
              <w:rPr>
                <w:rFonts w:hint="eastAsia" w:ascii="仿宋_GB2312" w:hAnsi="仿宋_GB2312" w:eastAsia="仿宋_GB2312" w:cs="仿宋_GB2312"/>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1FDCF">
            <w:pPr>
              <w:jc w:val="center"/>
              <w:rPr>
                <w:rFonts w:hint="eastAsia" w:ascii="仿宋_GB2312" w:hAnsi="仿宋_GB2312" w:eastAsia="仿宋_GB2312" w:cs="仿宋_GB2312"/>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D5353">
            <w:pPr>
              <w:jc w:val="center"/>
              <w:rPr>
                <w:rFonts w:hint="eastAsia" w:ascii="仿宋_GB2312" w:hAnsi="仿宋_GB2312" w:eastAsia="仿宋_GB2312" w:cs="仿宋_GB2312"/>
                <w:i w:val="0"/>
                <w:iCs w:val="0"/>
                <w:color w:val="000000"/>
                <w:sz w:val="18"/>
                <w:szCs w:val="18"/>
                <w:u w:val="none"/>
              </w:rPr>
            </w:pP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78DA8">
            <w:pPr>
              <w:jc w:val="center"/>
              <w:rPr>
                <w:rFonts w:hint="eastAsia" w:ascii="仿宋_GB2312" w:hAnsi="仿宋_GB2312" w:eastAsia="仿宋_GB2312" w:cs="仿宋_GB2312"/>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B4F16">
            <w:pPr>
              <w:jc w:val="center"/>
              <w:rPr>
                <w:rFonts w:hint="eastAsia" w:ascii="仿宋_GB2312" w:hAnsi="仿宋_GB2312" w:eastAsia="仿宋_GB2312" w:cs="仿宋_GB2312"/>
                <w:i w:val="0"/>
                <w:iCs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4BF8F">
            <w:pPr>
              <w:jc w:val="center"/>
              <w:rPr>
                <w:rFonts w:hint="eastAsia" w:ascii="仿宋_GB2312" w:hAnsi="仿宋_GB2312" w:eastAsia="仿宋_GB2312" w:cs="仿宋_GB2312"/>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AE593">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FFED4">
            <w:pPr>
              <w:jc w:val="center"/>
              <w:rPr>
                <w:rFonts w:hint="eastAsia" w:ascii="仿宋_GB2312" w:hAnsi="仿宋_GB2312" w:eastAsia="仿宋_GB2312" w:cs="仿宋_GB2312"/>
                <w:i w:val="0"/>
                <w:iCs w:val="0"/>
                <w:color w:val="000000"/>
                <w:sz w:val="18"/>
                <w:szCs w:val="18"/>
                <w:u w:val="none"/>
              </w:rPr>
            </w:pPr>
          </w:p>
        </w:tc>
      </w:tr>
      <w:tr w14:paraId="39275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D3EE1">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3AF4A">
            <w:pPr>
              <w:jc w:val="center"/>
              <w:rPr>
                <w:rFonts w:hint="eastAsia" w:ascii="仿宋_GB2312" w:hAnsi="仿宋_GB2312" w:eastAsia="仿宋_GB2312" w:cs="仿宋_GB2312"/>
                <w:i w:val="0"/>
                <w:iCs w:val="0"/>
                <w:color w:val="000000"/>
                <w:sz w:val="18"/>
                <w:szCs w:val="18"/>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B7A0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9A02B">
            <w:pPr>
              <w:jc w:val="center"/>
              <w:rPr>
                <w:rFonts w:hint="eastAsia" w:ascii="仿宋_GB2312" w:hAnsi="仿宋_GB2312" w:eastAsia="仿宋_GB2312" w:cs="仿宋_GB2312"/>
                <w:i w:val="0"/>
                <w:iCs w:val="0"/>
                <w:color w:val="000000"/>
                <w:sz w:val="18"/>
                <w:szCs w:val="18"/>
                <w:u w:val="none"/>
              </w:rPr>
            </w:pP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B1FD0">
            <w:pPr>
              <w:jc w:val="center"/>
              <w:rPr>
                <w:rFonts w:hint="eastAsia" w:ascii="仿宋_GB2312" w:hAnsi="仿宋_GB2312" w:eastAsia="仿宋_GB2312" w:cs="仿宋_GB2312"/>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9554C">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1E457">
            <w:pPr>
              <w:jc w:val="center"/>
              <w:rPr>
                <w:rFonts w:hint="eastAsia" w:ascii="仿宋_GB2312" w:hAnsi="仿宋_GB2312" w:eastAsia="仿宋_GB2312" w:cs="仿宋_GB2312"/>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7296B">
            <w:pPr>
              <w:jc w:val="center"/>
              <w:rPr>
                <w:rFonts w:hint="eastAsia" w:ascii="仿宋_GB2312" w:hAnsi="仿宋_GB2312" w:eastAsia="仿宋_GB2312" w:cs="仿宋_GB2312"/>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4AF38">
            <w:pPr>
              <w:jc w:val="center"/>
              <w:rPr>
                <w:rFonts w:hint="eastAsia" w:ascii="仿宋_GB2312" w:hAnsi="仿宋_GB2312" w:eastAsia="仿宋_GB2312" w:cs="仿宋_GB2312"/>
                <w:i w:val="0"/>
                <w:iCs w:val="0"/>
                <w:color w:val="000000"/>
                <w:sz w:val="18"/>
                <w:szCs w:val="18"/>
                <w:u w:val="none"/>
              </w:rPr>
            </w:pP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1009D">
            <w:pPr>
              <w:jc w:val="center"/>
              <w:rPr>
                <w:rFonts w:hint="eastAsia" w:ascii="仿宋_GB2312" w:hAnsi="仿宋_GB2312" w:eastAsia="仿宋_GB2312" w:cs="仿宋_GB2312"/>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B6067">
            <w:pPr>
              <w:jc w:val="center"/>
              <w:rPr>
                <w:rFonts w:hint="eastAsia" w:ascii="仿宋_GB2312" w:hAnsi="仿宋_GB2312" w:eastAsia="仿宋_GB2312" w:cs="仿宋_GB2312"/>
                <w:i w:val="0"/>
                <w:iCs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95204">
            <w:pPr>
              <w:jc w:val="center"/>
              <w:rPr>
                <w:rFonts w:hint="eastAsia" w:ascii="仿宋_GB2312" w:hAnsi="仿宋_GB2312" w:eastAsia="仿宋_GB2312" w:cs="仿宋_GB2312"/>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D3B38">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ADC64">
            <w:pPr>
              <w:jc w:val="center"/>
              <w:rPr>
                <w:rFonts w:hint="eastAsia" w:ascii="仿宋_GB2312" w:hAnsi="仿宋_GB2312" w:eastAsia="仿宋_GB2312" w:cs="仿宋_GB2312"/>
                <w:i w:val="0"/>
                <w:iCs w:val="0"/>
                <w:color w:val="000000"/>
                <w:sz w:val="18"/>
                <w:szCs w:val="18"/>
                <w:u w:val="none"/>
              </w:rPr>
            </w:pPr>
          </w:p>
        </w:tc>
      </w:tr>
      <w:tr w14:paraId="57CA9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9EED1">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AC77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4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D52E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2F92E">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补贴企业满意度</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06972">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&gt;=95%</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12C8E">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42BF6">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0808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4F715">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5289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15DC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644AA">
            <w:pP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105.26%</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4B70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D989D">
            <w:pPr>
              <w:jc w:val="center"/>
              <w:rPr>
                <w:rFonts w:hint="eastAsia" w:ascii="仿宋_GB2312" w:hAnsi="仿宋_GB2312" w:eastAsia="仿宋_GB2312" w:cs="仿宋_GB2312"/>
                <w:i w:val="0"/>
                <w:iCs w:val="0"/>
                <w:color w:val="000000"/>
                <w:sz w:val="18"/>
                <w:szCs w:val="18"/>
                <w:u w:val="none"/>
              </w:rPr>
            </w:pPr>
          </w:p>
        </w:tc>
      </w:tr>
      <w:tr w14:paraId="59FA3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758" w:type="pct"/>
            <w:gridSpan w:val="4"/>
            <w:tcBorders>
              <w:top w:val="single" w:color="000000" w:sz="4" w:space="0"/>
              <w:left w:val="single" w:color="000000" w:sz="4" w:space="0"/>
              <w:bottom w:val="single" w:color="000000" w:sz="4" w:space="0"/>
              <w:right w:val="nil"/>
            </w:tcBorders>
            <w:shd w:val="clear" w:color="auto" w:fill="auto"/>
            <w:vAlign w:val="center"/>
          </w:tcPr>
          <w:p w14:paraId="00CA61B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4FA35">
            <w:pPr>
              <w:jc w:val="center"/>
              <w:rPr>
                <w:rFonts w:hint="eastAsia" w:ascii="仿宋_GB2312" w:hAnsi="仿宋_GB2312" w:eastAsia="仿宋_GB2312" w:cs="仿宋_GB2312"/>
                <w:i w:val="0"/>
                <w:iCs w:val="0"/>
                <w:color w:val="000000"/>
                <w:sz w:val="18"/>
                <w:szCs w:val="18"/>
                <w:u w:val="none"/>
              </w:rPr>
            </w:pPr>
          </w:p>
        </w:tc>
        <w:tc>
          <w:tcPr>
            <w:tcW w:w="346" w:type="pct"/>
            <w:tcBorders>
              <w:top w:val="single" w:color="000000" w:sz="4" w:space="0"/>
              <w:left w:val="nil"/>
              <w:bottom w:val="single" w:color="000000" w:sz="4" w:space="0"/>
              <w:right w:val="single" w:color="000000" w:sz="4" w:space="0"/>
            </w:tcBorders>
            <w:shd w:val="clear" w:color="auto" w:fill="auto"/>
            <w:vAlign w:val="center"/>
          </w:tcPr>
          <w:p w14:paraId="63DE1C68">
            <w:pPr>
              <w:rPr>
                <w:rFonts w:hint="eastAsia" w:ascii="仿宋_GB2312" w:hAnsi="仿宋_GB2312"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C91CC">
            <w:pPr>
              <w:jc w:val="center"/>
              <w:rPr>
                <w:rFonts w:hint="eastAsia" w:ascii="仿宋_GB2312" w:hAnsi="仿宋_GB2312" w:eastAsia="仿宋_GB2312" w:cs="仿宋_GB2312"/>
                <w:i w:val="0"/>
                <w:iCs w:val="0"/>
                <w:color w:val="000000"/>
                <w:sz w:val="18"/>
                <w:szCs w:val="18"/>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C4829">
            <w:pPr>
              <w:jc w:val="center"/>
              <w:rPr>
                <w:rFonts w:hint="eastAsia" w:ascii="仿宋_GB2312" w:hAnsi="仿宋_GB2312" w:eastAsia="仿宋_GB2312" w:cs="仿宋_GB2312"/>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20923">
            <w:pPr>
              <w:jc w:val="center"/>
              <w:rPr>
                <w:rFonts w:hint="eastAsia" w:ascii="仿宋_GB2312" w:hAnsi="仿宋_GB2312" w:eastAsia="仿宋_GB2312" w:cs="仿宋_GB2312"/>
                <w:i w:val="0"/>
                <w:iCs w:val="0"/>
                <w:color w:val="000000"/>
                <w:sz w:val="18"/>
                <w:szCs w:val="18"/>
                <w:u w:val="none"/>
              </w:rPr>
            </w:pP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B8B7C">
            <w:pPr>
              <w:rPr>
                <w:rFonts w:hint="eastAsia" w:ascii="仿宋_GB2312" w:hAnsi="仿宋_GB2312" w:eastAsia="仿宋_GB2312" w:cs="仿宋_GB2312"/>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B2F30">
            <w:pPr>
              <w:rPr>
                <w:rFonts w:hint="eastAsia" w:ascii="仿宋_GB2312" w:hAnsi="仿宋_GB2312" w:eastAsia="仿宋_GB2312" w:cs="仿宋_GB2312"/>
                <w:i w:val="0"/>
                <w:iCs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C3885">
            <w:pPr>
              <w:rPr>
                <w:rFonts w:hint="eastAsia" w:ascii="仿宋_GB2312" w:hAnsi="仿宋_GB2312" w:eastAsia="仿宋_GB2312" w:cs="仿宋_GB2312"/>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5457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88.28分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D757F">
            <w:pPr>
              <w:rPr>
                <w:rFonts w:hint="eastAsia" w:ascii="仿宋_GB2312" w:hAnsi="仿宋_GB2312" w:eastAsia="仿宋_GB2312" w:cs="仿宋_GB2312"/>
                <w:i w:val="0"/>
                <w:iCs w:val="0"/>
                <w:color w:val="000000"/>
                <w:sz w:val="18"/>
                <w:szCs w:val="18"/>
                <w:u w:val="none"/>
              </w:rPr>
            </w:pPr>
          </w:p>
        </w:tc>
      </w:tr>
    </w:tbl>
    <w:p w14:paraId="129C2E79">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1A98979">
        <w:pPr>
          <w:pStyle w:val="8"/>
          <w:jc w:val="center"/>
        </w:pPr>
        <w:r>
          <w:fldChar w:fldCharType="begin"/>
        </w:r>
        <w:r>
          <w:instrText xml:space="preserve">PAGE   \* MERGEFORMAT</w:instrText>
        </w:r>
        <w:r>
          <w:fldChar w:fldCharType="separate"/>
        </w:r>
        <w:r>
          <w:rPr>
            <w:lang w:val="zh-CN"/>
          </w:rPr>
          <w:t>13</w:t>
        </w:r>
        <w:r>
          <w:fldChar w:fldCharType="end"/>
        </w:r>
      </w:p>
    </w:sdtContent>
  </w:sdt>
  <w:p w14:paraId="2F8EA00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AD6F60"/>
    <w:rsid w:val="00F26FF6"/>
    <w:rsid w:val="01610122"/>
    <w:rsid w:val="0195585B"/>
    <w:rsid w:val="02510197"/>
    <w:rsid w:val="03EC461B"/>
    <w:rsid w:val="0461077D"/>
    <w:rsid w:val="07397B77"/>
    <w:rsid w:val="0AD007F3"/>
    <w:rsid w:val="0C552C67"/>
    <w:rsid w:val="0E3C619F"/>
    <w:rsid w:val="0FD56864"/>
    <w:rsid w:val="100F38EC"/>
    <w:rsid w:val="107E20DE"/>
    <w:rsid w:val="11170296"/>
    <w:rsid w:val="12C66037"/>
    <w:rsid w:val="12CD1ABC"/>
    <w:rsid w:val="13471461"/>
    <w:rsid w:val="13B90F01"/>
    <w:rsid w:val="155E4C4D"/>
    <w:rsid w:val="165D5F4F"/>
    <w:rsid w:val="181066D2"/>
    <w:rsid w:val="1C671E73"/>
    <w:rsid w:val="1D322C47"/>
    <w:rsid w:val="1F1C595D"/>
    <w:rsid w:val="204E4112"/>
    <w:rsid w:val="23616034"/>
    <w:rsid w:val="23696C97"/>
    <w:rsid w:val="24480FA2"/>
    <w:rsid w:val="25227A45"/>
    <w:rsid w:val="26AC3A6A"/>
    <w:rsid w:val="2B9D7E25"/>
    <w:rsid w:val="2C7C7A3B"/>
    <w:rsid w:val="2F364819"/>
    <w:rsid w:val="2FD63906"/>
    <w:rsid w:val="37215DAE"/>
    <w:rsid w:val="38CA40DD"/>
    <w:rsid w:val="395F2B56"/>
    <w:rsid w:val="3B370B1D"/>
    <w:rsid w:val="3BBA0580"/>
    <w:rsid w:val="3BECE841"/>
    <w:rsid w:val="3CDE204C"/>
    <w:rsid w:val="3D363C36"/>
    <w:rsid w:val="3E9C3F6D"/>
    <w:rsid w:val="3FF7797D"/>
    <w:rsid w:val="45A17BF5"/>
    <w:rsid w:val="46690BD8"/>
    <w:rsid w:val="49F70BF1"/>
    <w:rsid w:val="4B4340EE"/>
    <w:rsid w:val="503D507A"/>
    <w:rsid w:val="51FA74D0"/>
    <w:rsid w:val="52AA4A52"/>
    <w:rsid w:val="57F40F42"/>
    <w:rsid w:val="58411F63"/>
    <w:rsid w:val="59943D66"/>
    <w:rsid w:val="59E051FD"/>
    <w:rsid w:val="59E6355E"/>
    <w:rsid w:val="5A41393D"/>
    <w:rsid w:val="5B821531"/>
    <w:rsid w:val="5BCE3031"/>
    <w:rsid w:val="5BFF6039"/>
    <w:rsid w:val="5D76A616"/>
    <w:rsid w:val="5D7F20B9"/>
    <w:rsid w:val="5DAC7D0E"/>
    <w:rsid w:val="5F033B6A"/>
    <w:rsid w:val="5F98B5AF"/>
    <w:rsid w:val="5FFE8511"/>
    <w:rsid w:val="5FFEACE2"/>
    <w:rsid w:val="609D5BF6"/>
    <w:rsid w:val="61073070"/>
    <w:rsid w:val="61B9080E"/>
    <w:rsid w:val="61DF3FED"/>
    <w:rsid w:val="642B176B"/>
    <w:rsid w:val="643EE26D"/>
    <w:rsid w:val="656019A0"/>
    <w:rsid w:val="65F242EE"/>
    <w:rsid w:val="666D7E19"/>
    <w:rsid w:val="68376930"/>
    <w:rsid w:val="68F91E38"/>
    <w:rsid w:val="6B3158B9"/>
    <w:rsid w:val="6BA02A3F"/>
    <w:rsid w:val="6C1E5A53"/>
    <w:rsid w:val="6EEA65D9"/>
    <w:rsid w:val="6F5C41AC"/>
    <w:rsid w:val="6FAF6C78"/>
    <w:rsid w:val="716167CC"/>
    <w:rsid w:val="718A7AD1"/>
    <w:rsid w:val="72A44BC2"/>
    <w:rsid w:val="7317C656"/>
    <w:rsid w:val="734ED73F"/>
    <w:rsid w:val="73C82B32"/>
    <w:rsid w:val="73F94DAE"/>
    <w:rsid w:val="74220495"/>
    <w:rsid w:val="747D1B6F"/>
    <w:rsid w:val="749E5641"/>
    <w:rsid w:val="76271066"/>
    <w:rsid w:val="76E712D2"/>
    <w:rsid w:val="77704DEE"/>
    <w:rsid w:val="77FD8BE9"/>
    <w:rsid w:val="78000AED"/>
    <w:rsid w:val="79A9BD3F"/>
    <w:rsid w:val="7B776F12"/>
    <w:rsid w:val="7BFFFDD0"/>
    <w:rsid w:val="7C336E5F"/>
    <w:rsid w:val="7C8D4919"/>
    <w:rsid w:val="7D7A5F86"/>
    <w:rsid w:val="7D9538AA"/>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autoSpaceDE w:val="0"/>
      <w:autoSpaceDN w:val="0"/>
      <w:spacing w:before="80" w:after="120"/>
      <w:outlineLvl w:val="1"/>
    </w:pPr>
    <w:rPr>
      <w:rFonts w:eastAsia="楷体" w:asciiTheme="majorHAnsi" w:hAnsiTheme="majorHAnsi" w:cstheme="majorBidi"/>
      <w:b/>
      <w:bCs/>
      <w:color w:val="000000"/>
      <w:szCs w:val="26"/>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32</Pages>
  <Words>14644</Words>
  <Characters>15435</Characters>
  <Lines>58</Lines>
  <Paragraphs>16</Paragraphs>
  <TotalTime>4</TotalTime>
  <ScaleCrop>false</ScaleCrop>
  <LinksUpToDate>false</LinksUpToDate>
  <CharactersWithSpaces>15461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cp:lastPrinted>2025-04-29T10:16:00Z</cp:lastPrinted>
  <dcterms:modified xsi:type="dcterms:W3CDTF">2025-08-13T11:09:49Z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F9CA2D5A3FA646CAB11DC52450BD9669_13</vt:lpwstr>
  </property>
  <property fmtid="{D5CDD505-2E9C-101B-9397-08002B2CF9AE}" pid="4" name="KSOTemplateDocerSaveRecord">
    <vt:lpwstr>eyJoZGlkIjoiYTRkOTIwZjc5YmU2ZTY5MjQ2MTljMmZlZWEzNGY0OTAiLCJ1c2VySWQiOiI0MzUzMjU0MzcifQ==</vt:lpwstr>
  </property>
</Properties>
</file>