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库尔勒市商务和工业信息化局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2024年度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hint="eastAsia" w:ascii="黑体" w:hAnsi="黑体" w:eastAsia="黑体"/>
          <w:sz w:val="32"/>
          <w:szCs w:val="32"/>
          <w:highlight w:val="none"/>
        </w:rPr>
      </w:pPr>
      <w:r>
        <w:rPr>
          <w:rFonts w:hint="eastAsia" w:ascii="仿宋_GB2312" w:hAnsi="仿宋_GB2312" w:eastAsia="仿宋_GB2312" w:cs="仿宋_GB2312"/>
          <w:sz w:val="32"/>
          <w:szCs w:val="32"/>
          <w:highlight w:val="none"/>
        </w:rPr>
        <w:fldChar w:fldCharType="end"/>
      </w:r>
      <w:r>
        <w:rPr>
          <w:rFonts w:hint="eastAsia" w:ascii="仿宋_GB2312" w:eastAsia="仿宋_GB2312"/>
          <w:sz w:val="32"/>
          <w:szCs w:val="32"/>
          <w:highlight w:val="none"/>
        </w:rPr>
        <w:br w:type="page"/>
      </w:r>
      <w:bookmarkStart w:id="0" w:name="_Toc24028"/>
      <w:bookmarkStart w:id="1" w:name="_Toc31918"/>
      <w:r>
        <w:rPr>
          <w:rFonts w:hint="eastAsia" w:ascii="黑体" w:hAnsi="黑体" w:eastAsia="黑体"/>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kern w:val="0"/>
          <w:sz w:val="32"/>
          <w:szCs w:val="32"/>
          <w:highlight w:val="none"/>
        </w:rPr>
      </w:pPr>
      <w:bookmarkStart w:id="2" w:name="_Toc30738"/>
      <w:bookmarkStart w:id="3" w:name="_Toc2898"/>
      <w:r>
        <w:rPr>
          <w:rFonts w:hint="eastAsia" w:ascii="黑体" w:hAnsi="黑体" w:eastAsia="黑体" w:cs="宋体"/>
          <w:bCs/>
          <w:kern w:val="0"/>
          <w:sz w:val="32"/>
          <w:szCs w:val="32"/>
          <w:highlight w:val="none"/>
        </w:rPr>
        <w:t>一、主要职能</w:t>
      </w:r>
      <w:bookmarkEnd w:id="2"/>
      <w:bookmarkEnd w:id="3"/>
    </w:p>
    <w:p>
      <w:pPr>
        <w:keepNext w:val="0"/>
        <w:keepLines w:val="0"/>
        <w:pageBreakBefore w:val="0"/>
        <w:kinsoku/>
        <w:wordWrap/>
        <w:overflowPunct/>
        <w:topLinePunct w:val="0"/>
        <w:autoSpaceDE/>
        <w:autoSpaceDN/>
        <w:bidi w:val="0"/>
        <w:adjustRightInd/>
        <w:spacing w:line="240" w:lineRule="auto"/>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一</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贯彻执行国家内外贸易、国际经济合作发展战略、政策，贯彻执行招商引资、对外经济合作、外商投资、对外投资和对外援助的地方性法规、规章和有关政策措施并组织实施；研究拟订库尔勒市商务领域有关政策并组织实施；研究“一带一路”、“中巴经济走廊综合承载区”、区域经济合作、现代流通方式和流通体制改革方面的政策意见及相关建议。</w:t>
      </w:r>
    </w:p>
    <w:p>
      <w:pPr>
        <w:keepNext w:val="0"/>
        <w:keepLines w:val="0"/>
        <w:pageBreakBefore w:val="0"/>
        <w:kinsoku/>
        <w:wordWrap/>
        <w:overflowPunct/>
        <w:topLinePunct w:val="0"/>
        <w:autoSpaceDE/>
        <w:autoSpaceDN/>
        <w:bidi w:val="0"/>
        <w:adjustRightInd/>
        <w:spacing w:line="240" w:lineRule="auto"/>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二</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推进流通产业结构调整，指导流通企业改革、商贸服 务业和社区商业发展，提出促进商贸中小企业发展的政策建议，推动流通标准化和连锁经营、物流配送、电子商务等现代流通方式的发展，配合上级有关部门做好商业特许经营相关工作。</w:t>
      </w:r>
    </w:p>
    <w:p>
      <w:pPr>
        <w:keepNext w:val="0"/>
        <w:keepLines w:val="0"/>
        <w:pageBreakBefore w:val="0"/>
        <w:kinsoku/>
        <w:wordWrap/>
        <w:overflowPunct/>
        <w:topLinePunct w:val="0"/>
        <w:autoSpaceDE/>
        <w:autoSpaceDN/>
        <w:bidi w:val="0"/>
        <w:adjustRightInd/>
        <w:spacing w:line="240" w:lineRule="auto"/>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三</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拟订全市贸易发展规划，促进城乡市场发展，执行引导国内外资金投向市场体系建设的政策，指导大宗产品批发市场规划和城市商业网点规划、商业体系建设工作，推进有关农村市场体系建设，组织实施农村现代流通网络工程。</w:t>
      </w:r>
    </w:p>
    <w:p>
      <w:pPr>
        <w:keepNext w:val="0"/>
        <w:keepLines w:val="0"/>
        <w:pageBreakBefore w:val="0"/>
        <w:kinsoku/>
        <w:wordWrap/>
        <w:overflowPunct/>
        <w:topLinePunct w:val="0"/>
        <w:autoSpaceDE/>
        <w:autoSpaceDN/>
        <w:bidi w:val="0"/>
        <w:adjustRightInd/>
        <w:spacing w:line="240" w:lineRule="auto"/>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四</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牵头协调整顿和规范市场经济秩序工作，拟订规范市场运行、流通秩序的政策意见，推动商务领域信用建设，指导商业信用销售；参与建立市场诚信公共服务平台，配合上级业务主管部门对特殊流通行业进行监督管理。</w:t>
      </w:r>
    </w:p>
    <w:p>
      <w:pPr>
        <w:keepNext w:val="0"/>
        <w:keepLines w:val="0"/>
        <w:pageBreakBefore w:val="0"/>
        <w:kinsoku/>
        <w:wordWrap/>
        <w:overflowPunct/>
        <w:topLinePunct w:val="0"/>
        <w:autoSpaceDE/>
        <w:autoSpaceDN/>
        <w:bidi w:val="0"/>
        <w:adjustRightInd/>
        <w:spacing w:line="240" w:lineRule="auto"/>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五</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组织实施库尔勒市重要消费品市场调控和重要生产资料流通管理，负责建立健全库尔勒市生活必需品市场供应应急管理机制，监测分析市场运行、商品供求状况，调查分析商品价格信息，进行预测预警和信息引导；按分工负责重要消费品储备管理和市场调控工作，配合上级业务主管部门对成品油流通环节进行监督管理；负责全市酒类流通工作。</w:t>
      </w:r>
    </w:p>
    <w:p>
      <w:pPr>
        <w:keepNext w:val="0"/>
        <w:keepLines w:val="0"/>
        <w:pageBreakBefore w:val="0"/>
        <w:kinsoku/>
        <w:wordWrap/>
        <w:overflowPunct/>
        <w:topLinePunct w:val="0"/>
        <w:autoSpaceDE/>
        <w:autoSpaceDN/>
        <w:bidi w:val="0"/>
        <w:adjustRightInd/>
        <w:spacing w:line="240" w:lineRule="auto"/>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六</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贯彻执行上级外贸进出口中长期发展战略和促进外贸发展方式转变的政策措施；执行国家、自治区、自治州进出口商品管理办法和进出口商品、技术目录；贯彻国家和自治区、自治州加工贸易政策，指导库尔勒市贸易促进活动和外贸促进体系建设。</w:t>
      </w:r>
    </w:p>
    <w:p>
      <w:pPr>
        <w:keepNext w:val="0"/>
        <w:keepLines w:val="0"/>
        <w:pageBreakBefore w:val="0"/>
        <w:kinsoku/>
        <w:wordWrap/>
        <w:overflowPunct/>
        <w:topLinePunct w:val="0"/>
        <w:autoSpaceDE/>
        <w:autoSpaceDN/>
        <w:bidi w:val="0"/>
        <w:adjustRightInd/>
        <w:spacing w:line="240" w:lineRule="auto"/>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七</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组织实施国家对外技术贸易、出口管制以及鼓励技术和成套设备进出口的贸易政策，推进地方进出口贸易标准化工作；依法贯彻执行国家和自治区、自治州有关监督技术引进、设备进口、国家限制出口技术的工作。</w:t>
      </w:r>
    </w:p>
    <w:p>
      <w:pPr>
        <w:keepNext w:val="0"/>
        <w:keepLines w:val="0"/>
        <w:pageBreakBefore w:val="0"/>
        <w:kinsoku/>
        <w:wordWrap/>
        <w:overflowPunct/>
        <w:topLinePunct w:val="0"/>
        <w:autoSpaceDE/>
        <w:autoSpaceDN/>
        <w:bidi w:val="0"/>
        <w:adjustRightInd/>
        <w:spacing w:line="240" w:lineRule="auto"/>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八</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贯彻执行国家有关边境贸易的各项政策并组织实施。牵头拟订服务贸易发展规划并开展相关工作；负责会展业促进和管理工作；落实国家、自治区、自治州促进服务出口和服务外包相关工作。</w:t>
      </w:r>
    </w:p>
    <w:p>
      <w:pPr>
        <w:keepNext w:val="0"/>
        <w:keepLines w:val="0"/>
        <w:pageBreakBefore w:val="0"/>
        <w:kinsoku/>
        <w:wordWrap/>
        <w:overflowPunct/>
        <w:topLinePunct w:val="0"/>
        <w:autoSpaceDE/>
        <w:autoSpaceDN/>
        <w:bidi w:val="0"/>
        <w:adjustRightInd/>
        <w:spacing w:line="240" w:lineRule="auto"/>
        <w:ind w:left="0" w:leftChars="0"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九</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贯彻落实国家、自治区关于协调反倾销、反补贴、保障措施及其与进出口公平贸易相关的工作；配合依法开展对外贸易调查和产业损害调查，指导协调产业安全应对工作及国外对自治州出口商品反倾销、反补贴、保障措施的应诉工作。</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十</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贯彻执行国家、自治区、自治州有关外商投资政策，推进和指导本市外商投资工作；参与拟订库尔勒市外商投资政策并组织实施；协助上级主管部门依法审核国家、自治区、自治州规定权限内的外商投资企业的设立和变更事项；协助上级主管部门依法核准权限内外商投资企业项目的合同、章程及变更事项；协助上级主管部门依法监督检查外商投资企业执行有关法律和规章、合同章程的情况并协调解决有关问题；协助上级主管部门指导和管理库尔勒市外商投资企业的设立的申报、审批和年检工作，规范对外招商引资活动，参与指导园区、跨境经贸合作等相关工作</w:t>
      </w:r>
      <w:r>
        <w:rPr>
          <w:rFonts w:hint="eastAsia" w:ascii="方正仿宋_GBK" w:hAnsi="方正仿宋_GBK" w:eastAsia="方正仿宋_GBK" w:cs="方正仿宋_GBK"/>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 w:name="_Toc31238"/>
      <w:bookmarkStart w:id="5" w:name="_Toc1387"/>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库尔勒市商务和工业信息化局</w:t>
      </w: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实有人数</w:t>
      </w:r>
      <w:r>
        <w:rPr>
          <w:rFonts w:hint="eastAsia" w:ascii="仿宋_GB2312" w:eastAsia="仿宋_GB2312"/>
          <w:sz w:val="32"/>
          <w:szCs w:val="32"/>
          <w:highlight w:val="none"/>
          <w:lang w:val="en-US" w:eastAsia="zh-CN"/>
        </w:rPr>
        <w:t>87</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en-US" w:eastAsia="zh-CN"/>
        </w:rPr>
        <w:t>31</w:t>
      </w:r>
      <w:r>
        <w:rPr>
          <w:rFonts w:hint="eastAsia" w:ascii="仿宋_GB2312" w:eastAsia="仿宋_GB2312"/>
          <w:sz w:val="32"/>
          <w:szCs w:val="32"/>
          <w:highlight w:val="none"/>
        </w:rPr>
        <w:t>人</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减少1人</w:t>
      </w:r>
      <w:r>
        <w:rPr>
          <w:rFonts w:hint="eastAsia" w:ascii="仿宋_GB2312" w:hAnsi="宋体" w:eastAsia="仿宋_GB2312" w:cs="宋体"/>
          <w:color w:val="auto"/>
          <w:kern w:val="0"/>
          <w:sz w:val="32"/>
          <w:szCs w:val="32"/>
          <w:highlight w:val="none"/>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w:t>
      </w:r>
      <w:r>
        <w:rPr>
          <w:rFonts w:hint="eastAsia" w:ascii="仿宋_GB2312" w:hAnsi="宋体" w:eastAsia="仿宋_GB2312" w:cs="宋体"/>
          <w:color w:val="auto"/>
          <w:kern w:val="0"/>
          <w:sz w:val="32"/>
          <w:szCs w:val="32"/>
          <w:highlight w:val="none"/>
        </w:rPr>
        <w:t>；</w:t>
      </w:r>
      <w:r>
        <w:rPr>
          <w:rFonts w:hint="eastAsia" w:ascii="仿宋_GB2312" w:eastAsia="仿宋_GB2312"/>
          <w:sz w:val="32"/>
          <w:szCs w:val="32"/>
          <w:highlight w:val="none"/>
        </w:rPr>
        <w:t>退休人员</w:t>
      </w:r>
      <w:r>
        <w:rPr>
          <w:rFonts w:hint="eastAsia" w:ascii="仿宋_GB2312" w:eastAsia="仿宋_GB2312"/>
          <w:sz w:val="32"/>
          <w:szCs w:val="32"/>
          <w:highlight w:val="none"/>
          <w:lang w:val="en-US" w:eastAsia="zh-CN"/>
        </w:rPr>
        <w:t>56</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减少1</w:t>
      </w:r>
      <w:r>
        <w:rPr>
          <w:rFonts w:hint="eastAsia" w:ascii="仿宋_GB2312" w:hAnsi="宋体" w:eastAsia="仿宋_GB2312" w:cs="宋体"/>
          <w:color w:val="auto"/>
          <w:kern w:val="0"/>
          <w:sz w:val="32"/>
          <w:szCs w:val="32"/>
          <w:highlight w:val="none"/>
        </w:rPr>
        <w:t>人</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20" w:firstLineChars="200"/>
        <w:textAlignment w:val="auto"/>
        <w:rPr>
          <w:rFonts w:hint="default" w:ascii="仿宋_GB2312" w:eastAsia="仿宋_GB2312"/>
          <w:spacing w:val="0"/>
          <w:sz w:val="32"/>
          <w:szCs w:val="32"/>
          <w:highlight w:val="none"/>
          <w:lang w:val="en-US" w:eastAsia="zh-CN"/>
        </w:rPr>
      </w:pPr>
      <w:r>
        <w:rPr>
          <w:rFonts w:hint="default" w:ascii="Times New Roman" w:hAnsi="Times New Roman" w:eastAsia="仿宋_GB2312" w:cs="Times New Roman"/>
          <w:bCs/>
          <w:color w:val="auto"/>
          <w:kern w:val="0"/>
          <w:sz w:val="31"/>
          <w:szCs w:val="31"/>
        </w:rPr>
        <w:t>单位无下属预算单位，下设</w:t>
      </w:r>
      <w:r>
        <w:rPr>
          <w:rFonts w:hint="default" w:ascii="Times New Roman" w:hAnsi="Times New Roman" w:eastAsia="仿宋_GB2312" w:cs="Times New Roman"/>
          <w:color w:val="auto"/>
          <w:sz w:val="31"/>
          <w:szCs w:val="31"/>
          <w:lang w:val="en-US" w:eastAsia="zh-CN"/>
        </w:rPr>
        <w:t>8</w:t>
      </w:r>
      <w:r>
        <w:rPr>
          <w:rFonts w:hint="default" w:ascii="Times New Roman" w:hAnsi="Times New Roman" w:eastAsia="仿宋_GB2312" w:cs="Times New Roman"/>
          <w:bCs/>
          <w:color w:val="auto"/>
          <w:kern w:val="0"/>
          <w:sz w:val="31"/>
          <w:szCs w:val="31"/>
        </w:rPr>
        <w:t>个处室，分别是：</w:t>
      </w:r>
      <w:r>
        <w:rPr>
          <w:rFonts w:hint="default" w:ascii="Times New Roman" w:hAnsi="Times New Roman" w:eastAsia="仿宋_GB2312" w:cs="Times New Roman"/>
          <w:color w:val="auto"/>
          <w:kern w:val="0"/>
          <w:sz w:val="31"/>
          <w:szCs w:val="31"/>
        </w:rPr>
        <w:t>办公室（党建办公室）、执法股、电子商务和信息化股、招商引资和会展管理股、工业产业股、投资装备股、市场建设与流通发展股、市场运行调节与外资外贸合作股。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6" w:name="_Toc7559"/>
      <w:bookmarkStart w:id="7" w:name="_Toc3092"/>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8" w:name="_Toc12566"/>
      <w:bookmarkStart w:id="9" w:name="_Toc6321"/>
      <w:r>
        <w:rPr>
          <w:rFonts w:hint="eastAsia" w:ascii="黑体" w:hAnsi="黑体" w:eastAsia="黑体" w:cs="宋体"/>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pacing w:val="0"/>
          <w:sz w:val="32"/>
          <w:szCs w:val="32"/>
          <w:highlight w:val="none"/>
          <w:lang w:val="en-US" w:eastAsia="zh-CN"/>
        </w:rPr>
        <w:t>收入总计</w:t>
      </w:r>
      <w:r>
        <w:rPr>
          <w:rFonts w:ascii="仿宋_GB2312" w:eastAsia="仿宋_GB2312"/>
          <w:b w:val="0"/>
          <w:sz w:val="32"/>
          <w:szCs w:val="32"/>
        </w:rPr>
        <w:t>3,719.83</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其中：本年收入合计</w:t>
      </w:r>
      <w:r>
        <w:rPr>
          <w:rFonts w:ascii="仿宋_GB2312" w:eastAsia="仿宋_GB2312"/>
          <w:b w:val="0"/>
          <w:sz w:val="32"/>
          <w:szCs w:val="32"/>
        </w:rPr>
        <w:t>3,719.83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，使用非财政拨款结余（含专用结余）</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，年初结转和结余</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支出</w:t>
      </w:r>
      <w:r>
        <w:rPr>
          <w:rFonts w:hint="eastAsia" w:ascii="仿宋_GB2312" w:eastAsia="仿宋_GB2312"/>
          <w:b/>
          <w:bCs/>
          <w:sz w:val="32"/>
          <w:szCs w:val="32"/>
          <w:highlight w:val="none"/>
          <w:lang w:val="en-US" w:eastAsia="zh-CN"/>
        </w:rPr>
        <w:t>总计</w:t>
      </w:r>
      <w:r>
        <w:rPr>
          <w:rFonts w:ascii="仿宋_GB2312" w:eastAsia="仿宋_GB2312"/>
          <w:b w:val="0"/>
          <w:sz w:val="32"/>
          <w:szCs w:val="32"/>
        </w:rPr>
        <w:t>3,719.83</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其中：本年支出合计</w:t>
      </w:r>
      <w:r>
        <w:rPr>
          <w:rFonts w:ascii="仿宋_GB2312" w:eastAsia="仿宋_GB2312"/>
          <w:b w:val="0"/>
          <w:sz w:val="32"/>
          <w:szCs w:val="32"/>
        </w:rPr>
        <w:t>3,719.83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结余分配0.00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，年末结转和结余</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hAnsi="仿宋_GB2312" w:eastAsia="仿宋_GB2312" w:cs="仿宋_GB2312"/>
          <w:b/>
          <w:bCs w:val="0"/>
          <w:kern w:val="0"/>
          <w:sz w:val="32"/>
          <w:szCs w:val="32"/>
          <w:highlight w:val="none"/>
        </w:rPr>
        <w:t>收入支出总体</w:t>
      </w:r>
      <w:r>
        <w:rPr>
          <w:rFonts w:hint="eastAsia" w:ascii="仿宋_GB2312" w:eastAsia="仿宋_GB2312"/>
          <w:b/>
          <w:bCs w:val="0"/>
          <w:sz w:val="32"/>
          <w:szCs w:val="32"/>
          <w:highlight w:val="none"/>
        </w:rPr>
        <w:t>与上年相比</w:t>
      </w:r>
      <w:r>
        <w:rPr>
          <w:rFonts w:hint="eastAsia" w:ascii="仿宋_GB2312" w:eastAsia="仿宋_GB2312"/>
          <w:b/>
          <w:bCs w:val="0"/>
          <w:sz w:val="32"/>
          <w:szCs w:val="32"/>
          <w:highlight w:val="none"/>
          <w:lang w:eastAsia="zh-CN"/>
        </w:rPr>
        <w:t>，</w:t>
      </w:r>
      <w:r>
        <w:rPr>
          <w:rFonts w:hint="eastAsia" w:ascii="仿宋_GB2312" w:eastAsia="仿宋_GB2312"/>
          <w:sz w:val="32"/>
          <w:szCs w:val="32"/>
          <w:highlight w:val="none"/>
        </w:rPr>
        <w:t>增加</w:t>
      </w:r>
      <w:r>
        <w:rPr>
          <w:rFonts w:ascii="仿宋_GB2312" w:eastAsia="仿宋_GB2312"/>
          <w:b w:val="0"/>
          <w:sz w:val="32"/>
          <w:szCs w:val="32"/>
        </w:rPr>
        <w:t>1,674.20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增长</w:t>
      </w:r>
      <w:r>
        <w:rPr>
          <w:rFonts w:ascii="仿宋_GB2312" w:eastAsia="仿宋_GB2312"/>
          <w:b w:val="0"/>
          <w:sz w:val="32"/>
          <w:szCs w:val="32"/>
        </w:rPr>
        <w:t>81.84%</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b w:val="0"/>
          <w:sz w:val="32"/>
          <w:szCs w:val="32"/>
          <w:lang w:val="en-US" w:eastAsia="zh-CN"/>
        </w:rPr>
        <w:t>2024年新增汽车消费补贴1165.20万元；上级拨入2024年第二批外经贸发展专项资金431.10万元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10" w:name="_Toc6311"/>
      <w:bookmarkStart w:id="11" w:name="_Toc1979"/>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rPr>
        <w:t>本年收入</w:t>
      </w:r>
      <w:r>
        <w:rPr>
          <w:rFonts w:ascii="仿宋_GB2312" w:eastAsia="仿宋_GB2312"/>
          <w:b w:val="0"/>
          <w:sz w:val="32"/>
          <w:szCs w:val="32"/>
        </w:rPr>
        <w:t>1,674.20</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其中：财政拨款收入</w:t>
      </w:r>
      <w:r>
        <w:rPr>
          <w:rFonts w:ascii="仿宋_GB2312" w:eastAsia="仿宋_GB2312"/>
          <w:b w:val="0"/>
          <w:sz w:val="32"/>
          <w:szCs w:val="32"/>
        </w:rPr>
        <w:t>3,639.83</w:t>
      </w:r>
      <w:r>
        <w:rPr>
          <w:rFonts w:hint="eastAsia" w:ascii="仿宋_GB2312" w:eastAsia="仿宋_GB2312"/>
          <w:sz w:val="32"/>
          <w:szCs w:val="32"/>
          <w:highlight w:val="none"/>
        </w:rPr>
        <w:t>万元，占</w:t>
      </w:r>
      <w:r>
        <w:rPr>
          <w:rFonts w:ascii="仿宋_GB2312" w:eastAsia="仿宋_GB2312"/>
          <w:b w:val="0"/>
          <w:sz w:val="32"/>
          <w:szCs w:val="32"/>
        </w:rPr>
        <w:t>97.85%</w:t>
      </w:r>
      <w:r>
        <w:rPr>
          <w:rFonts w:hint="eastAsia" w:ascii="仿宋_GB2312" w:eastAsia="仿宋_GB2312"/>
          <w:sz w:val="32"/>
          <w:szCs w:val="32"/>
          <w:highlight w:val="none"/>
        </w:rPr>
        <w:t>；上级补助收入</w:t>
      </w:r>
      <w:r>
        <w:rPr>
          <w:rFonts w:ascii="仿宋_GB2312" w:eastAsia="仿宋_GB2312"/>
          <w:b w:val="0"/>
          <w:sz w:val="32"/>
          <w:szCs w:val="32"/>
        </w:rPr>
        <w:t>0.00</w:t>
      </w:r>
      <w:r>
        <w:rPr>
          <w:rFonts w:hint="eastAsia" w:ascii="仿宋_GB2312" w:eastAsia="仿宋_GB2312"/>
          <w:sz w:val="32"/>
          <w:szCs w:val="32"/>
          <w:highlight w:val="none"/>
        </w:rPr>
        <w:t>万元，占</w:t>
      </w:r>
      <w:r>
        <w:rPr>
          <w:rFonts w:ascii="仿宋_GB2312" w:eastAsia="仿宋_GB2312"/>
          <w:b w:val="0"/>
          <w:sz w:val="32"/>
          <w:szCs w:val="32"/>
        </w:rPr>
        <w:t>0.00</w:t>
      </w:r>
      <w:r>
        <w:rPr>
          <w:rFonts w:hint="eastAsia" w:ascii="仿宋_GB2312" w:eastAsia="仿宋_GB2312"/>
          <w:sz w:val="32"/>
          <w:szCs w:val="32"/>
          <w:highlight w:val="none"/>
        </w:rPr>
        <w:t>%；事业收入</w:t>
      </w:r>
      <w:r>
        <w:rPr>
          <w:rFonts w:ascii="仿宋_GB2312" w:eastAsia="仿宋_GB2312"/>
          <w:b w:val="0"/>
          <w:sz w:val="32"/>
          <w:szCs w:val="32"/>
        </w:rPr>
        <w:t>0.00</w:t>
      </w:r>
      <w:r>
        <w:rPr>
          <w:rFonts w:hint="eastAsia" w:ascii="仿宋_GB2312" w:eastAsia="仿宋_GB2312"/>
          <w:sz w:val="32"/>
          <w:szCs w:val="32"/>
          <w:highlight w:val="none"/>
        </w:rPr>
        <w:t>万元，占</w:t>
      </w:r>
      <w:r>
        <w:rPr>
          <w:rFonts w:ascii="仿宋_GB2312" w:eastAsia="仿宋_GB2312"/>
          <w:b w:val="0"/>
          <w:sz w:val="32"/>
          <w:szCs w:val="32"/>
        </w:rPr>
        <w:t>0.00</w:t>
      </w:r>
      <w:r>
        <w:rPr>
          <w:rFonts w:hint="eastAsia" w:ascii="仿宋_GB2312" w:eastAsia="仿宋_GB2312"/>
          <w:sz w:val="32"/>
          <w:szCs w:val="32"/>
          <w:highlight w:val="none"/>
        </w:rPr>
        <w:t>%；经营收入</w:t>
      </w:r>
      <w:r>
        <w:rPr>
          <w:rFonts w:ascii="仿宋_GB2312" w:eastAsia="仿宋_GB2312"/>
          <w:b w:val="0"/>
          <w:sz w:val="32"/>
          <w:szCs w:val="32"/>
        </w:rPr>
        <w:t>0.00</w:t>
      </w:r>
      <w:r>
        <w:rPr>
          <w:rFonts w:hint="eastAsia" w:ascii="仿宋_GB2312" w:eastAsia="仿宋_GB2312"/>
          <w:sz w:val="32"/>
          <w:szCs w:val="32"/>
          <w:highlight w:val="none"/>
        </w:rPr>
        <w:t>万元，占</w:t>
      </w:r>
      <w:r>
        <w:rPr>
          <w:rFonts w:ascii="仿宋_GB2312" w:eastAsia="仿宋_GB2312"/>
          <w:b w:val="0"/>
          <w:sz w:val="32"/>
          <w:szCs w:val="32"/>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附属单位上缴收入</w:t>
      </w:r>
      <w:r>
        <w:rPr>
          <w:rFonts w:ascii="仿宋_GB2312" w:eastAsia="仿宋_GB2312"/>
          <w:b w:val="0"/>
          <w:sz w:val="32"/>
          <w:szCs w:val="32"/>
        </w:rPr>
        <w:t>0.00</w:t>
      </w:r>
      <w:r>
        <w:rPr>
          <w:rFonts w:hint="eastAsia" w:ascii="仿宋_GB2312" w:eastAsia="仿宋_GB2312"/>
          <w:sz w:val="32"/>
          <w:szCs w:val="32"/>
          <w:highlight w:val="none"/>
        </w:rPr>
        <w:t>万元，占</w:t>
      </w:r>
      <w:r>
        <w:rPr>
          <w:rFonts w:ascii="仿宋_GB2312" w:eastAsia="仿宋_GB2312"/>
          <w:b w:val="0"/>
          <w:sz w:val="32"/>
          <w:szCs w:val="32"/>
        </w:rPr>
        <w:t>0.00</w:t>
      </w:r>
      <w:r>
        <w:rPr>
          <w:rFonts w:hint="eastAsia" w:ascii="仿宋_GB2312" w:eastAsia="仿宋_GB2312"/>
          <w:sz w:val="32"/>
          <w:szCs w:val="32"/>
          <w:highlight w:val="none"/>
        </w:rPr>
        <w:t>%；其他收入</w:t>
      </w:r>
      <w:r>
        <w:rPr>
          <w:rFonts w:ascii="仿宋_GB2312" w:eastAsia="仿宋_GB2312"/>
          <w:b w:val="0"/>
          <w:sz w:val="32"/>
          <w:szCs w:val="32"/>
        </w:rPr>
        <w:t>80.00</w:t>
      </w:r>
      <w:r>
        <w:rPr>
          <w:rFonts w:hint="eastAsia" w:ascii="仿宋_GB2312" w:eastAsia="仿宋_GB2312"/>
          <w:sz w:val="32"/>
          <w:szCs w:val="32"/>
          <w:highlight w:val="none"/>
        </w:rPr>
        <w:t>万元，占</w:t>
      </w:r>
      <w:r>
        <w:rPr>
          <w:rFonts w:ascii="仿宋_GB2312" w:eastAsia="仿宋_GB2312"/>
          <w:b w:val="0"/>
          <w:sz w:val="32"/>
          <w:szCs w:val="32"/>
        </w:rPr>
        <w:t>2.15</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2" w:name="_Toc20629"/>
      <w:bookmarkStart w:id="13" w:name="_Toc27961"/>
      <w:r>
        <w:rPr>
          <w:rFonts w:hint="eastAsia" w:ascii="黑体" w:hAnsi="黑体" w:eastAsia="黑体" w:cs="宋体"/>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本年支出</w:t>
      </w:r>
      <w:r>
        <w:rPr>
          <w:rFonts w:ascii="仿宋_GB2312" w:eastAsia="仿宋_GB2312"/>
          <w:b w:val="0"/>
          <w:sz w:val="32"/>
          <w:szCs w:val="32"/>
        </w:rPr>
        <w:t>3,719.83</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其中：基本支出</w:t>
      </w:r>
      <w:r>
        <w:rPr>
          <w:rFonts w:ascii="仿宋_GB2312" w:eastAsia="仿宋_GB2312"/>
          <w:b w:val="0"/>
          <w:sz w:val="32"/>
          <w:szCs w:val="32"/>
        </w:rPr>
        <w:t>663.29</w:t>
      </w:r>
      <w:r>
        <w:rPr>
          <w:rFonts w:hint="eastAsia" w:ascii="仿宋_GB2312" w:eastAsia="仿宋_GB2312"/>
          <w:sz w:val="32"/>
          <w:szCs w:val="32"/>
          <w:highlight w:val="none"/>
        </w:rPr>
        <w:t>万元，占</w:t>
      </w:r>
      <w:r>
        <w:rPr>
          <w:rFonts w:ascii="仿宋_GB2312" w:eastAsia="仿宋_GB2312"/>
          <w:b w:val="0"/>
          <w:sz w:val="32"/>
          <w:szCs w:val="32"/>
        </w:rPr>
        <w:t>17.83%</w:t>
      </w:r>
      <w:r>
        <w:rPr>
          <w:rFonts w:hint="eastAsia" w:ascii="仿宋_GB2312" w:eastAsia="仿宋_GB2312"/>
          <w:sz w:val="32"/>
          <w:szCs w:val="32"/>
          <w:highlight w:val="none"/>
        </w:rPr>
        <w:t>；项目支出</w:t>
      </w:r>
      <w:r>
        <w:rPr>
          <w:rFonts w:ascii="仿宋_GB2312" w:eastAsia="仿宋_GB2312"/>
          <w:b w:val="0"/>
          <w:sz w:val="32"/>
          <w:szCs w:val="32"/>
        </w:rPr>
        <w:t>3,056.54</w:t>
      </w:r>
      <w:r>
        <w:rPr>
          <w:rFonts w:hint="eastAsia" w:ascii="仿宋_GB2312" w:eastAsia="仿宋_GB2312"/>
          <w:sz w:val="32"/>
          <w:szCs w:val="32"/>
          <w:highlight w:val="none"/>
        </w:rPr>
        <w:t>万元，占</w:t>
      </w:r>
      <w:r>
        <w:rPr>
          <w:rFonts w:ascii="仿宋_GB2312" w:eastAsia="仿宋_GB2312"/>
          <w:b w:val="0"/>
          <w:sz w:val="32"/>
          <w:szCs w:val="32"/>
        </w:rPr>
        <w:t>82.17</w:t>
      </w:r>
      <w:r>
        <w:rPr>
          <w:rFonts w:hint="eastAsia" w:ascii="仿宋_GB2312" w:eastAsia="仿宋_GB2312"/>
          <w:sz w:val="32"/>
          <w:szCs w:val="32"/>
          <w:highlight w:val="none"/>
        </w:rPr>
        <w:t>%；上缴上级支出</w:t>
      </w:r>
      <w:r>
        <w:rPr>
          <w:rFonts w:ascii="仿宋_GB2312" w:eastAsia="仿宋_GB2312"/>
          <w:b w:val="0"/>
          <w:sz w:val="32"/>
          <w:szCs w:val="32"/>
        </w:rPr>
        <w:t>0.00</w:t>
      </w:r>
      <w:r>
        <w:rPr>
          <w:rFonts w:hint="eastAsia" w:ascii="仿宋_GB2312" w:eastAsia="仿宋_GB2312"/>
          <w:sz w:val="32"/>
          <w:szCs w:val="32"/>
          <w:highlight w:val="none"/>
        </w:rPr>
        <w:t>万元，占</w:t>
      </w:r>
      <w:r>
        <w:rPr>
          <w:rFonts w:ascii="仿宋_GB2312" w:eastAsia="仿宋_GB2312"/>
          <w:b w:val="0"/>
          <w:sz w:val="32"/>
          <w:szCs w:val="32"/>
        </w:rPr>
        <w:t>0.00</w:t>
      </w:r>
      <w:r>
        <w:rPr>
          <w:rFonts w:hint="eastAsia" w:ascii="仿宋_GB2312" w:eastAsia="仿宋_GB2312"/>
          <w:sz w:val="32"/>
          <w:szCs w:val="32"/>
          <w:highlight w:val="none"/>
        </w:rPr>
        <w:t>%；经营支出</w:t>
      </w:r>
      <w:r>
        <w:rPr>
          <w:rFonts w:ascii="仿宋_GB2312" w:eastAsia="仿宋_GB2312"/>
          <w:b w:val="0"/>
          <w:sz w:val="32"/>
          <w:szCs w:val="32"/>
        </w:rPr>
        <w:t>0.00</w:t>
      </w:r>
      <w:r>
        <w:rPr>
          <w:rFonts w:hint="eastAsia" w:ascii="仿宋_GB2312" w:eastAsia="仿宋_GB2312"/>
          <w:sz w:val="32"/>
          <w:szCs w:val="32"/>
          <w:highlight w:val="none"/>
        </w:rPr>
        <w:t>万元，占</w:t>
      </w:r>
      <w:r>
        <w:rPr>
          <w:rFonts w:ascii="仿宋_GB2312" w:eastAsia="仿宋_GB2312"/>
          <w:b w:val="0"/>
          <w:sz w:val="32"/>
          <w:szCs w:val="32"/>
        </w:rPr>
        <w:t>0.00</w:t>
      </w:r>
      <w:r>
        <w:rPr>
          <w:rFonts w:hint="eastAsia" w:ascii="仿宋_GB2312" w:eastAsia="仿宋_GB2312"/>
          <w:sz w:val="32"/>
          <w:szCs w:val="32"/>
          <w:highlight w:val="none"/>
        </w:rPr>
        <w:t>%；对附属单位补助支出</w:t>
      </w:r>
      <w:r>
        <w:rPr>
          <w:rFonts w:ascii="仿宋_GB2312" w:eastAsia="仿宋_GB2312"/>
          <w:b w:val="0"/>
          <w:sz w:val="32"/>
          <w:szCs w:val="32"/>
        </w:rPr>
        <w:t>0.00</w:t>
      </w:r>
      <w:r>
        <w:rPr>
          <w:rFonts w:hint="eastAsia" w:ascii="仿宋_GB2312" w:eastAsia="仿宋_GB2312"/>
          <w:sz w:val="32"/>
          <w:szCs w:val="32"/>
          <w:highlight w:val="none"/>
        </w:rPr>
        <w:t>万元，占</w:t>
      </w:r>
      <w:r>
        <w:rPr>
          <w:rFonts w:ascii="仿宋_GB2312" w:eastAsia="仿宋_GB2312"/>
          <w:b w:val="0"/>
          <w:sz w:val="32"/>
          <w:szCs w:val="32"/>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4" w:name="_Toc7371"/>
      <w:bookmarkStart w:id="15" w:name="_Toc4393"/>
      <w:r>
        <w:rPr>
          <w:rFonts w:hint="eastAsia" w:ascii="黑体" w:hAnsi="黑体" w:eastAsia="黑体" w:cs="宋体"/>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财政拨款收入</w:t>
      </w:r>
      <w:r>
        <w:rPr>
          <w:rFonts w:hint="eastAsia" w:ascii="仿宋_GB2312" w:eastAsia="仿宋_GB2312"/>
          <w:b/>
          <w:bCs/>
          <w:sz w:val="32"/>
          <w:szCs w:val="32"/>
          <w:highlight w:val="none"/>
          <w:lang w:val="en-US" w:eastAsia="zh-CN"/>
        </w:rPr>
        <w:t>总计</w:t>
      </w:r>
      <w:r>
        <w:rPr>
          <w:rFonts w:ascii="仿宋_GB2312" w:eastAsia="仿宋_GB2312"/>
          <w:b w:val="0"/>
          <w:sz w:val="32"/>
          <w:szCs w:val="32"/>
        </w:rPr>
        <w:t>3,639.83</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其中：年初财政拨款结转和结余</w:t>
      </w:r>
      <w:r>
        <w:rPr>
          <w:rFonts w:ascii="仿宋_GB2312" w:eastAsia="仿宋_GB2312"/>
          <w:b w:val="0"/>
          <w:sz w:val="32"/>
          <w:szCs w:val="32"/>
        </w:rPr>
        <w:t>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本年财政拨款收入</w:t>
      </w:r>
      <w:r>
        <w:rPr>
          <w:rFonts w:ascii="仿宋_GB2312" w:eastAsia="仿宋_GB2312"/>
          <w:b w:val="0"/>
          <w:sz w:val="32"/>
          <w:szCs w:val="32"/>
        </w:rPr>
        <w:t>3,639.83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财政拨款支出</w:t>
      </w:r>
      <w:r>
        <w:rPr>
          <w:rFonts w:hint="eastAsia" w:ascii="仿宋_GB2312" w:eastAsia="仿宋_GB2312"/>
          <w:b/>
          <w:bCs/>
          <w:sz w:val="32"/>
          <w:szCs w:val="32"/>
          <w:highlight w:val="none"/>
          <w:lang w:val="en-US" w:eastAsia="zh-CN"/>
        </w:rPr>
        <w:t>总计</w:t>
      </w:r>
      <w:r>
        <w:rPr>
          <w:rFonts w:ascii="仿宋_GB2312" w:eastAsia="仿宋_GB2312"/>
          <w:b w:val="0"/>
          <w:sz w:val="32"/>
          <w:szCs w:val="32"/>
        </w:rPr>
        <w:t>3,639.83</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其中：年末财政拨款结转和结余</w:t>
      </w:r>
      <w:r>
        <w:rPr>
          <w:rFonts w:ascii="仿宋_GB2312" w:eastAsia="仿宋_GB2312"/>
          <w:b w:val="0"/>
          <w:sz w:val="32"/>
          <w:szCs w:val="32"/>
        </w:rPr>
        <w:t>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本年财政拨款支出</w:t>
      </w:r>
      <w:r>
        <w:rPr>
          <w:rFonts w:ascii="仿宋_GB2312" w:eastAsia="仿宋_GB2312"/>
          <w:b w:val="0"/>
          <w:sz w:val="32"/>
          <w:szCs w:val="32"/>
        </w:rPr>
        <w:t>3,639.83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hAnsi="仿宋_GB2312" w:eastAsia="仿宋_GB2312" w:cs="仿宋_GB2312"/>
          <w:b/>
          <w:bCs w:val="0"/>
          <w:kern w:val="0"/>
          <w:sz w:val="32"/>
          <w:szCs w:val="32"/>
          <w:highlight w:val="none"/>
          <w:lang w:eastAsia="zh-CN"/>
        </w:rPr>
        <w:t>财政拨款收入支出总体</w:t>
      </w:r>
      <w:r>
        <w:rPr>
          <w:rFonts w:hint="eastAsia" w:ascii="仿宋_GB2312" w:eastAsia="仿宋_GB2312"/>
          <w:b/>
          <w:bCs w:val="0"/>
          <w:sz w:val="32"/>
          <w:szCs w:val="32"/>
          <w:highlight w:val="none"/>
        </w:rPr>
        <w:t>与上年相比，</w:t>
      </w:r>
      <w:r>
        <w:rPr>
          <w:rFonts w:hint="eastAsia" w:ascii="仿宋_GB2312" w:eastAsia="仿宋_GB2312"/>
          <w:sz w:val="32"/>
          <w:szCs w:val="32"/>
          <w:highlight w:val="none"/>
        </w:rPr>
        <w:t>增加</w:t>
      </w:r>
      <w:r>
        <w:rPr>
          <w:rFonts w:ascii="仿宋_GB2312" w:eastAsia="仿宋_GB2312"/>
          <w:b w:val="0"/>
          <w:sz w:val="32"/>
          <w:szCs w:val="32"/>
        </w:rPr>
        <w:t>1,664.20</w:t>
      </w:r>
      <w:r>
        <w:rPr>
          <w:rFonts w:hint="eastAsia" w:ascii="仿宋_GB2312" w:eastAsia="仿宋_GB2312"/>
          <w:sz w:val="32"/>
          <w:szCs w:val="32"/>
          <w:highlight w:val="none"/>
        </w:rPr>
        <w:t>万元，增长</w:t>
      </w:r>
      <w:r>
        <w:rPr>
          <w:rFonts w:ascii="仿宋_GB2312" w:eastAsia="仿宋_GB2312"/>
          <w:b w:val="0"/>
          <w:sz w:val="32"/>
          <w:szCs w:val="32"/>
        </w:rPr>
        <w:t>84.24%</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b w:val="0"/>
          <w:sz w:val="32"/>
          <w:szCs w:val="32"/>
          <w:lang w:val="en-US" w:eastAsia="zh-CN"/>
        </w:rPr>
        <w:t>2024年新增汽车消费补贴1165.20万元；上级拨入2024年第二批外经贸发展专项资金431.10万元。</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eastAsia="zh-CN"/>
        </w:rPr>
        <w:t>年初预算数</w:t>
      </w:r>
      <w:r>
        <w:rPr>
          <w:rFonts w:ascii="仿宋_GB2312" w:eastAsia="仿宋_GB2312"/>
          <w:b w:val="0"/>
          <w:sz w:val="32"/>
          <w:szCs w:val="32"/>
        </w:rPr>
        <w:t>1,318.99</w:t>
      </w:r>
      <w:r>
        <w:rPr>
          <w:rFonts w:hint="eastAsia" w:ascii="仿宋_GB2312" w:eastAsia="仿宋_GB2312"/>
          <w:sz w:val="32"/>
          <w:szCs w:val="32"/>
          <w:highlight w:val="none"/>
        </w:rPr>
        <w:t>万元，决算数</w:t>
      </w:r>
      <w:r>
        <w:rPr>
          <w:rFonts w:ascii="仿宋_GB2312" w:eastAsia="仿宋_GB2312"/>
          <w:b w:val="0"/>
          <w:sz w:val="32"/>
          <w:szCs w:val="32"/>
        </w:rPr>
        <w:t>3,639.83</w:t>
      </w:r>
      <w:r>
        <w:rPr>
          <w:rFonts w:hint="eastAsia" w:ascii="仿宋_GB2312" w:eastAsia="仿宋_GB2312"/>
          <w:sz w:val="32"/>
          <w:szCs w:val="32"/>
          <w:highlight w:val="none"/>
        </w:rPr>
        <w:t>万元，预决算差异率</w:t>
      </w:r>
      <w:r>
        <w:rPr>
          <w:rFonts w:ascii="仿宋_GB2312" w:eastAsia="仿宋_GB2312"/>
          <w:b w:val="0"/>
          <w:sz w:val="32"/>
          <w:szCs w:val="32"/>
        </w:rPr>
        <w:t>175.96%</w:t>
      </w:r>
      <w:r>
        <w:rPr>
          <w:rFonts w:hint="eastAsia" w:ascii="仿宋_GB2312" w:eastAsia="仿宋_GB2312"/>
          <w:sz w:val="32"/>
          <w:szCs w:val="32"/>
          <w:highlight w:val="none"/>
          <w:lang w:eastAsia="zh-CN"/>
        </w:rPr>
        <w:t>，主要原因是：</w:t>
      </w:r>
      <w:r>
        <w:rPr>
          <w:rFonts w:hint="eastAsia" w:ascii="仿宋_GB2312" w:eastAsia="仿宋_GB2312"/>
          <w:b w:val="0"/>
          <w:sz w:val="32"/>
          <w:szCs w:val="32"/>
          <w:lang w:val="en-US" w:eastAsia="zh-CN"/>
        </w:rPr>
        <w:t>2024年新增汽车消费补贴1165.20万元；上级拨入2024年第二批外经贸发展专项资金431.10万元</w:t>
      </w:r>
      <w:r>
        <w:rPr>
          <w:rFonts w:ascii="仿宋_GB2312" w:eastAsia="仿宋_GB2312"/>
          <w:b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6" w:name="_Toc18905"/>
      <w:bookmarkStart w:id="17" w:name="_Toc13833"/>
      <w:r>
        <w:rPr>
          <w:rFonts w:hint="eastAsia" w:ascii="黑体" w:hAnsi="黑体" w:eastAsia="黑体" w:cs="宋体"/>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18" w:name="_Toc1165"/>
      <w:r>
        <w:rPr>
          <w:rFonts w:hint="eastAsia" w:ascii="黑体" w:hAnsi="黑体" w:eastAsia="黑体"/>
          <w:sz w:val="32"/>
          <w:szCs w:val="32"/>
          <w:highlight w:val="none"/>
          <w:lang w:eastAsia="zh-CN"/>
        </w:rPr>
        <w:t>（一）一般公共预算财政拨款支出决算总体情况</w:t>
      </w:r>
      <w:bookmarkEnd w:id="18"/>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eastAsia="仿宋_GB2312"/>
          <w:spacing w:val="0"/>
          <w:sz w:val="32"/>
          <w:szCs w:val="32"/>
          <w:highlight w:val="none"/>
        </w:rPr>
      </w:pPr>
      <w:r>
        <w:rPr>
          <w:rFonts w:hint="eastAsia" w:ascii="仿宋_GB2312" w:eastAsia="仿宋_GB2312"/>
          <w:b/>
          <w:bCs/>
          <w:spacing w:val="0"/>
          <w:sz w:val="32"/>
          <w:szCs w:val="32"/>
          <w:highlight w:val="none"/>
          <w:lang w:eastAsia="zh-CN"/>
        </w:rPr>
        <w:t>2024年度一般公共预算财政拨款支出</w:t>
      </w:r>
      <w:r>
        <w:rPr>
          <w:rFonts w:ascii="仿宋_GB2312" w:eastAsia="仿宋_GB2312"/>
          <w:b w:val="0"/>
          <w:sz w:val="32"/>
          <w:szCs w:val="32"/>
        </w:rPr>
        <w:t>3,639.83</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eastAsia="zh-CN"/>
        </w:rPr>
        <w:t>占本年支出合计的</w:t>
      </w:r>
      <w:r>
        <w:rPr>
          <w:rFonts w:ascii="仿宋_GB2312" w:eastAsia="仿宋_GB2312"/>
          <w:b w:val="0"/>
          <w:sz w:val="32"/>
          <w:szCs w:val="32"/>
        </w:rPr>
        <w:t>97.85%</w:t>
      </w:r>
      <w:r>
        <w:rPr>
          <w:rFonts w:hint="eastAsia" w:ascii="仿宋_GB2312" w:eastAsia="仿宋_GB2312"/>
          <w:spacing w:val="0"/>
          <w:sz w:val="32"/>
          <w:szCs w:val="32"/>
          <w:highlight w:val="none"/>
          <w:lang w:eastAsia="zh-CN"/>
        </w:rPr>
        <w:t>。</w:t>
      </w:r>
      <w:r>
        <w:rPr>
          <w:rFonts w:hint="eastAsia" w:ascii="仿宋_GB2312" w:eastAsia="仿宋_GB2312"/>
          <w:b/>
          <w:bCs/>
          <w:spacing w:val="0"/>
          <w:sz w:val="32"/>
          <w:szCs w:val="32"/>
          <w:highlight w:val="none"/>
        </w:rPr>
        <w:t>与上年相比，</w:t>
      </w:r>
      <w:r>
        <w:rPr>
          <w:rFonts w:hint="eastAsia" w:ascii="仿宋_GB2312" w:eastAsia="仿宋_GB2312"/>
          <w:spacing w:val="0"/>
          <w:sz w:val="32"/>
          <w:szCs w:val="32"/>
          <w:highlight w:val="none"/>
        </w:rPr>
        <w:t>增加</w:t>
      </w:r>
      <w:r>
        <w:rPr>
          <w:rFonts w:ascii="仿宋_GB2312" w:eastAsia="仿宋_GB2312"/>
          <w:b w:val="0"/>
          <w:sz w:val="32"/>
          <w:szCs w:val="32"/>
        </w:rPr>
        <w:t>1,664.20</w:t>
      </w:r>
      <w:r>
        <w:rPr>
          <w:rFonts w:hint="eastAsia" w:ascii="仿宋_GB2312" w:eastAsia="仿宋_GB2312"/>
          <w:spacing w:val="0"/>
          <w:sz w:val="32"/>
          <w:szCs w:val="32"/>
          <w:highlight w:val="none"/>
        </w:rPr>
        <w:t>万元，增长</w:t>
      </w:r>
      <w:r>
        <w:rPr>
          <w:rFonts w:ascii="仿宋_GB2312" w:eastAsia="仿宋_GB2312"/>
          <w:b w:val="0"/>
          <w:sz w:val="32"/>
          <w:szCs w:val="32"/>
        </w:rPr>
        <w:t>84.24%</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rPr>
        <w:t>主要原因是：</w:t>
      </w:r>
      <w:r>
        <w:rPr>
          <w:rFonts w:hint="eastAsia" w:ascii="仿宋_GB2312" w:eastAsia="仿宋_GB2312"/>
          <w:b w:val="0"/>
          <w:sz w:val="32"/>
          <w:szCs w:val="32"/>
          <w:lang w:val="en-US" w:eastAsia="zh-CN"/>
        </w:rPr>
        <w:t>2024年新增汽车消费补贴1165.20万元；上级拨入2024年第二批外经贸发展专项资金431.10万元</w:t>
      </w:r>
      <w:r>
        <w:rPr>
          <w:rFonts w:ascii="仿宋_GB2312" w:eastAsia="仿宋_GB2312"/>
          <w:b w:val="0"/>
          <w:sz w:val="32"/>
          <w:szCs w:val="32"/>
        </w:rPr>
        <w:t>。</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val="en-US" w:eastAsia="zh-CN"/>
        </w:rPr>
        <w:t>,</w:t>
      </w:r>
      <w:r>
        <w:rPr>
          <w:rFonts w:hint="eastAsia" w:ascii="仿宋_GB2312" w:eastAsia="仿宋_GB2312"/>
          <w:sz w:val="32"/>
          <w:szCs w:val="32"/>
          <w:highlight w:val="none"/>
          <w:lang w:eastAsia="zh-CN"/>
        </w:rPr>
        <w:t>年初预算数</w:t>
      </w:r>
      <w:r>
        <w:rPr>
          <w:rFonts w:ascii="仿宋_GB2312" w:eastAsia="仿宋_GB2312"/>
          <w:b w:val="0"/>
          <w:sz w:val="32"/>
          <w:szCs w:val="32"/>
        </w:rPr>
        <w:t>1,318.99</w:t>
      </w:r>
      <w:r>
        <w:rPr>
          <w:rFonts w:hint="eastAsia" w:ascii="仿宋_GB2312" w:eastAsia="仿宋_GB2312"/>
          <w:sz w:val="32"/>
          <w:szCs w:val="32"/>
          <w:highlight w:val="none"/>
        </w:rPr>
        <w:t>万元，决算数</w:t>
      </w:r>
      <w:r>
        <w:rPr>
          <w:rFonts w:ascii="仿宋_GB2312" w:eastAsia="仿宋_GB2312"/>
          <w:b w:val="0"/>
          <w:sz w:val="32"/>
          <w:szCs w:val="32"/>
        </w:rPr>
        <w:t>3,639.83</w:t>
      </w:r>
      <w:r>
        <w:rPr>
          <w:rFonts w:hint="eastAsia" w:ascii="仿宋_GB2312" w:eastAsia="仿宋_GB2312"/>
          <w:sz w:val="32"/>
          <w:szCs w:val="32"/>
          <w:highlight w:val="none"/>
        </w:rPr>
        <w:t>万元，预决算差异率</w:t>
      </w:r>
      <w:r>
        <w:rPr>
          <w:rFonts w:ascii="仿宋_GB2312" w:eastAsia="仿宋_GB2312"/>
          <w:b w:val="0"/>
          <w:sz w:val="32"/>
          <w:szCs w:val="32"/>
        </w:rPr>
        <w:t>175.96</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b w:val="0"/>
          <w:sz w:val="32"/>
          <w:szCs w:val="32"/>
          <w:lang w:val="en-US" w:eastAsia="zh-CN"/>
        </w:rPr>
        <w:t>2024年新增汽车消费补贴1165.20万元；上级拨入2024年第二批外经贸发展专项资金431.10万元</w:t>
      </w:r>
      <w:r>
        <w:rPr>
          <w:rFonts w:ascii="仿宋_GB2312" w:eastAsia="仿宋_GB2312"/>
          <w:b w:val="0"/>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19" w:name="_Toc27147"/>
      <w:r>
        <w:rPr>
          <w:rFonts w:hint="eastAsia" w:ascii="黑体" w:hAnsi="黑体" w:eastAsia="黑体"/>
          <w:sz w:val="32"/>
          <w:szCs w:val="32"/>
          <w:highlight w:val="none"/>
          <w:lang w:eastAsia="zh-CN"/>
        </w:rPr>
        <w:t>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bookmarkEnd w:id="19"/>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一般公共服务支出（类）1,104.95万元，占30.36%。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教育支出（类）1.10万元，占0.03%。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社会保障和就业支出（类）98.27万元，占2.70%。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卫生健康支出（类）28.07万元，占0.77%。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节能环保支出（类）60.00万元，占1.65%。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资源勘探工业信息等支出（类）256.37万元，占7.04%。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商业服务业等支出（类）2,050.44万元，占56.33%。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住房保障支出（类）38.22万元，占1.05%。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其他支出（类）2.41万元，占0.07%。</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20" w:name="_Toc10037"/>
      <w:r>
        <w:rPr>
          <w:rFonts w:hint="eastAsia" w:ascii="黑体" w:hAnsi="黑体" w:eastAsia="黑体"/>
          <w:sz w:val="32"/>
          <w:szCs w:val="32"/>
          <w:highlight w:val="none"/>
          <w:lang w:eastAsia="zh-CN"/>
        </w:rPr>
        <w:t>（三）一般公共预算财政拨款支出决算具体情况</w:t>
      </w:r>
      <w:bookmarkEnd w:id="20"/>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bookmarkStart w:id="21" w:name="_Toc23415"/>
      <w:bookmarkStart w:id="22" w:name="_Toc11146"/>
      <w:r>
        <w:rPr>
          <w:rFonts w:ascii="仿宋_GB2312" w:eastAsia="仿宋_GB2312"/>
          <w:b w:val="0"/>
          <w:sz w:val="32"/>
          <w:szCs w:val="32"/>
        </w:rPr>
        <w:t>一般公共服务支出（类）商贸事务（款）行政运行（项）：支出决算数为495.22万元，比上年决算减少417.30万元，下降45.73%，主要原因是：</w:t>
      </w:r>
      <w:r>
        <w:rPr>
          <w:rFonts w:hint="eastAsia" w:ascii="仿宋_GB2312" w:eastAsia="仿宋_GB2312"/>
          <w:b w:val="0"/>
          <w:sz w:val="32"/>
          <w:szCs w:val="32"/>
        </w:rPr>
        <w:t>2023年有419.7万元的项目从基本支出中列支</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2024年无此项目。</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一般公共服务支出（类）商贸事务（款）招商引资（项）：支出决算数为7.23万元，比上年决算减少209.03万元，下降96.66%，主要原因是：</w:t>
      </w:r>
      <w:r>
        <w:rPr>
          <w:rFonts w:hint="eastAsia" w:ascii="仿宋_GB2312" w:eastAsia="仿宋_GB2312"/>
          <w:b w:val="0"/>
          <w:sz w:val="32"/>
          <w:szCs w:val="32"/>
          <w:lang w:val="en-US" w:eastAsia="zh-CN"/>
        </w:rPr>
        <w:t>2023年拨付了欧冶链金公司再生资源专项资金，本年未拨付。</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一般公共服务支出（类）商贸事务（款）其他商贸事务支出（项）：支出决算数为602.50万元，比上年决算增加600.06万元，增长24,592.62%，主要原因是：</w:t>
      </w:r>
      <w:r>
        <w:rPr>
          <w:rFonts w:hint="eastAsia" w:ascii="仿宋_GB2312" w:eastAsia="仿宋_GB2312"/>
          <w:b w:val="0"/>
          <w:sz w:val="32"/>
          <w:szCs w:val="32"/>
          <w:lang w:val="en-US" w:eastAsia="zh-CN"/>
        </w:rPr>
        <w:t>2024年付汽车消费补贴600.00万元，支付原棉麻公司、生产资料公司退休人员医保金2.50万元</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教育支出（类）进修及培训（款）培训支出（项）：支出决算数为1.10万元，比上年决算减少0.60万元，下降35.29%，主要原因是：</w:t>
      </w:r>
      <w:r>
        <w:rPr>
          <w:rFonts w:hint="eastAsia" w:ascii="仿宋_GB2312" w:eastAsia="仿宋_GB2312"/>
          <w:b w:val="0"/>
          <w:sz w:val="32"/>
          <w:szCs w:val="32"/>
          <w:lang w:val="en-US" w:eastAsia="zh-CN"/>
        </w:rPr>
        <w:t>2024年培训次数减少。</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社会保障和就业支出（类）行政事业单位养老支出（款）行政单位离退休（项）：支出决算数为41.62万元，比上年决算增加5.45万元，增长15.07%，主要原因是：</w:t>
      </w:r>
      <w:r>
        <w:rPr>
          <w:rFonts w:hint="eastAsia" w:ascii="仿宋_GB2312" w:eastAsia="仿宋_GB2312"/>
          <w:b w:val="0"/>
          <w:sz w:val="32"/>
          <w:szCs w:val="32"/>
          <w:lang w:val="en-US" w:eastAsia="zh-CN"/>
        </w:rPr>
        <w:t>年内新增了人员。</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社会保障和就业支出（类）行政事业单位养老支出（款）机关事业单位基本养老保险缴费支出（项）：支出决算数为49.93万元，比上年决算增加7.59万元，增长17.93%，主要原因是：</w:t>
      </w:r>
      <w:r>
        <w:rPr>
          <w:rFonts w:hint="eastAsia" w:ascii="仿宋_GB2312" w:eastAsia="仿宋_GB2312"/>
          <w:b w:val="0"/>
          <w:sz w:val="32"/>
          <w:szCs w:val="32"/>
          <w:lang w:val="en-US" w:eastAsia="zh-CN"/>
        </w:rPr>
        <w:t>年内新增了人员。</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社会保障和就业支出（类）行政事业单位养老支出（款）机关事业单位职业年金缴费支出（项）：支出决算数为6.73万元，比上年决算减少1.70万元，下降20.17%，主要原因是：</w:t>
      </w:r>
      <w:r>
        <w:rPr>
          <w:rFonts w:hint="eastAsia" w:ascii="仿宋_GB2312" w:eastAsia="仿宋_GB2312"/>
          <w:b w:val="0"/>
          <w:sz w:val="32"/>
          <w:szCs w:val="32"/>
          <w:lang w:val="en-US" w:eastAsia="zh-CN"/>
        </w:rPr>
        <w:t>2024年较2023年退回职业年金人数减少。</w:t>
      </w:r>
    </w:p>
    <w:p>
      <w:pPr>
        <w:widowControl/>
        <w:numPr>
          <w:ilvl w:val="0"/>
          <w:numId w:val="2"/>
        </w:numPr>
        <w:spacing w:before="0" w:beforeLines="0" w:beforeAutospacing="0" w:after="0" w:afterLines="0" w:afterAutospacing="0" w:line="240" w:lineRule="auto"/>
        <w:ind w:firstLine="640" w:firstLineChars="200"/>
        <w:rPr>
          <w:rFonts w:hint="eastAsia" w:ascii="仿宋_GB2312" w:eastAsia="仿宋_GB2312"/>
          <w:b w:val="0"/>
          <w:sz w:val="32"/>
          <w:szCs w:val="32"/>
        </w:rPr>
      </w:pPr>
      <w:r>
        <w:rPr>
          <w:rFonts w:ascii="仿宋_GB2312" w:eastAsia="仿宋_GB2312"/>
          <w:b w:val="0"/>
          <w:sz w:val="32"/>
          <w:szCs w:val="32"/>
        </w:rPr>
        <w:t>社会保障和就业支出（类）就业补助（款）公益性岗位补贴（项）：支出决算数为0.00万元，比上年决算减少3.74万元，下降100.00%，主要原因是：</w:t>
      </w:r>
      <w:r>
        <w:rPr>
          <w:rFonts w:hint="eastAsia" w:ascii="仿宋_GB2312" w:eastAsia="仿宋_GB2312"/>
          <w:b w:val="0"/>
          <w:sz w:val="32"/>
          <w:szCs w:val="32"/>
          <w:lang w:val="en-US" w:eastAsia="zh-CN"/>
        </w:rPr>
        <w:t>2023</w:t>
      </w:r>
      <w:r>
        <w:rPr>
          <w:rFonts w:hint="eastAsia" w:eastAsia="仿宋_GB2312" w:cs="Times New Roman"/>
          <w:color w:val="auto"/>
          <w:kern w:val="0"/>
          <w:sz w:val="31"/>
          <w:szCs w:val="31"/>
          <w:lang w:val="en-US" w:eastAsia="zh-CN"/>
        </w:rPr>
        <w:t>年公益性岗位</w:t>
      </w:r>
      <w:r>
        <w:rPr>
          <w:rFonts w:hint="eastAsia" w:ascii="仿宋_GB2312" w:eastAsia="仿宋_GB2312"/>
          <w:b w:val="0"/>
          <w:sz w:val="32"/>
          <w:szCs w:val="32"/>
          <w:lang w:val="en-US" w:eastAsia="zh-CN"/>
        </w:rPr>
        <w:t>人员工资在2080705科目归集，2024年</w:t>
      </w:r>
      <w:r>
        <w:rPr>
          <w:rFonts w:hint="default" w:ascii="仿宋_GB2312" w:eastAsia="仿宋_GB2312"/>
          <w:b w:val="0"/>
          <w:sz w:val="32"/>
          <w:szCs w:val="32"/>
          <w:lang w:val="en-US" w:eastAsia="zh-CN"/>
        </w:rPr>
        <w:t>公益性岗位补贴在</w:t>
      </w:r>
      <w:r>
        <w:rPr>
          <w:rFonts w:hint="eastAsia" w:ascii="仿宋_GB2312" w:eastAsia="仿宋_GB2312"/>
          <w:b w:val="0"/>
          <w:sz w:val="32"/>
          <w:szCs w:val="32"/>
          <w:lang w:val="en-US" w:eastAsia="zh-CN"/>
        </w:rPr>
        <w:t>2011301</w:t>
      </w:r>
      <w:r>
        <w:rPr>
          <w:rFonts w:hint="default" w:ascii="仿宋_GB2312" w:eastAsia="仿宋_GB2312"/>
          <w:b w:val="0"/>
          <w:sz w:val="32"/>
          <w:szCs w:val="32"/>
          <w:lang w:val="en-US" w:eastAsia="zh-CN"/>
        </w:rPr>
        <w:t>列支。</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卫生健康支出（类）行政事业单位医疗（款）行政单位医疗（项）：支出决算数为22.40万元，比上年决算减少0.95万元，下降4.07%，主要原因是：</w:t>
      </w:r>
      <w:r>
        <w:rPr>
          <w:rFonts w:hint="eastAsia" w:ascii="仿宋_GB2312" w:eastAsia="仿宋_GB2312"/>
          <w:b w:val="0"/>
          <w:sz w:val="32"/>
          <w:szCs w:val="32"/>
        </w:rPr>
        <w:t>2024年有1名在职转退休、3名人员调出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新入职3名公务员。</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卫生健康支出（类）行政事业单位医疗（款）公务员医疗补助（项）：支出决算数为5.66万元，比上年决算增加4.16万元，增长277.33%，主要原因是：</w:t>
      </w:r>
      <w:r>
        <w:rPr>
          <w:rFonts w:hint="eastAsia" w:ascii="仿宋_GB2312" w:eastAsia="仿宋_GB2312"/>
          <w:b w:val="0"/>
          <w:sz w:val="32"/>
          <w:szCs w:val="32"/>
          <w:lang w:val="en-US" w:eastAsia="zh-CN"/>
        </w:rPr>
        <w:t>2024年新入职3名公务员。</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节能环保支出（类）能源节约利用（款）能源节约利用（项）：支出决算数为60.00万元，比上年决算增加60.00万元，增长100.00%，主要原因是：</w:t>
      </w:r>
      <w:r>
        <w:rPr>
          <w:rFonts w:hint="eastAsia" w:ascii="仿宋_GB2312" w:eastAsia="仿宋_GB2312"/>
          <w:b w:val="0"/>
          <w:sz w:val="32"/>
          <w:szCs w:val="32"/>
          <w:lang w:val="en-US" w:eastAsia="zh-CN"/>
        </w:rPr>
        <w:t>2024年付自治区工业节能减排专项资金60.00万元。</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资源勘探工业信息等支出（类）制造业（款）纺织业（项）：支出决算数为116.07万元，比上年决算增加112.97万元，增长3,644.19%，主要原因是：</w:t>
      </w:r>
      <w:r>
        <w:rPr>
          <w:rFonts w:hint="eastAsia" w:ascii="仿宋_GB2312" w:eastAsia="仿宋_GB2312"/>
          <w:b w:val="0"/>
          <w:sz w:val="32"/>
          <w:szCs w:val="32"/>
          <w:lang w:val="en-US" w:eastAsia="zh-CN"/>
        </w:rPr>
        <w:t>年内增加了</w:t>
      </w:r>
      <w:r>
        <w:rPr>
          <w:rFonts w:hint="default" w:ascii="Times New Roman" w:hAnsi="Times New Roman" w:eastAsia="仿宋_GB2312" w:cs="Times New Roman"/>
          <w:color w:val="auto"/>
          <w:kern w:val="0"/>
          <w:sz w:val="31"/>
          <w:szCs w:val="31"/>
          <w:lang w:val="en-US" w:eastAsia="zh-CN"/>
        </w:rPr>
        <w:t>纺织服装专项项目支出</w:t>
      </w:r>
      <w:r>
        <w:rPr>
          <w:rFonts w:hint="eastAsia" w:ascii="Times New Roman" w:hAnsi="Times New Roman" w:eastAsia="仿宋_GB2312" w:cs="Times New Roman"/>
          <w:color w:val="auto"/>
          <w:kern w:val="0"/>
          <w:sz w:val="31"/>
          <w:szCs w:val="31"/>
          <w:lang w:val="en-US" w:eastAsia="zh-CN"/>
        </w:rPr>
        <w:t>。</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资源勘探工业信息等支出（类）制造业（款）其他制造业支出（项）：支出决算数为0.00万元，比上年决算减少30.00万元，下降100.00%，主要原因是：</w:t>
      </w:r>
      <w:r>
        <w:rPr>
          <w:rFonts w:hint="eastAsia" w:ascii="仿宋_GB2312" w:eastAsia="仿宋_GB2312"/>
          <w:b w:val="0"/>
          <w:sz w:val="32"/>
          <w:szCs w:val="32"/>
          <w:lang w:val="en-US" w:eastAsia="zh-CN"/>
        </w:rPr>
        <w:t>2023年</w:t>
      </w:r>
      <w:r>
        <w:rPr>
          <w:rFonts w:hint="eastAsia" w:eastAsia="仿宋_GB2312" w:cs="Times New Roman"/>
          <w:color w:val="auto"/>
          <w:kern w:val="0"/>
          <w:sz w:val="31"/>
          <w:szCs w:val="31"/>
          <w:lang w:val="en-US" w:eastAsia="zh-CN"/>
        </w:rPr>
        <w:t>拨付</w:t>
      </w:r>
      <w:r>
        <w:rPr>
          <w:rFonts w:hint="default" w:ascii="Times New Roman" w:hAnsi="Times New Roman" w:eastAsia="仿宋_GB2312" w:cs="Times New Roman"/>
          <w:color w:val="auto"/>
          <w:kern w:val="0"/>
          <w:sz w:val="31"/>
          <w:szCs w:val="31"/>
          <w:lang w:val="en-US" w:eastAsia="zh-CN"/>
        </w:rPr>
        <w:t>了对</w:t>
      </w:r>
      <w:r>
        <w:rPr>
          <w:rFonts w:hint="eastAsia" w:eastAsia="仿宋_GB2312" w:cs="Times New Roman"/>
          <w:color w:val="auto"/>
          <w:kern w:val="0"/>
          <w:sz w:val="31"/>
          <w:szCs w:val="31"/>
          <w:lang w:val="en-US" w:eastAsia="zh-CN"/>
        </w:rPr>
        <w:t>自治区战略性新兴产业专项资金</w:t>
      </w:r>
      <w:r>
        <w:rPr>
          <w:rFonts w:hint="eastAsia" w:ascii="仿宋_GB2312" w:eastAsia="仿宋_GB2312"/>
          <w:b w:val="0"/>
          <w:sz w:val="32"/>
          <w:szCs w:val="32"/>
          <w:lang w:val="en-US" w:eastAsia="zh-CN"/>
        </w:rPr>
        <w:t>30</w:t>
      </w:r>
      <w:r>
        <w:rPr>
          <w:rFonts w:hint="eastAsia" w:eastAsia="仿宋_GB2312" w:cs="Times New Roman"/>
          <w:color w:val="auto"/>
          <w:kern w:val="0"/>
          <w:sz w:val="31"/>
          <w:szCs w:val="31"/>
          <w:lang w:val="en-US" w:eastAsia="zh-CN"/>
        </w:rPr>
        <w:t>万元，本年未拨付。</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资源勘探工业信息等支出（类）支持中小企业发展和管理支出（款）中小企业发展专项（项）：支出决算数为140.30万元，比上年决算增加45.72万元，增长48.34%，主要原因是：</w:t>
      </w:r>
      <w:r>
        <w:rPr>
          <w:rFonts w:hint="eastAsia" w:ascii="仿宋_GB2312" w:eastAsia="仿宋_GB2312"/>
          <w:b w:val="0"/>
          <w:sz w:val="32"/>
          <w:szCs w:val="32"/>
          <w:lang w:val="en-US" w:eastAsia="zh-CN"/>
        </w:rPr>
        <w:t>本年增加了自治区中小企业发展专项支出。</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商业服务业等支出（类）商业流通事务（款）其他商业流通事务支出（项）：支出决算数为565.20万元，比上年决算减少1.41万元，下降0.25%，主要原因是：</w:t>
      </w:r>
      <w:r>
        <w:rPr>
          <w:rFonts w:hint="eastAsia" w:ascii="Times New Roman" w:hAnsi="Times New Roman" w:eastAsia="仿宋_GB2312" w:cs="Times New Roman"/>
          <w:color w:val="auto"/>
          <w:kern w:val="0"/>
          <w:sz w:val="31"/>
          <w:szCs w:val="31"/>
          <w:lang w:val="en-US" w:eastAsia="zh-CN"/>
        </w:rPr>
        <w:t>2023年</w:t>
      </w:r>
      <w:r>
        <w:rPr>
          <w:rFonts w:hint="eastAsia" w:eastAsia="仿宋_GB2312" w:cs="Times New Roman"/>
          <w:color w:val="auto"/>
          <w:kern w:val="0"/>
          <w:sz w:val="31"/>
          <w:szCs w:val="31"/>
          <w:lang w:val="en-US" w:eastAsia="zh-CN"/>
        </w:rPr>
        <w:t>拨付了中国邮政、新疆吾夏、中厨食品三家中小企业发展专项资金</w:t>
      </w:r>
      <w:r>
        <w:rPr>
          <w:rFonts w:hint="eastAsia" w:ascii="仿宋_GB2312" w:eastAsia="仿宋_GB2312"/>
          <w:b w:val="0"/>
          <w:sz w:val="32"/>
          <w:szCs w:val="32"/>
          <w:lang w:val="en-US" w:eastAsia="zh-CN"/>
        </w:rPr>
        <w:t>427.37万元；拨付了鼎博建材100万元；拨付了格库铁路通信迁改补偿费39.24万元；本年仅拨付汽车消费补贴565.20万元。</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商业服务业等支出（类）涉外发展服务支出（款）其他涉外发展服务支出（项）：支出决算数为728.00万元，比上年决算增加728.00万元，增长100.00%，主要原因是：</w:t>
      </w:r>
      <w:r>
        <w:rPr>
          <w:rFonts w:hint="eastAsia" w:ascii="仿宋_GB2312" w:eastAsia="仿宋_GB2312"/>
          <w:b w:val="0"/>
          <w:sz w:val="32"/>
          <w:szCs w:val="32"/>
          <w:lang w:val="en-US" w:eastAsia="zh-CN"/>
        </w:rPr>
        <w:t>2024年新增中央外经贸发展专项资金728.00万元。</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商业服务业等支出（类）其他商业服务业等支出（款）其他商业服务业等支出（项）：支出决算数为757.24万元，比上年决算增加757.24万元，增长100.00%，主要原因是：</w:t>
      </w:r>
      <w:r>
        <w:rPr>
          <w:rFonts w:hint="eastAsia" w:ascii="仿宋_GB2312" w:eastAsia="仿宋_GB2312"/>
          <w:b w:val="0"/>
          <w:sz w:val="32"/>
          <w:szCs w:val="32"/>
          <w:lang w:val="en-US" w:eastAsia="zh-CN"/>
        </w:rPr>
        <w:t>2024年新增服务业发展专项资金757.24万元。</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住房保障支出（类）住房改革支出（款）住房公积金（项）：支出决算数为38.22万元，比上年决算增加5.34万元，增长16.24%，主要原因是：</w:t>
      </w:r>
      <w:r>
        <w:rPr>
          <w:rFonts w:hint="eastAsia" w:ascii="仿宋_GB2312" w:eastAsia="仿宋_GB2312"/>
          <w:b w:val="0"/>
          <w:sz w:val="32"/>
          <w:szCs w:val="32"/>
          <w:lang w:val="en-US" w:eastAsia="zh-CN"/>
        </w:rPr>
        <w:t>年内新入职3名公务员。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b w:val="0"/>
          <w:sz w:val="32"/>
          <w:szCs w:val="32"/>
          <w:lang w:val="en-US" w:eastAsia="zh-CN"/>
        </w:rPr>
      </w:pPr>
      <w:r>
        <w:rPr>
          <w:rFonts w:ascii="仿宋_GB2312" w:eastAsia="仿宋_GB2312"/>
          <w:b w:val="0"/>
          <w:sz w:val="32"/>
          <w:szCs w:val="32"/>
        </w:rPr>
        <w:t>其他支出（类）其他支出（款）其他支出（项）：支出决算数为2.41万元，比上年决算增加2.41万元，增长100.00%，主要原因是：</w:t>
      </w:r>
      <w:r>
        <w:rPr>
          <w:rFonts w:hint="eastAsia" w:ascii="仿宋_GB2312" w:eastAsia="仿宋_GB2312"/>
          <w:b w:val="0"/>
          <w:sz w:val="32"/>
          <w:szCs w:val="32"/>
          <w:lang w:val="en-US" w:eastAsia="zh-CN"/>
        </w:rPr>
        <w:t>2024年拨付了自治区驻村工作专项经费2.41万元。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六、一般公共预算财政拨款基本支出决算情况说明</w:t>
      </w:r>
      <w:bookmarkEnd w:id="21"/>
      <w:bookmarkEnd w:id="22"/>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一般公共预算财政拨款基本支出</w:t>
      </w:r>
      <w:r>
        <w:rPr>
          <w:rFonts w:ascii="仿宋_GB2312" w:eastAsia="仿宋_GB2312"/>
          <w:b w:val="0"/>
          <w:sz w:val="32"/>
          <w:szCs w:val="32"/>
        </w:rPr>
        <w:t>663.29</w:t>
      </w:r>
      <w:r>
        <w:rPr>
          <w:rFonts w:hint="eastAsia" w:ascii="仿宋_GB2312" w:eastAsia="仿宋_GB2312"/>
          <w:sz w:val="32"/>
          <w:szCs w:val="32"/>
          <w:highlight w:val="none"/>
        </w:rPr>
        <w:t>万元，其中：</w:t>
      </w:r>
      <w:r>
        <w:rPr>
          <w:rFonts w:hint="eastAsia" w:ascii="仿宋_GB2312" w:eastAsia="仿宋_GB2312"/>
          <w:b/>
          <w:bCs/>
          <w:sz w:val="32"/>
          <w:szCs w:val="32"/>
          <w:highlight w:val="none"/>
        </w:rPr>
        <w:t>人员经费</w:t>
      </w:r>
      <w:r>
        <w:rPr>
          <w:rFonts w:ascii="仿宋_GB2312" w:eastAsia="仿宋_GB2312"/>
          <w:b w:val="0"/>
          <w:sz w:val="32"/>
          <w:szCs w:val="32"/>
        </w:rPr>
        <w:t>570.43</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w:t>
      </w:r>
      <w:r>
        <w:rPr>
          <w:rFonts w:ascii="仿宋_GB2312" w:eastAsia="仿宋_GB2312"/>
          <w:b w:val="0"/>
          <w:sz w:val="32"/>
          <w:szCs w:val="32"/>
        </w:rPr>
        <w:t>基本工资、津贴补贴、奖金、机关事业单位基本养老保险缴费、职业年金缴费、职工基本医疗保险缴费、公务员医疗补助缴费、其他社会保障缴费、住房公积金、医疗费、其他工资福利支出、退休费、抚恤金和生活补助</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hAnsi="宋体" w:eastAsia="仿宋_GB2312" w:cs="宋体"/>
          <w:kern w:val="0"/>
          <w:sz w:val="32"/>
          <w:szCs w:val="32"/>
          <w:highlight w:val="none"/>
        </w:rPr>
      </w:pPr>
      <w:r>
        <w:rPr>
          <w:rFonts w:hint="eastAsia" w:ascii="仿宋_GB2312" w:eastAsia="仿宋_GB2312"/>
          <w:b/>
          <w:bCs/>
          <w:sz w:val="32"/>
          <w:szCs w:val="32"/>
          <w:highlight w:val="none"/>
        </w:rPr>
        <w:t>公用经费</w:t>
      </w:r>
      <w:r>
        <w:rPr>
          <w:rFonts w:ascii="仿宋_GB2312" w:eastAsia="仿宋_GB2312"/>
          <w:b w:val="0"/>
          <w:sz w:val="32"/>
          <w:szCs w:val="32"/>
        </w:rPr>
        <w:t>92.86</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w:t>
      </w:r>
      <w:r>
        <w:rPr>
          <w:rFonts w:ascii="仿宋_GB2312" w:eastAsia="仿宋_GB2312"/>
          <w:b w:val="0"/>
          <w:sz w:val="32"/>
          <w:szCs w:val="32"/>
        </w:rPr>
        <w:t>办公费、邮电费、差旅费、培训费、委托业务费、工会经费、福利费、公务用车运行维护费和费用补贴。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3" w:name="_Toc7927"/>
      <w:bookmarkStart w:id="24" w:name="_Toc7523"/>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lang w:eastAsia="zh-CN"/>
        </w:rPr>
        <w:t>政府性基金预算财政拨款收入支出决算情况说明</w:t>
      </w:r>
      <w:bookmarkEnd w:id="23"/>
      <w:bookmarkEnd w:id="24"/>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eastAsia="仿宋_GB2312"/>
          <w:sz w:val="32"/>
          <w:szCs w:val="32"/>
          <w:highlight w:val="none"/>
          <w:lang w:eastAsia="zh-CN"/>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yellow"/>
          <w:lang w:eastAsia="zh-CN"/>
        </w:rPr>
      </w:pPr>
      <w:bookmarkStart w:id="25" w:name="_Toc5563"/>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lang w:eastAsia="zh-CN"/>
        </w:rPr>
        <w:t>、国有资本经营预算财政拨款收入支出决算情况说明</w:t>
      </w:r>
      <w:bookmarkEnd w:id="25"/>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bookmarkStart w:id="26" w:name="_Toc7190"/>
      <w:bookmarkStart w:id="27" w:name="_Toc9161"/>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“三公”经费支出</w:t>
      </w:r>
      <w:r>
        <w:rPr>
          <w:rFonts w:ascii="仿宋_GB2312" w:eastAsia="仿宋_GB2312"/>
          <w:b w:val="0"/>
          <w:sz w:val="32"/>
          <w:szCs w:val="32"/>
        </w:rPr>
        <w:t>4.83</w:t>
      </w:r>
      <w:r>
        <w:rPr>
          <w:rFonts w:hint="eastAsia" w:ascii="仿宋_GB2312" w:eastAsia="仿宋_GB2312"/>
          <w:b/>
          <w:bCs/>
          <w:sz w:val="32"/>
          <w:szCs w:val="32"/>
          <w:highlight w:val="none"/>
        </w:rPr>
        <w:t>万元，</w:t>
      </w:r>
      <w:r>
        <w:rPr>
          <w:rFonts w:hint="eastAsia" w:ascii="仿宋_GB2312" w:eastAsia="仿宋_GB2312"/>
          <w:sz w:val="32"/>
          <w:szCs w:val="32"/>
          <w:highlight w:val="none"/>
        </w:rPr>
        <w:t>比上年</w:t>
      </w:r>
      <w:r>
        <w:rPr>
          <w:rFonts w:ascii="仿宋_GB2312" w:eastAsia="仿宋_GB2312"/>
          <w:b w:val="0"/>
          <w:sz w:val="32"/>
          <w:szCs w:val="32"/>
        </w:rPr>
        <w:t>减少4.77</w:t>
      </w:r>
      <w:r>
        <w:rPr>
          <w:rFonts w:hint="eastAsia" w:ascii="仿宋_GB2312" w:eastAsia="仿宋_GB2312"/>
          <w:sz w:val="32"/>
          <w:szCs w:val="32"/>
          <w:highlight w:val="none"/>
        </w:rPr>
        <w:t>万元，</w:t>
      </w:r>
      <w:r>
        <w:rPr>
          <w:rFonts w:ascii="仿宋_GB2312" w:eastAsia="仿宋_GB2312"/>
          <w:b w:val="0"/>
          <w:sz w:val="32"/>
          <w:szCs w:val="32"/>
        </w:rPr>
        <w:t>下降49.69%</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上级安排公务用车购置及维护费较去年减少。其中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因公出国（境）费支出</w:t>
      </w:r>
      <w:r>
        <w:rPr>
          <w:rFonts w:hint="eastAsia" w:ascii="仿宋_GB2312" w:eastAsia="仿宋_GB2312"/>
          <w:color w:val="auto"/>
          <w:sz w:val="32"/>
          <w:szCs w:val="32"/>
          <w:highlight w:val="none"/>
          <w:lang w:val="zh-CN" w:eastAsia="zh-CN"/>
        </w:rPr>
        <w:t>0.00</w:t>
      </w:r>
      <w:r>
        <w:rPr>
          <w:rFonts w:hint="eastAsia" w:ascii="仿宋_GB2312" w:eastAsia="仿宋_GB2312"/>
          <w:sz w:val="32"/>
          <w:szCs w:val="32"/>
          <w:highlight w:val="none"/>
        </w:rPr>
        <w:t>万元，占</w:t>
      </w:r>
      <w:r>
        <w:rPr>
          <w:rFonts w:hint="eastAsia" w:ascii="仿宋_GB2312" w:eastAsia="仿宋_GB2312"/>
          <w:color w:val="auto"/>
          <w:sz w:val="32"/>
          <w:szCs w:val="32"/>
          <w:highlight w:val="none"/>
          <w:lang w:val="zh-CN" w:eastAsia="zh-CN"/>
        </w:rPr>
        <w:t>0.00</w:t>
      </w:r>
      <w:r>
        <w:rPr>
          <w:rFonts w:hint="eastAsia" w:ascii="仿宋_GB2312" w:eastAsia="仿宋_GB2312"/>
          <w:sz w:val="32"/>
          <w:szCs w:val="32"/>
          <w:highlight w:val="none"/>
        </w:rPr>
        <w:t>%，</w:t>
      </w:r>
      <w:r>
        <w:rPr>
          <w:rFonts w:ascii="仿宋_GB2312" w:eastAsia="仿宋_GB2312"/>
          <w:b w:val="0"/>
          <w:sz w:val="32"/>
          <w:szCs w:val="32"/>
        </w:rPr>
        <w:t>与上年相比无变化</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仿宋_GB2312" w:cs="Times New Roman"/>
          <w:color w:val="auto"/>
          <w:sz w:val="31"/>
          <w:szCs w:val="31"/>
        </w:rPr>
        <w:t>我</w:t>
      </w:r>
      <w:r>
        <w:rPr>
          <w:rFonts w:hint="default" w:ascii="Times New Roman" w:hAnsi="Times New Roman" w:eastAsia="仿宋_GB2312" w:cs="Times New Roman"/>
          <w:color w:val="auto"/>
          <w:sz w:val="31"/>
          <w:szCs w:val="31"/>
          <w:lang w:val="en-US" w:eastAsia="zh-CN"/>
        </w:rPr>
        <w:t>单位本年未支出</w:t>
      </w:r>
      <w:r>
        <w:rPr>
          <w:rFonts w:hint="default" w:ascii="Times New Roman" w:hAnsi="Times New Roman" w:eastAsia="仿宋_GB2312" w:cs="Times New Roman"/>
          <w:color w:val="auto"/>
          <w:sz w:val="31"/>
          <w:szCs w:val="31"/>
        </w:rPr>
        <w:t>因公出国（境）</w:t>
      </w:r>
      <w:r>
        <w:rPr>
          <w:rFonts w:hint="default" w:ascii="Times New Roman" w:hAnsi="Times New Roman" w:eastAsia="仿宋_GB2312" w:cs="Times New Roman"/>
          <w:color w:val="auto"/>
          <w:sz w:val="31"/>
          <w:szCs w:val="31"/>
          <w:lang w:val="en-US" w:eastAsia="zh-CN"/>
        </w:rPr>
        <w:t>费</w:t>
      </w:r>
      <w:r>
        <w:rPr>
          <w:rFonts w:hint="eastAsia" w:ascii="仿宋_GB2312" w:eastAsia="仿宋_GB2312"/>
          <w:sz w:val="32"/>
          <w:szCs w:val="32"/>
          <w:highlight w:val="none"/>
        </w:rPr>
        <w:t>；公务用车购置及运行维护费支出</w:t>
      </w:r>
      <w:r>
        <w:rPr>
          <w:rFonts w:ascii="仿宋_GB2312" w:eastAsia="仿宋_GB2312"/>
          <w:b w:val="0"/>
          <w:sz w:val="32"/>
          <w:szCs w:val="32"/>
        </w:rPr>
        <w:t>4.83</w:t>
      </w:r>
      <w:r>
        <w:rPr>
          <w:rFonts w:hint="eastAsia" w:ascii="仿宋_GB2312" w:eastAsia="仿宋_GB2312"/>
          <w:sz w:val="32"/>
          <w:szCs w:val="32"/>
          <w:highlight w:val="none"/>
        </w:rPr>
        <w:t>万元，占</w:t>
      </w:r>
      <w:r>
        <w:rPr>
          <w:rFonts w:ascii="仿宋_GB2312" w:eastAsia="仿宋_GB2312"/>
          <w:b w:val="0"/>
          <w:sz w:val="32"/>
          <w:szCs w:val="32"/>
        </w:rPr>
        <w:t>100.00</w:t>
      </w:r>
      <w:r>
        <w:rPr>
          <w:rFonts w:hint="eastAsia" w:ascii="仿宋_GB2312" w:eastAsia="仿宋_GB2312"/>
          <w:sz w:val="32"/>
          <w:szCs w:val="32"/>
          <w:highlight w:val="none"/>
        </w:rPr>
        <w:t>%，比上年</w:t>
      </w:r>
      <w:r>
        <w:rPr>
          <w:rFonts w:ascii="仿宋_GB2312" w:eastAsia="仿宋_GB2312"/>
          <w:b w:val="0"/>
          <w:sz w:val="32"/>
          <w:szCs w:val="32"/>
        </w:rPr>
        <w:t>减少4.77</w:t>
      </w:r>
      <w:r>
        <w:rPr>
          <w:rFonts w:hint="eastAsia" w:ascii="仿宋_GB2312" w:eastAsia="仿宋_GB2312"/>
          <w:sz w:val="32"/>
          <w:szCs w:val="32"/>
          <w:highlight w:val="none"/>
        </w:rPr>
        <w:t>万元，</w:t>
      </w:r>
      <w:r>
        <w:rPr>
          <w:rFonts w:ascii="仿宋_GB2312" w:eastAsia="仿宋_GB2312"/>
          <w:b w:val="0"/>
          <w:sz w:val="32"/>
          <w:szCs w:val="32"/>
        </w:rPr>
        <w:t>下降49.69%</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上</w:t>
      </w:r>
      <w:r>
        <w:rPr>
          <w:rFonts w:hint="eastAsia" w:ascii="仿宋_GB2312" w:eastAsia="仿宋_GB2312"/>
          <w:sz w:val="32"/>
          <w:szCs w:val="32"/>
          <w:highlight w:val="none"/>
        </w:rPr>
        <w:t>级安排公务用车购置及维护费较去年减少；公务接待费支出</w:t>
      </w:r>
      <w:r>
        <w:rPr>
          <w:rFonts w:ascii="仿宋_GB2312" w:eastAsia="仿宋_GB2312"/>
          <w:b w:val="0"/>
          <w:sz w:val="32"/>
          <w:szCs w:val="32"/>
        </w:rPr>
        <w:t>0.00</w:t>
      </w:r>
      <w:r>
        <w:rPr>
          <w:rFonts w:hint="eastAsia" w:ascii="仿宋_GB2312" w:eastAsia="仿宋_GB2312"/>
          <w:sz w:val="32"/>
          <w:szCs w:val="32"/>
          <w:highlight w:val="none"/>
        </w:rPr>
        <w:t>万元，占</w:t>
      </w:r>
      <w:r>
        <w:rPr>
          <w:rFonts w:ascii="仿宋_GB2312" w:eastAsia="仿宋_GB2312"/>
          <w:b w:val="0"/>
          <w:sz w:val="32"/>
          <w:szCs w:val="32"/>
        </w:rPr>
        <w:t>0.00</w:t>
      </w:r>
      <w:r>
        <w:rPr>
          <w:rFonts w:hint="eastAsia" w:ascii="仿宋_GB2312" w:eastAsia="仿宋_GB2312"/>
          <w:sz w:val="32"/>
          <w:szCs w:val="32"/>
          <w:highlight w:val="none"/>
        </w:rPr>
        <w:t>%，</w:t>
      </w:r>
      <w:r>
        <w:rPr>
          <w:rFonts w:ascii="仿宋_GB2312" w:eastAsia="仿宋_GB2312"/>
          <w:b w:val="0"/>
          <w:sz w:val="32"/>
          <w:szCs w:val="32"/>
        </w:rPr>
        <w:t>与上年相比无变化</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仿宋_GB2312" w:cs="Times New Roman"/>
          <w:color w:val="auto"/>
          <w:sz w:val="31"/>
          <w:szCs w:val="31"/>
          <w:lang w:val="en-US" w:eastAsia="zh-CN"/>
        </w:rPr>
        <w:t>本年未支出</w:t>
      </w:r>
      <w:r>
        <w:rPr>
          <w:rFonts w:hint="default" w:ascii="Times New Roman" w:hAnsi="Times New Roman" w:eastAsia="仿宋_GB2312" w:cs="Times New Roman"/>
          <w:color w:val="auto"/>
          <w:sz w:val="31"/>
          <w:szCs w:val="31"/>
        </w:rPr>
        <w:t>公务接待</w:t>
      </w:r>
      <w:r>
        <w:rPr>
          <w:rFonts w:hint="default" w:ascii="Times New Roman" w:hAnsi="Times New Roman" w:eastAsia="仿宋_GB2312" w:cs="Times New Roman"/>
          <w:color w:val="auto"/>
          <w:sz w:val="31"/>
          <w:szCs w:val="31"/>
          <w:lang w:val="en-US" w:eastAsia="zh-CN"/>
        </w:rPr>
        <w:t>费</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b/>
          <w:bCs/>
          <w:sz w:val="32"/>
          <w:szCs w:val="32"/>
          <w:highlight w:val="none"/>
        </w:rPr>
      </w:pPr>
      <w:r>
        <w:rPr>
          <w:rFonts w:hint="eastAsia" w:ascii="仿宋_GB2312" w:eastAsia="仿宋_GB2312"/>
          <w:b/>
          <w:bCs/>
          <w:sz w:val="32"/>
          <w:szCs w:val="32"/>
          <w:highlight w:val="none"/>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因公出国（境）费支出</w:t>
      </w:r>
      <w:r>
        <w:rPr>
          <w:rFonts w:ascii="仿宋_GB2312" w:eastAsia="仿宋_GB2312"/>
          <w:b w:val="0"/>
          <w:sz w:val="32"/>
          <w:szCs w:val="32"/>
        </w:rPr>
        <w:t>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本单位无开支内容</w:t>
      </w:r>
      <w:r>
        <w:rPr>
          <w:rFonts w:hint="eastAsia" w:ascii="仿宋_GB2312" w:eastAsia="仿宋_GB2312"/>
          <w:sz w:val="32"/>
          <w:szCs w:val="32"/>
          <w:highlight w:val="none"/>
        </w:rPr>
        <w:t>。单位全年安排的因公出国（境）团组</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个，因公出国（境）</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公务用车购置及运行维护费</w:t>
      </w:r>
      <w:r>
        <w:rPr>
          <w:rFonts w:ascii="仿宋_GB2312" w:eastAsia="仿宋_GB2312"/>
          <w:b w:val="0"/>
          <w:sz w:val="32"/>
          <w:szCs w:val="32"/>
        </w:rPr>
        <w:t>4.83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公务用车购置费</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万元，公务用车运行维护费</w:t>
      </w:r>
      <w:r>
        <w:rPr>
          <w:rFonts w:ascii="仿宋_GB2312" w:eastAsia="仿宋_GB2312"/>
          <w:b w:val="0"/>
          <w:sz w:val="32"/>
          <w:szCs w:val="32"/>
        </w:rPr>
        <w:t>4.83</w:t>
      </w:r>
      <w:r>
        <w:rPr>
          <w:rFonts w:hint="eastAsia" w:ascii="仿宋_GB2312" w:eastAsia="仿宋_GB2312"/>
          <w:sz w:val="32"/>
          <w:szCs w:val="32"/>
          <w:highlight w:val="none"/>
        </w:rPr>
        <w:t>万元。公务用车运行维护费开支内容包括</w:t>
      </w:r>
      <w:r>
        <w:rPr>
          <w:rFonts w:hint="default" w:ascii="Times New Roman" w:hAnsi="Times New Roman" w:eastAsia="仿宋_GB2312" w:cs="Times New Roman"/>
          <w:color w:val="auto"/>
          <w:kern w:val="0"/>
          <w:sz w:val="31"/>
          <w:szCs w:val="31"/>
          <w:lang w:val="en-US" w:eastAsia="zh-CN"/>
        </w:rPr>
        <w:t>车辆燃料费、车辆维修费、车辆保险费</w:t>
      </w:r>
      <w:r>
        <w:rPr>
          <w:rFonts w:hint="eastAsia" w:ascii="仿宋_GB2312" w:eastAsia="仿宋_GB2312"/>
          <w:sz w:val="32"/>
          <w:szCs w:val="32"/>
          <w:highlight w:val="none"/>
        </w:rPr>
        <w:t>。公务用车购置数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辆，公务用车保有量</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辆。国有资产占用情况</w:t>
      </w:r>
      <w:r>
        <w:rPr>
          <w:rFonts w:hint="eastAsia" w:ascii="仿宋_GB2312" w:eastAsia="仿宋_GB2312"/>
          <w:sz w:val="32"/>
          <w:szCs w:val="32"/>
          <w:highlight w:val="none"/>
          <w:lang w:val="en-US" w:eastAsia="zh-CN"/>
        </w:rPr>
        <w:t>中固定资产车辆5</w:t>
      </w:r>
      <w:r>
        <w:rPr>
          <w:rFonts w:hint="eastAsia" w:ascii="仿宋_GB2312" w:eastAsia="仿宋_GB2312"/>
          <w:sz w:val="32"/>
          <w:szCs w:val="32"/>
          <w:highlight w:val="none"/>
        </w:rPr>
        <w:t>辆</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rPr>
        <w:t>：</w:t>
      </w:r>
      <w:r>
        <w:rPr>
          <w:rFonts w:hint="eastAsia" w:ascii="仿宋_GB2312" w:eastAsia="仿宋_GB2312"/>
          <w:color w:val="auto"/>
          <w:sz w:val="32"/>
          <w:szCs w:val="32"/>
          <w:highlight w:val="none"/>
          <w:lang w:val="zh-CN" w:eastAsia="zh-CN"/>
        </w:rPr>
        <w:t>固定资产车辆与公务用车保有量无差异</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公务接待费</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w:t>
      </w:r>
      <w:r>
        <w:rPr>
          <w:rFonts w:hint="eastAsia" w:ascii="仿宋_GB2312" w:eastAsia="仿宋_GB2312"/>
          <w:sz w:val="32"/>
          <w:szCs w:val="32"/>
          <w:highlight w:val="none"/>
          <w:lang w:val="en-US" w:eastAsia="zh-CN"/>
        </w:rPr>
        <w:t>无开支内容</w:t>
      </w:r>
      <w:r>
        <w:rPr>
          <w:rFonts w:hint="eastAsia" w:ascii="仿宋_GB2312" w:eastAsia="仿宋_GB2312"/>
          <w:sz w:val="32"/>
          <w:szCs w:val="32"/>
          <w:highlight w:val="none"/>
        </w:rPr>
        <w:t>。单位全年安排的国内公务接待</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与</w:t>
      </w:r>
      <w:r>
        <w:rPr>
          <w:rFonts w:hint="eastAsia" w:ascii="仿宋_GB2312" w:eastAsia="仿宋_GB2312"/>
          <w:b/>
          <w:bCs/>
          <w:sz w:val="32"/>
          <w:szCs w:val="32"/>
          <w:highlight w:val="none"/>
          <w:lang w:val="en-US" w:eastAsia="zh-CN"/>
        </w:rPr>
        <w:t>全年</w:t>
      </w:r>
      <w:r>
        <w:rPr>
          <w:rFonts w:hint="eastAsia" w:ascii="仿宋_GB2312" w:eastAsia="仿宋_GB2312"/>
          <w:b/>
          <w:bCs/>
          <w:sz w:val="32"/>
          <w:szCs w:val="32"/>
          <w:highlight w:val="none"/>
          <w:lang w:eastAsia="zh-CN"/>
        </w:rPr>
        <w:t>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b w:val="0"/>
          <w:bCs w:val="0"/>
          <w:sz w:val="32"/>
          <w:szCs w:val="32"/>
          <w:highlight w:val="none"/>
          <w:lang w:eastAsia="zh-CN"/>
        </w:rPr>
        <w:t>财政拨款</w:t>
      </w:r>
      <w:r>
        <w:rPr>
          <w:rFonts w:hint="eastAsia" w:ascii="仿宋_GB2312" w:eastAsia="仿宋_GB2312"/>
          <w:b w:val="0"/>
          <w:bCs w:val="0"/>
          <w:sz w:val="32"/>
          <w:szCs w:val="32"/>
          <w:highlight w:val="none"/>
        </w:rPr>
        <w:t>“</w:t>
      </w:r>
      <w:r>
        <w:rPr>
          <w:rFonts w:hint="eastAsia" w:ascii="仿宋_GB2312" w:eastAsia="仿宋_GB2312"/>
          <w:sz w:val="32"/>
          <w:szCs w:val="32"/>
          <w:highlight w:val="none"/>
        </w:rPr>
        <w:t>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eastAsia="zh-CN"/>
        </w:rPr>
        <w:t>预算数</w:t>
      </w:r>
      <w:r>
        <w:rPr>
          <w:rFonts w:ascii="仿宋_GB2312" w:eastAsia="仿宋_GB2312"/>
          <w:b w:val="0"/>
          <w:sz w:val="32"/>
          <w:szCs w:val="32"/>
        </w:rPr>
        <w:t>4.83</w:t>
      </w:r>
      <w:r>
        <w:rPr>
          <w:rFonts w:hint="eastAsia" w:ascii="仿宋_GB2312" w:eastAsia="仿宋_GB2312"/>
          <w:sz w:val="32"/>
          <w:szCs w:val="32"/>
          <w:highlight w:val="none"/>
        </w:rPr>
        <w:t>万元，决算数</w:t>
      </w:r>
      <w:r>
        <w:rPr>
          <w:rFonts w:ascii="仿宋_GB2312" w:eastAsia="仿宋_GB2312"/>
          <w:b w:val="0"/>
          <w:sz w:val="32"/>
          <w:szCs w:val="32"/>
        </w:rPr>
        <w:t>4.83</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仿宋_GB2312" w:cs="Times New Roman"/>
          <w:color w:val="auto"/>
          <w:sz w:val="31"/>
          <w:szCs w:val="31"/>
          <w:lang w:val="en-US" w:eastAsia="zh-CN"/>
        </w:rPr>
        <w:t>严格按预算执行经费开支，全年无超支</w:t>
      </w:r>
      <w:r>
        <w:rPr>
          <w:rFonts w:hint="eastAsia" w:ascii="仿宋_GB2312" w:eastAsia="仿宋_GB2312"/>
          <w:color w:val="auto"/>
          <w:sz w:val="32"/>
          <w:szCs w:val="32"/>
          <w:highlight w:val="none"/>
          <w:lang w:val="zh-CN" w:eastAsia="zh-CN"/>
        </w:rPr>
        <w:t>。</w:t>
      </w:r>
      <w:r>
        <w:rPr>
          <w:rFonts w:hint="eastAsia" w:ascii="仿宋_GB2312" w:hAnsi="宋体" w:eastAsia="仿宋_GB2312" w:cs="宋体"/>
          <w:kern w:val="0"/>
          <w:sz w:val="32"/>
          <w:szCs w:val="32"/>
          <w:highlight w:val="none"/>
        </w:rPr>
        <w:t>其中：因公出国（境）费</w:t>
      </w:r>
      <w:r>
        <w:rPr>
          <w:rFonts w:hint="eastAsia" w:ascii="仿宋_GB2312" w:hAnsi="宋体" w:eastAsia="仿宋_GB2312" w:cs="宋体"/>
          <w:kern w:val="0"/>
          <w:sz w:val="32"/>
          <w:szCs w:val="32"/>
          <w:highlight w:val="none"/>
          <w:lang w:val="en-US" w:eastAsia="zh-CN"/>
        </w:rPr>
        <w:t>全年预算数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仿宋_GB2312" w:cs="Times New Roman"/>
          <w:color w:val="auto"/>
          <w:sz w:val="31"/>
          <w:szCs w:val="31"/>
        </w:rPr>
        <w:t>我单位无因公出国（境）支出</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仿宋_GB2312" w:cs="Times New Roman"/>
          <w:color w:val="auto"/>
          <w:kern w:val="0"/>
          <w:sz w:val="31"/>
          <w:szCs w:val="31"/>
          <w:lang w:val="en-US" w:eastAsia="zh-CN"/>
        </w:rPr>
        <w:t>我单位未购置公务用车</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公务用车运行费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4.83</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4.83</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严</w:t>
      </w:r>
      <w:r>
        <w:rPr>
          <w:rFonts w:hint="default" w:ascii="Times New Roman" w:hAnsi="Times New Roman" w:eastAsia="仿宋_GB2312" w:cs="Times New Roman"/>
          <w:color w:val="auto"/>
          <w:sz w:val="31"/>
          <w:szCs w:val="31"/>
          <w:lang w:val="en-US" w:eastAsia="zh-CN"/>
        </w:rPr>
        <w:t>格按预算执行经费开支，全年无超支</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公务接待费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default" w:ascii="Times New Roman" w:hAnsi="Times New Roman" w:eastAsia="仿宋_GB2312" w:cs="Times New Roman"/>
          <w:color w:val="auto"/>
          <w:sz w:val="31"/>
          <w:szCs w:val="31"/>
        </w:rPr>
        <w:t>我单位未安排公务接待</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8" w:name="_Toc7314"/>
      <w:bookmarkStart w:id="29" w:name="_Toc1639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rPr>
      </w:pPr>
      <w:bookmarkStart w:id="30" w:name="_Toc13105"/>
      <w:bookmarkStart w:id="31" w:name="_Toc21748"/>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w:t>
      </w:r>
      <w:r>
        <w:rPr>
          <w:rFonts w:hint="eastAsia" w:ascii="黑体" w:hAnsi="黑体" w:eastAsia="黑体"/>
          <w:sz w:val="32"/>
          <w:szCs w:val="32"/>
          <w:highlight w:val="none"/>
          <w:lang w:val="en-US" w:eastAsia="zh-CN"/>
        </w:rPr>
        <w:t>及公用经费</w:t>
      </w:r>
      <w:r>
        <w:rPr>
          <w:rFonts w:hint="eastAsia" w:ascii="黑体" w:hAnsi="黑体" w:eastAsia="黑体"/>
          <w:sz w:val="32"/>
          <w:szCs w:val="32"/>
          <w:highlight w:val="none"/>
        </w:rPr>
        <w:t>支出情况</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lang w:val="en-US" w:eastAsia="zh-CN"/>
        </w:rPr>
        <w:t>库尔勒市商务和工业信息化局</w:t>
      </w:r>
      <w:r>
        <w:rPr>
          <w:rFonts w:hint="eastAsia" w:ascii="仿宋_GB2312" w:eastAsia="仿宋_GB2312"/>
          <w:sz w:val="32"/>
          <w:szCs w:val="32"/>
          <w:highlight w:val="none"/>
        </w:rPr>
        <w:t>（行政单位）机关运行经费支出</w:t>
      </w:r>
      <w:r>
        <w:rPr>
          <w:rFonts w:ascii="仿宋_GB2312" w:eastAsia="仿宋_GB2312"/>
          <w:b w:val="0"/>
          <w:sz w:val="32"/>
          <w:szCs w:val="32"/>
        </w:rPr>
        <w:t>92.86</w:t>
      </w:r>
      <w:r>
        <w:rPr>
          <w:rFonts w:hint="eastAsia" w:ascii="仿宋_GB2312" w:eastAsia="仿宋_GB2312"/>
          <w:sz w:val="32"/>
          <w:szCs w:val="32"/>
          <w:highlight w:val="none"/>
        </w:rPr>
        <w:t>万元，比上年</w:t>
      </w:r>
      <w:r>
        <w:rPr>
          <w:rFonts w:ascii="仿宋_GB2312" w:eastAsia="仿宋_GB2312"/>
          <w:b w:val="0"/>
          <w:sz w:val="32"/>
          <w:szCs w:val="32"/>
        </w:rPr>
        <w:t>减少363.81</w:t>
      </w:r>
      <w:r>
        <w:rPr>
          <w:rFonts w:hint="eastAsia" w:ascii="仿宋_GB2312" w:eastAsia="仿宋_GB2312"/>
          <w:sz w:val="32"/>
          <w:szCs w:val="32"/>
          <w:highlight w:val="none"/>
        </w:rPr>
        <w:t>万元，</w:t>
      </w:r>
      <w:r>
        <w:rPr>
          <w:rFonts w:ascii="仿宋_GB2312" w:eastAsia="仿宋_GB2312"/>
          <w:b w:val="0"/>
          <w:sz w:val="32"/>
          <w:szCs w:val="32"/>
        </w:rPr>
        <w:t>下降79.67%</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w:t>
      </w:r>
      <w:r>
        <w:rPr>
          <w:rFonts w:hint="eastAsia" w:ascii="仿宋_GB2312" w:eastAsia="仿宋_GB2312"/>
          <w:b w:val="0"/>
          <w:sz w:val="32"/>
          <w:szCs w:val="32"/>
        </w:rPr>
        <w:t>2023年有419.7万元的项目从基本支出中列支。</w:t>
      </w:r>
      <w:r>
        <w:rPr>
          <w:rFonts w:hint="eastAsia" w:ascii="仿宋_GB2312" w:eastAsia="仿宋_GB2312"/>
          <w:b w:val="0"/>
          <w:sz w:val="32"/>
          <w:szCs w:val="32"/>
          <w:lang w:val="en-US" w:eastAsia="zh-CN"/>
        </w:rPr>
        <w:t>2024年无此情况发生</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32" w:name="_Toc25177"/>
      <w:bookmarkStart w:id="33" w:name="_Toc26704"/>
      <w:r>
        <w:rPr>
          <w:rFonts w:hint="eastAsia" w:ascii="黑体" w:hAnsi="黑体" w:eastAsia="黑体"/>
          <w:sz w:val="32"/>
          <w:szCs w:val="32"/>
          <w:highlight w:val="none"/>
          <w:lang w:eastAsia="zh-CN"/>
        </w:rPr>
        <w:t>（二）政府采购情况</w:t>
      </w:r>
      <w:bookmarkEnd w:id="32"/>
      <w:bookmarkEnd w:id="33"/>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政府采购支出总额</w:t>
      </w:r>
      <w:r>
        <w:rPr>
          <w:rFonts w:ascii="仿宋_GB2312" w:eastAsia="仿宋_GB2312"/>
          <w:b w:val="0"/>
          <w:sz w:val="32"/>
          <w:szCs w:val="32"/>
        </w:rPr>
        <w:t>3.79</w:t>
      </w:r>
      <w:r>
        <w:rPr>
          <w:rFonts w:hint="eastAsia" w:ascii="仿宋_GB2312" w:eastAsia="仿宋_GB2312"/>
          <w:sz w:val="32"/>
          <w:szCs w:val="32"/>
          <w:highlight w:val="none"/>
        </w:rPr>
        <w:t>万元，其中：政府采购货物支出</w:t>
      </w:r>
      <w:r>
        <w:rPr>
          <w:rFonts w:ascii="仿宋_GB2312" w:eastAsia="仿宋_GB2312"/>
          <w:b w:val="0"/>
          <w:sz w:val="32"/>
          <w:szCs w:val="32"/>
        </w:rPr>
        <w:t>0.86</w:t>
      </w:r>
      <w:r>
        <w:rPr>
          <w:rFonts w:hint="eastAsia" w:ascii="仿宋_GB2312" w:eastAsia="仿宋_GB2312"/>
          <w:sz w:val="32"/>
          <w:szCs w:val="32"/>
          <w:highlight w:val="none"/>
        </w:rPr>
        <w:t>万元、政府采购工程支出</w:t>
      </w:r>
      <w:r>
        <w:rPr>
          <w:rFonts w:ascii="仿宋_GB2312" w:eastAsia="仿宋_GB2312"/>
          <w:b w:val="0"/>
          <w:sz w:val="32"/>
          <w:szCs w:val="32"/>
        </w:rPr>
        <w:t>0.00</w:t>
      </w:r>
      <w:r>
        <w:rPr>
          <w:rFonts w:hint="eastAsia" w:ascii="仿宋_GB2312" w:eastAsia="仿宋_GB2312"/>
          <w:sz w:val="32"/>
          <w:szCs w:val="32"/>
          <w:highlight w:val="none"/>
        </w:rPr>
        <w:t>万元、政府采购服务支出</w:t>
      </w:r>
      <w:r>
        <w:rPr>
          <w:rFonts w:ascii="仿宋_GB2312" w:eastAsia="仿宋_GB2312"/>
          <w:b w:val="0"/>
          <w:sz w:val="32"/>
          <w:szCs w:val="32"/>
        </w:rPr>
        <w:t>2.93</w:t>
      </w:r>
      <w:r>
        <w:rPr>
          <w:rFonts w:hint="eastAsia" w:ascii="仿宋_GB2312" w:eastAsia="仿宋_GB2312"/>
          <w:sz w:val="32"/>
          <w:szCs w:val="32"/>
          <w:highlight w:val="none"/>
        </w:rPr>
        <w:t>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授予中小企业合同金额</w:t>
      </w:r>
      <w:r>
        <w:rPr>
          <w:rFonts w:ascii="仿宋_GB2312" w:eastAsia="仿宋_GB2312"/>
          <w:b w:val="0"/>
          <w:sz w:val="32"/>
          <w:szCs w:val="32"/>
        </w:rPr>
        <w:t>3.79</w:t>
      </w:r>
      <w:r>
        <w:rPr>
          <w:rFonts w:hint="eastAsia" w:ascii="仿宋_GB2312" w:eastAsia="仿宋_GB2312"/>
          <w:sz w:val="32"/>
          <w:szCs w:val="32"/>
          <w:highlight w:val="none"/>
        </w:rPr>
        <w:t>万元，占政府采购支出总额的</w:t>
      </w:r>
      <w:r>
        <w:rPr>
          <w:rFonts w:ascii="仿宋_GB2312" w:eastAsia="仿宋_GB2312"/>
          <w:b w:val="0"/>
          <w:sz w:val="32"/>
          <w:szCs w:val="32"/>
        </w:rPr>
        <w:t>100.00</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，其中：授予小微企业合同金额</w:t>
      </w:r>
      <w:r>
        <w:rPr>
          <w:rFonts w:ascii="仿宋_GB2312" w:eastAsia="仿宋_GB2312"/>
          <w:b w:val="0"/>
          <w:sz w:val="32"/>
          <w:szCs w:val="32"/>
        </w:rPr>
        <w:t>3.06</w:t>
      </w:r>
      <w:r>
        <w:rPr>
          <w:rFonts w:hint="eastAsia" w:ascii="仿宋_GB2312" w:eastAsia="仿宋_GB2312"/>
          <w:sz w:val="32"/>
          <w:szCs w:val="32"/>
          <w:highlight w:val="none"/>
        </w:rPr>
        <w:t>万元，占政府采购支出总额的</w:t>
      </w:r>
      <w:r>
        <w:rPr>
          <w:rFonts w:ascii="仿宋_GB2312" w:eastAsia="仿宋_GB2312"/>
          <w:b w:val="0"/>
          <w:sz w:val="32"/>
          <w:szCs w:val="32"/>
        </w:rPr>
        <w:t>80.74%</w:t>
      </w:r>
      <w:r>
        <w:rPr>
          <w:rFonts w:hint="eastAsia"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34" w:name="_Toc31294"/>
      <w:bookmarkStart w:id="35" w:name="_Toc4591"/>
      <w:r>
        <w:rPr>
          <w:rFonts w:hint="eastAsia" w:ascii="黑体" w:hAnsi="黑体" w:eastAsia="黑体"/>
          <w:sz w:val="32"/>
          <w:szCs w:val="32"/>
          <w:highlight w:val="none"/>
          <w:lang w:eastAsia="zh-CN"/>
        </w:rPr>
        <w:t>（三）国有资产占用情况说明</w:t>
      </w:r>
      <w:bookmarkEnd w:id="34"/>
      <w:bookmarkEnd w:id="3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截至</w:t>
      </w:r>
      <w:r>
        <w:rPr>
          <w:rFonts w:hint="eastAsia" w:ascii="仿宋_GB2312" w:eastAsia="仿宋_GB2312"/>
          <w:spacing w:val="0"/>
          <w:sz w:val="32"/>
          <w:szCs w:val="32"/>
          <w:highlight w:val="none"/>
          <w:lang w:val="en-US" w:eastAsia="zh-CN"/>
        </w:rPr>
        <w:t>2024</w:t>
      </w:r>
      <w:r>
        <w:rPr>
          <w:rFonts w:hint="eastAsia" w:ascii="仿宋_GB2312" w:eastAsia="仿宋_GB2312"/>
          <w:spacing w:val="0"/>
          <w:sz w:val="32"/>
          <w:szCs w:val="32"/>
          <w:highlight w:val="none"/>
          <w:lang w:eastAsia="zh-CN"/>
        </w:rPr>
        <w:t>年</w:t>
      </w:r>
      <w:r>
        <w:rPr>
          <w:rFonts w:hint="eastAsia" w:ascii="仿宋_GB2312" w:eastAsia="仿宋_GB2312"/>
          <w:spacing w:val="0"/>
          <w:sz w:val="32"/>
          <w:szCs w:val="32"/>
          <w:highlight w:val="none"/>
          <w:lang w:val="en-US" w:eastAsia="zh-CN"/>
        </w:rPr>
        <w:t>12月31日</w:t>
      </w:r>
      <w:r>
        <w:rPr>
          <w:rFonts w:hint="eastAsia" w:ascii="仿宋_GB2312" w:eastAsia="仿宋_GB2312"/>
          <w:spacing w:val="0"/>
          <w:sz w:val="32"/>
          <w:szCs w:val="32"/>
          <w:highlight w:val="none"/>
          <w:lang w:eastAsia="zh-CN"/>
        </w:rPr>
        <w:t>，</w:t>
      </w:r>
      <w:r>
        <w:rPr>
          <w:rFonts w:hint="eastAsia" w:ascii="仿宋_GB2312" w:eastAsia="仿宋_GB2312"/>
          <w:sz w:val="32"/>
          <w:szCs w:val="32"/>
          <w:highlight w:val="none"/>
          <w:lang w:val="en-US" w:eastAsia="zh-CN"/>
        </w:rPr>
        <w:t>房</w:t>
      </w:r>
      <w:r>
        <w:rPr>
          <w:rFonts w:hint="eastAsia" w:ascii="仿宋_GB2312" w:eastAsia="仿宋_GB2312"/>
          <w:sz w:val="32"/>
          <w:szCs w:val="32"/>
          <w:highlight w:val="none"/>
        </w:rPr>
        <w:t>屋</w:t>
      </w:r>
      <w:r>
        <w:rPr>
          <w:rFonts w:ascii="仿宋_GB2312" w:eastAsia="仿宋_GB2312"/>
          <w:b w:val="0"/>
          <w:sz w:val="32"/>
          <w:szCs w:val="32"/>
        </w:rPr>
        <w:t>2,392.40</w:t>
      </w:r>
      <w:r>
        <w:rPr>
          <w:rFonts w:hint="eastAsia" w:ascii="仿宋_GB2312" w:eastAsia="仿宋_GB2312"/>
          <w:sz w:val="32"/>
          <w:szCs w:val="32"/>
          <w:highlight w:val="none"/>
        </w:rPr>
        <w:t>平方米</w:t>
      </w:r>
      <w:r>
        <w:rPr>
          <w:rFonts w:hint="eastAsia" w:ascii="仿宋_GB2312" w:eastAsia="仿宋_GB2312"/>
          <w:sz w:val="32"/>
          <w:szCs w:val="32"/>
          <w:highlight w:val="none"/>
          <w:lang w:eastAsia="zh-CN"/>
        </w:rPr>
        <w:t>，价值</w:t>
      </w:r>
      <w:r>
        <w:rPr>
          <w:rFonts w:ascii="仿宋_GB2312" w:eastAsia="仿宋_GB2312"/>
          <w:b w:val="0"/>
          <w:sz w:val="32"/>
          <w:szCs w:val="32"/>
        </w:rPr>
        <w:t>170.85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车辆</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辆，价值</w:t>
      </w:r>
      <w:r>
        <w:rPr>
          <w:rFonts w:ascii="仿宋_GB2312" w:eastAsia="仿宋_GB2312"/>
          <w:b w:val="0"/>
          <w:sz w:val="32"/>
          <w:szCs w:val="32"/>
        </w:rPr>
        <w:t>61.13</w:t>
      </w:r>
      <w:r>
        <w:rPr>
          <w:rFonts w:hint="eastAsia" w:ascii="仿宋_GB2312" w:eastAsia="仿宋_GB2312"/>
          <w:sz w:val="32"/>
          <w:szCs w:val="32"/>
          <w:highlight w:val="none"/>
        </w:rPr>
        <w:t>万元，其中：副部（省）级及以上领导用车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辆、主要</w:t>
      </w:r>
      <w:r>
        <w:rPr>
          <w:rFonts w:hint="eastAsia" w:ascii="仿宋_GB2312" w:eastAsia="仿宋_GB2312"/>
          <w:sz w:val="32"/>
          <w:szCs w:val="32"/>
          <w:highlight w:val="none"/>
          <w:lang w:val="en-US" w:eastAsia="zh-CN"/>
        </w:rPr>
        <w:t>负责人</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辆、机要通信用车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辆、应急保障用车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辆、执法执勤用车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辆、离退休干部</w:t>
      </w:r>
      <w:r>
        <w:rPr>
          <w:rFonts w:hint="eastAsia" w:ascii="仿宋_GB2312" w:eastAsia="仿宋_GB2312"/>
          <w:sz w:val="32"/>
          <w:szCs w:val="32"/>
          <w:highlight w:val="none"/>
          <w:lang w:val="en-US" w:eastAsia="zh-CN"/>
        </w:rPr>
        <w:t>服务</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辆、其他用车</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辆，其他用车主要是：</w:t>
      </w:r>
      <w:r>
        <w:rPr>
          <w:rFonts w:hint="default" w:ascii="Times New Roman" w:hAnsi="Times New Roman" w:eastAsia="仿宋_GB2312" w:cs="Times New Roman"/>
          <w:color w:val="auto"/>
          <w:sz w:val="31"/>
          <w:szCs w:val="31"/>
          <w:lang w:val="en-US" w:eastAsia="zh-CN"/>
        </w:rPr>
        <w:t>一般公务用车</w:t>
      </w:r>
      <w:r>
        <w:rPr>
          <w:rFonts w:hint="eastAsia" w:ascii="仿宋_GB2312" w:eastAsia="仿宋_GB2312"/>
          <w:sz w:val="32"/>
          <w:szCs w:val="32"/>
          <w:highlight w:val="none"/>
        </w:rPr>
        <w:t>；单价100万元（含）以上设备（不含车辆）</w:t>
      </w:r>
      <w:r>
        <w:rPr>
          <w:rFonts w:hint="eastAsia" w:ascii="仿宋_GB2312" w:eastAsia="仿宋_GB2312"/>
          <w:sz w:val="32"/>
          <w:szCs w:val="32"/>
          <w:highlight w:val="none"/>
          <w:lang w:val="en-US" w:eastAsia="zh-CN"/>
        </w:rPr>
        <w:t>0台（</w:t>
      </w:r>
      <w:r>
        <w:rPr>
          <w:rFonts w:hint="eastAsia" w:ascii="仿宋_GB2312" w:eastAsia="仿宋_GB2312"/>
          <w:sz w:val="32"/>
          <w:szCs w:val="32"/>
          <w:highlight w:val="none"/>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yellow"/>
          <w:lang w:eastAsia="zh-CN"/>
        </w:rPr>
      </w:pPr>
      <w:bookmarkStart w:id="36" w:name="_Toc17664"/>
      <w:bookmarkStart w:id="37" w:name="_Toc43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36"/>
      <w:bookmarkEnd w:id="3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eastAsia="zh-CN"/>
        </w:rPr>
        <w:t>根据预算绩效管理要求，</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预算总额3639.83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实际执行总额3639.83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4040.78</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3718.48</w:t>
      </w:r>
      <w:r>
        <w:rPr>
          <w:rFonts w:hint="eastAsia" w:ascii="仿宋_GB2312" w:eastAsia="仿宋_GB2312"/>
          <w:color w:val="auto"/>
          <w:sz w:val="32"/>
          <w:szCs w:val="32"/>
          <w:highlight w:val="none"/>
          <w:lang w:eastAsia="zh-CN"/>
        </w:rPr>
        <w:t>万元。预算绩效管理取得的成效：一是</w:t>
      </w:r>
      <w:r>
        <w:rPr>
          <w:rStyle w:val="10"/>
          <w:rFonts w:hint="eastAsia" w:ascii="仿宋" w:hAnsi="仿宋" w:eastAsia="仿宋" w:cs="仿宋"/>
          <w:b w:val="0"/>
          <w:color w:val="auto"/>
          <w:spacing w:val="-4"/>
          <w:sz w:val="32"/>
          <w:szCs w:val="32"/>
          <w:highlight w:val="none"/>
          <w:lang w:val="en-US" w:eastAsia="zh-CN"/>
        </w:rPr>
        <w:t>扩大大宗消费、升温大宗消费、拓展农村消费。</w:t>
      </w:r>
      <w:r>
        <w:rPr>
          <w:rFonts w:hint="eastAsia" w:ascii="仿宋_GB2312" w:eastAsia="仿宋_GB2312"/>
          <w:color w:val="auto"/>
          <w:sz w:val="32"/>
          <w:szCs w:val="32"/>
          <w:highlight w:val="none"/>
          <w:lang w:eastAsia="zh-CN"/>
        </w:rPr>
        <w:t>二是</w:t>
      </w:r>
      <w:r>
        <w:rPr>
          <w:rStyle w:val="10"/>
          <w:rFonts w:hint="eastAsia" w:ascii="仿宋" w:hAnsi="仿宋" w:eastAsia="仿宋" w:cs="仿宋"/>
          <w:b w:val="0"/>
          <w:bCs/>
          <w:color w:val="auto"/>
          <w:spacing w:val="-4"/>
          <w:sz w:val="32"/>
          <w:szCs w:val="32"/>
          <w:highlight w:val="none"/>
          <w:lang w:val="en-US" w:eastAsia="zh-CN"/>
        </w:rPr>
        <w:t>推动传统产业提档升级、新兴产业培育壮大、战略支柱产业集群发展</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三是</w:t>
      </w:r>
      <w:r>
        <w:rPr>
          <w:rStyle w:val="10"/>
          <w:rFonts w:hint="eastAsia" w:ascii="仿宋" w:hAnsi="仿宋" w:eastAsia="仿宋" w:cs="仿宋"/>
          <w:b w:val="0"/>
          <w:color w:val="auto"/>
          <w:spacing w:val="-4"/>
          <w:sz w:val="32"/>
          <w:szCs w:val="32"/>
          <w:highlight w:val="none"/>
          <w:lang w:val="en-US" w:eastAsia="zh-CN"/>
        </w:rPr>
        <w:t>补充产业链短板弱项，形成产业链闭环，提升产业集群化。四是创新中小企业加速科技创新成果转化，科技创新支撑经济社会高质量发展的能力不断提升。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cs="仿宋"/>
          <w:color w:val="auto"/>
          <w:sz w:val="32"/>
          <w:szCs w:val="32"/>
          <w:highlight w:val="none"/>
        </w:rPr>
      </w:pPr>
      <w:r>
        <w:rPr>
          <w:rFonts w:hint="eastAsia" w:ascii="仿宋_GB2312" w:eastAsia="仿宋_GB2312"/>
          <w:color w:val="auto"/>
          <w:sz w:val="32"/>
          <w:szCs w:val="32"/>
          <w:highlight w:val="none"/>
          <w:lang w:eastAsia="zh-CN"/>
        </w:rPr>
        <w:t>发现的问题及原因：</w:t>
      </w:r>
      <w:r>
        <w:rPr>
          <w:rFonts w:hint="eastAsia" w:ascii="仿宋" w:hAnsi="仿宋" w:eastAsia="仿宋" w:cs="仿宋"/>
          <w:color w:val="auto"/>
          <w:sz w:val="32"/>
          <w:szCs w:val="32"/>
          <w:highlight w:val="none"/>
        </w:rPr>
        <w:t>单位管理制度仍有漏洞，还需继续完善，对财务制度执行力有待加强；单位主要领导对财务重视度不够，有些工作不能统筹做到落实到具体到相关科室及人和事；财务制度管理不完善，需进一步加强；单位财务人员专业水平有待提高。</w:t>
      </w:r>
      <w:r>
        <w:rPr>
          <w:rFonts w:hint="eastAsia" w:ascii="仿宋_GB2312" w:eastAsia="仿宋_GB2312"/>
          <w:color w:val="auto"/>
          <w:sz w:val="32"/>
          <w:szCs w:val="32"/>
          <w:highlight w:val="none"/>
          <w:lang w:eastAsia="zh-CN"/>
        </w:rPr>
        <w:t>下一步改进措施：</w:t>
      </w:r>
      <w:r>
        <w:rPr>
          <w:rFonts w:hint="eastAsia" w:ascii="仿宋" w:hAnsi="仿宋" w:eastAsia="仿宋" w:cs="仿宋"/>
          <w:color w:val="auto"/>
          <w:sz w:val="32"/>
          <w:szCs w:val="32"/>
          <w:highlight w:val="none"/>
        </w:rPr>
        <w:t>1、继续加强项目实时监控，严格按照相关要求对相关项目的资金进行使用，确保资金使用及时有效。2、继续加强项目开展进度的跟踪，提前做好预算及资金的支付计划，保证项目顺利开展的同时资金使用规范合理。3、财务分管领导及时与主要领导汇报预算绩效评价工作，统筹好各科室按照职责分工做好绩效监控。4、督促财务人员积极参加财政部门举办的各类有关财务的培训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38" w:name="_Toc24143"/>
      <w:r>
        <w:rPr>
          <w:rFonts w:hint="eastAsia" w:ascii="黑体" w:hAnsi="黑体" w:eastAsia="黑体"/>
          <w:sz w:val="32"/>
          <w:szCs w:val="32"/>
          <w:highlight w:val="none"/>
        </w:rPr>
        <w:br w:type="page"/>
      </w:r>
      <w:bookmarkStart w:id="39" w:name="_Toc30038"/>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8"/>
      <w:bookmarkEnd w:id="39"/>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40" w:name="_Toc6831"/>
      <w:r>
        <w:rPr>
          <w:rFonts w:hint="eastAsia" w:ascii="黑体" w:hAnsi="黑体" w:eastAsia="黑体"/>
          <w:sz w:val="32"/>
          <w:szCs w:val="32"/>
          <w:highlight w:val="none"/>
        </w:rPr>
        <w:t>第四部分 部门决算报表（见附表）</w:t>
      </w:r>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1" w:name="_Toc6062"/>
      <w:bookmarkStart w:id="42" w:name="_Toc3845"/>
      <w:r>
        <w:rPr>
          <w:rFonts w:hint="eastAsia" w:ascii="仿宋_GB2312" w:hAnsi="仿宋_GB2312" w:eastAsia="仿宋_GB2312" w:cs="仿宋_GB2312"/>
          <w:bCs/>
          <w:kern w:val="0"/>
          <w:sz w:val="32"/>
          <w:szCs w:val="32"/>
          <w:highlight w:val="none"/>
        </w:rPr>
        <w:t>一、《收入支出决算总表》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3" w:name="_Toc11927"/>
      <w:bookmarkStart w:id="44" w:name="_Toc30364"/>
      <w:r>
        <w:rPr>
          <w:rFonts w:hint="eastAsia" w:ascii="仿宋_GB2312" w:hAnsi="仿宋_GB2312" w:eastAsia="仿宋_GB2312" w:cs="仿宋_GB2312"/>
          <w:bCs/>
          <w:kern w:val="0"/>
          <w:sz w:val="32"/>
          <w:szCs w:val="32"/>
          <w:highlight w:val="none"/>
        </w:rPr>
        <w:t>二、《收入决算表》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5" w:name="_Toc21304"/>
      <w:bookmarkStart w:id="46" w:name="_Toc7443"/>
      <w:r>
        <w:rPr>
          <w:rFonts w:hint="eastAsia" w:ascii="仿宋_GB2312" w:hAnsi="仿宋_GB2312" w:eastAsia="仿宋_GB2312" w:cs="仿宋_GB2312"/>
          <w:bCs/>
          <w:kern w:val="0"/>
          <w:sz w:val="32"/>
          <w:szCs w:val="32"/>
          <w:highlight w:val="none"/>
        </w:rPr>
        <w:t>三、《支出决算表》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7" w:name="_Toc24884"/>
      <w:bookmarkStart w:id="48" w:name="_Toc14238"/>
      <w:r>
        <w:rPr>
          <w:rFonts w:hint="eastAsia" w:ascii="仿宋_GB2312" w:hAnsi="仿宋_GB2312" w:eastAsia="仿宋_GB2312" w:cs="仿宋_GB2312"/>
          <w:bCs/>
          <w:kern w:val="0"/>
          <w:sz w:val="32"/>
          <w:szCs w:val="32"/>
          <w:highlight w:val="none"/>
        </w:rPr>
        <w:t>四、《财政拨款收入支出决算总表》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9" w:name="_Toc16518"/>
      <w:bookmarkStart w:id="50" w:name="_Toc10347"/>
      <w:r>
        <w:rPr>
          <w:rFonts w:hint="eastAsia" w:ascii="仿宋_GB2312" w:hAnsi="仿宋_GB2312" w:eastAsia="仿宋_GB2312" w:cs="仿宋_GB2312"/>
          <w:bCs/>
          <w:kern w:val="0"/>
          <w:sz w:val="32"/>
          <w:szCs w:val="32"/>
          <w:highlight w:val="none"/>
        </w:rPr>
        <w:t>五、《一般公共预算财政拨款支出决算表》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1" w:name="_Toc20514"/>
      <w:bookmarkStart w:id="52" w:name="_Toc5626"/>
      <w:r>
        <w:rPr>
          <w:rFonts w:hint="eastAsia" w:ascii="仿宋_GB2312" w:hAnsi="仿宋_GB2312" w:eastAsia="仿宋_GB2312" w:cs="仿宋_GB2312"/>
          <w:bCs/>
          <w:kern w:val="0"/>
          <w:sz w:val="32"/>
          <w:szCs w:val="32"/>
          <w:highlight w:val="none"/>
        </w:rPr>
        <w:t>六、《一般公共预算财政拨款基本支出决算表》</w:t>
      </w:r>
      <w:bookmarkEnd w:id="51"/>
      <w:bookmarkEnd w:id="5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3" w:name="_Toc18055"/>
      <w:bookmarkStart w:id="54" w:name="_Toc5453"/>
      <w:r>
        <w:rPr>
          <w:rFonts w:hint="eastAsia" w:ascii="仿宋_GB2312" w:hAnsi="仿宋_GB2312" w:eastAsia="仿宋_GB2312" w:cs="仿宋_GB2312"/>
          <w:bCs/>
          <w:kern w:val="0"/>
          <w:sz w:val="32"/>
          <w:szCs w:val="32"/>
          <w:highlight w:val="none"/>
        </w:rPr>
        <w:t>七、《政府性基金预算财政拨款收入支出决算表》</w:t>
      </w:r>
      <w:bookmarkEnd w:id="53"/>
      <w:bookmarkEnd w:id="5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5" w:name="_Toc10719"/>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bookmarkEnd w:id="5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sectPr>
          <w:pgSz w:w="11906" w:h="16838"/>
          <w:pgMar w:top="1440" w:right="1800" w:bottom="1440" w:left="1800" w:header="851" w:footer="992" w:gutter="0"/>
          <w:cols w:space="720" w:num="1"/>
          <w:docGrid w:type="lines" w:linePitch="312" w:charSpace="0"/>
        </w:sectPr>
      </w:pPr>
      <w:bookmarkStart w:id="56" w:name="_Toc32663"/>
      <w:bookmarkStart w:id="57" w:name="_Toc29106"/>
      <w:bookmarkStart w:id="58" w:name="_Toc18861"/>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bookmarkEnd w:id="56"/>
      <w:bookmarkEnd w:id="57"/>
      <w:bookmarkEnd w:id="58"/>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sectPr>
          <w:pgSz w:w="11906" w:h="16838"/>
          <w:pgMar w:top="1440" w:right="1800" w:bottom="1440" w:left="1800" w:header="851" w:footer="992" w:gutter="0"/>
          <w:cols w:space="720" w:num="1"/>
          <w:docGrid w:type="lines" w:linePitch="312" w:charSpace="0"/>
        </w:sectPr>
      </w:pPr>
      <w:r>
        <w:drawing>
          <wp:inline distT="0" distB="0" distL="114300" distR="114300">
            <wp:extent cx="5270500" cy="4608830"/>
            <wp:effectExtent l="0" t="0" r="6350" b="12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
                    <a:stretch>
                      <a:fillRect/>
                    </a:stretch>
                  </pic:blipFill>
                  <pic:spPr>
                    <a:xfrm>
                      <a:off x="0" y="0"/>
                      <a:ext cx="5270500" cy="460883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r>
        <w:drawing>
          <wp:inline distT="0" distB="0" distL="114300" distR="114300">
            <wp:extent cx="5267960" cy="4999990"/>
            <wp:effectExtent l="0" t="0" r="8890" b="1016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6"/>
                    <a:stretch>
                      <a:fillRect/>
                    </a:stretch>
                  </pic:blipFill>
                  <pic:spPr>
                    <a:xfrm>
                      <a:off x="0" y="0"/>
                      <a:ext cx="5267960" cy="499999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sectPr>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r>
        <w:drawing>
          <wp:inline distT="0" distB="0" distL="114300" distR="114300">
            <wp:extent cx="5271770" cy="6064885"/>
            <wp:effectExtent l="0" t="0" r="5080" b="1206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7"/>
                    <a:stretch>
                      <a:fillRect/>
                    </a:stretch>
                  </pic:blipFill>
                  <pic:spPr>
                    <a:xfrm>
                      <a:off x="0" y="0"/>
                      <a:ext cx="5271770" cy="60648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sectPr>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sectPr>
          <w:pgSz w:w="11906" w:h="16838"/>
          <w:pgMar w:top="1440" w:right="1800" w:bottom="1440" w:left="1800" w:header="851" w:footer="992" w:gutter="0"/>
          <w:cols w:space="720" w:num="1"/>
          <w:docGrid w:type="lines" w:linePitch="312" w:charSpace="0"/>
        </w:sectPr>
      </w:pPr>
      <w:r>
        <w:drawing>
          <wp:inline distT="0" distB="0" distL="114300" distR="114300">
            <wp:extent cx="5266055" cy="5335270"/>
            <wp:effectExtent l="0" t="0" r="10795" b="1778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8"/>
                    <a:stretch>
                      <a:fillRect/>
                    </a:stretch>
                  </pic:blipFill>
                  <pic:spPr>
                    <a:xfrm>
                      <a:off x="0" y="0"/>
                      <a:ext cx="5266055" cy="53352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sectPr>
          <w:pgSz w:w="11906" w:h="16838"/>
          <w:pgMar w:top="1440" w:right="1800" w:bottom="1440" w:left="1800" w:header="851" w:footer="992" w:gutter="0"/>
          <w:cols w:space="720" w:num="1"/>
          <w:docGrid w:type="lines" w:linePitch="312" w:charSpace="0"/>
        </w:sectPr>
      </w:pPr>
      <w:r>
        <w:drawing>
          <wp:inline distT="0" distB="0" distL="114300" distR="114300">
            <wp:extent cx="5273675" cy="7634605"/>
            <wp:effectExtent l="0" t="0" r="3175" b="444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9"/>
                    <a:stretch>
                      <a:fillRect/>
                    </a:stretch>
                  </pic:blipFill>
                  <pic:spPr>
                    <a:xfrm>
                      <a:off x="0" y="0"/>
                      <a:ext cx="5273675" cy="76346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r>
        <w:drawing>
          <wp:inline distT="0" distB="0" distL="114300" distR="114300">
            <wp:extent cx="5269230" cy="4516755"/>
            <wp:effectExtent l="0" t="0" r="7620" b="17145"/>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10"/>
                    <a:stretch>
                      <a:fillRect/>
                    </a:stretch>
                  </pic:blipFill>
                  <pic:spPr>
                    <a:xfrm>
                      <a:off x="0" y="0"/>
                      <a:ext cx="5269230" cy="451675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sectPr>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sectPr>
          <w:pgSz w:w="11906" w:h="16838"/>
          <w:pgMar w:top="1440" w:right="1800" w:bottom="1440" w:left="1800" w:header="851" w:footer="992" w:gutter="0"/>
          <w:cols w:space="720" w:num="1"/>
          <w:docGrid w:type="lines" w:linePitch="312" w:charSpace="0"/>
        </w:sectPr>
      </w:pPr>
      <w:r>
        <w:drawing>
          <wp:inline distT="0" distB="0" distL="114300" distR="114300">
            <wp:extent cx="5269230" cy="1920875"/>
            <wp:effectExtent l="0" t="0" r="762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5269230" cy="19208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sectPr>
          <w:pgSz w:w="11906" w:h="16838"/>
          <w:pgMar w:top="1440" w:right="1800" w:bottom="1440" w:left="1800" w:header="851" w:footer="992" w:gutter="0"/>
          <w:cols w:space="720" w:num="1"/>
          <w:docGrid w:type="lines" w:linePitch="312" w:charSpace="0"/>
        </w:sectPr>
      </w:pPr>
      <w:r>
        <w:drawing>
          <wp:inline distT="0" distB="0" distL="114300" distR="114300">
            <wp:extent cx="5269230" cy="1801495"/>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269230" cy="180149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r>
        <w:drawing>
          <wp:inline distT="0" distB="0" distL="114300" distR="114300">
            <wp:extent cx="5898515" cy="2277745"/>
            <wp:effectExtent l="0" t="0" r="6985" b="8255"/>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13"/>
                    <a:stretch>
                      <a:fillRect/>
                    </a:stretch>
                  </pic:blipFill>
                  <pic:spPr>
                    <a:xfrm>
                      <a:off x="0" y="0"/>
                      <a:ext cx="5898515" cy="2277745"/>
                    </a:xfrm>
                    <a:prstGeom prst="rect">
                      <a:avLst/>
                    </a:prstGeom>
                    <a:noFill/>
                    <a:ln>
                      <a:noFill/>
                    </a:ln>
                  </pic:spPr>
                </pic:pic>
              </a:graphicData>
            </a:graphic>
          </wp:inline>
        </w:drawing>
      </w:r>
      <w:bookmarkStart w:id="59" w:name="_GoBack"/>
      <w:bookmarkEnd w:id="59"/>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CE4F6E-F4A4-4799-A560-042576BA90F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2E9B8BA2-AFD5-4AAE-A6F9-71D9BEF0357E}"/>
  </w:font>
  <w:font w:name="仿宋_GB2312">
    <w:panose1 w:val="02010609030101010101"/>
    <w:charset w:val="86"/>
    <w:family w:val="modern"/>
    <w:pitch w:val="default"/>
    <w:sig w:usb0="00000001" w:usb1="080E0000" w:usb2="00000000" w:usb3="00000000" w:csb0="00040000" w:csb1="00000000"/>
    <w:embedRegular r:id="rId3" w:fontKey="{F5FBFACF-9228-471B-B8FA-0C6B22964863}"/>
  </w:font>
  <w:font w:name="方正仿宋_GBK">
    <w:panose1 w:val="03000509000000000000"/>
    <w:charset w:val="86"/>
    <w:family w:val="script"/>
    <w:pitch w:val="default"/>
    <w:sig w:usb0="00000001" w:usb1="080E0000" w:usb2="00000000" w:usb3="00000000" w:csb0="00040000" w:csb1="00000000"/>
    <w:embedRegular r:id="rId4" w:fontKey="{7ECFC19C-D28F-41D3-89C4-F705B27B172A}"/>
  </w:font>
  <w:font w:name="仿宋">
    <w:panose1 w:val="02010609060101010101"/>
    <w:charset w:val="86"/>
    <w:family w:val="auto"/>
    <w:pitch w:val="default"/>
    <w:sig w:usb0="800002BF" w:usb1="38CF7CFA" w:usb2="00000016" w:usb3="00000000" w:csb0="00040001" w:csb1="00000000"/>
    <w:embedRegular r:id="rId5" w:fontKey="{576F7603-74C8-4AD7-BC81-1BB8586203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1">
    <w:nsid w:val="1BFFFC30"/>
    <w:multiLevelType w:val="singleLevel"/>
    <w:tmpl w:val="1BFFFC3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F73D26"/>
    <w:rsid w:val="034D4FEF"/>
    <w:rsid w:val="03DE0026"/>
    <w:rsid w:val="04215B8F"/>
    <w:rsid w:val="043E5B56"/>
    <w:rsid w:val="06792773"/>
    <w:rsid w:val="09A729D8"/>
    <w:rsid w:val="0A7B4867"/>
    <w:rsid w:val="0A917CCA"/>
    <w:rsid w:val="0B8C3ECC"/>
    <w:rsid w:val="0C130F17"/>
    <w:rsid w:val="0C3613A3"/>
    <w:rsid w:val="0C7227A7"/>
    <w:rsid w:val="0DCA6EF7"/>
    <w:rsid w:val="0E4B1576"/>
    <w:rsid w:val="11C865FB"/>
    <w:rsid w:val="11E15093"/>
    <w:rsid w:val="120E0809"/>
    <w:rsid w:val="121C5E24"/>
    <w:rsid w:val="1875698D"/>
    <w:rsid w:val="19071D6C"/>
    <w:rsid w:val="1A321764"/>
    <w:rsid w:val="1C317E4F"/>
    <w:rsid w:val="1C472464"/>
    <w:rsid w:val="1DAF458D"/>
    <w:rsid w:val="1DF9246D"/>
    <w:rsid w:val="1E086ACE"/>
    <w:rsid w:val="1EAA4A5F"/>
    <w:rsid w:val="1F587A0B"/>
    <w:rsid w:val="2064678E"/>
    <w:rsid w:val="20DD6197"/>
    <w:rsid w:val="21F317F2"/>
    <w:rsid w:val="2241392C"/>
    <w:rsid w:val="23BC04D2"/>
    <w:rsid w:val="25275618"/>
    <w:rsid w:val="27CF2642"/>
    <w:rsid w:val="282459E2"/>
    <w:rsid w:val="2A053397"/>
    <w:rsid w:val="2A444FB1"/>
    <w:rsid w:val="2A6064E2"/>
    <w:rsid w:val="2BA9200B"/>
    <w:rsid w:val="2D1136DF"/>
    <w:rsid w:val="2DAE0E44"/>
    <w:rsid w:val="2DF47B1B"/>
    <w:rsid w:val="2FD27414"/>
    <w:rsid w:val="313F1D52"/>
    <w:rsid w:val="318029AB"/>
    <w:rsid w:val="31C63837"/>
    <w:rsid w:val="326F0A17"/>
    <w:rsid w:val="38BB5183"/>
    <w:rsid w:val="3914510A"/>
    <w:rsid w:val="3B1220C9"/>
    <w:rsid w:val="3D5275AC"/>
    <w:rsid w:val="3EA7725F"/>
    <w:rsid w:val="40834692"/>
    <w:rsid w:val="40FC7F33"/>
    <w:rsid w:val="423A32B2"/>
    <w:rsid w:val="440F5F6B"/>
    <w:rsid w:val="44513EBA"/>
    <w:rsid w:val="464B7E04"/>
    <w:rsid w:val="46901EEE"/>
    <w:rsid w:val="469C74D2"/>
    <w:rsid w:val="47445515"/>
    <w:rsid w:val="4B4C0111"/>
    <w:rsid w:val="4D0675E0"/>
    <w:rsid w:val="4D730311"/>
    <w:rsid w:val="4F497F31"/>
    <w:rsid w:val="50DB5F45"/>
    <w:rsid w:val="52F92565"/>
    <w:rsid w:val="5386552D"/>
    <w:rsid w:val="55DA564E"/>
    <w:rsid w:val="56E07045"/>
    <w:rsid w:val="583059FA"/>
    <w:rsid w:val="587E6212"/>
    <w:rsid w:val="5AFC6609"/>
    <w:rsid w:val="5B9168C4"/>
    <w:rsid w:val="5FA17648"/>
    <w:rsid w:val="613409CB"/>
    <w:rsid w:val="61A46A97"/>
    <w:rsid w:val="62DD7D21"/>
    <w:rsid w:val="635B26A5"/>
    <w:rsid w:val="65D97752"/>
    <w:rsid w:val="664C500C"/>
    <w:rsid w:val="6773145F"/>
    <w:rsid w:val="68DB0208"/>
    <w:rsid w:val="69846A0E"/>
    <w:rsid w:val="69AD798C"/>
    <w:rsid w:val="6B68175F"/>
    <w:rsid w:val="6B8B5C99"/>
    <w:rsid w:val="6BB3651A"/>
    <w:rsid w:val="6E0F7A08"/>
    <w:rsid w:val="6E801ABC"/>
    <w:rsid w:val="71473612"/>
    <w:rsid w:val="718F7F65"/>
    <w:rsid w:val="73423603"/>
    <w:rsid w:val="73DE4104"/>
    <w:rsid w:val="73FB6630"/>
    <w:rsid w:val="74CE04EC"/>
    <w:rsid w:val="74E76DCD"/>
    <w:rsid w:val="76660D7C"/>
    <w:rsid w:val="77A17C87"/>
    <w:rsid w:val="77ED6F44"/>
    <w:rsid w:val="795A0A34"/>
    <w:rsid w:val="79FB30B5"/>
    <w:rsid w:val="7A0D3BC7"/>
    <w:rsid w:val="7A3A3CDB"/>
    <w:rsid w:val="7C974192"/>
    <w:rsid w:val="7D4D6D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character" w:styleId="10">
    <w:name w:val="Strong"/>
    <w:basedOn w:val="9"/>
    <w:qFormat/>
    <w:uiPriority w:val="0"/>
    <w:rPr>
      <w:b/>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正文-公1"/>
    <w:basedOn w:val="15"/>
    <w:next w:val="1"/>
    <w:qFormat/>
    <w:uiPriority w:val="0"/>
    <w:pPr>
      <w:ind w:firstLine="200" w:firstLineChars="200"/>
    </w:pPr>
  </w:style>
  <w:style w:type="paragraph" w:customStyle="1" w:styleId="15">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4"/>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emf"/><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7705</Words>
  <Characters>8758</Characters>
  <Lines>0</Lines>
  <Paragraphs>0</Paragraphs>
  <TotalTime>0</TotalTime>
  <ScaleCrop>false</ScaleCrop>
  <LinksUpToDate>false</LinksUpToDate>
  <CharactersWithSpaces>8769</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2025-08-19T09:56:22Z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422C85E1CD9347EC990321560DED92EE_13</vt:lpwstr>
  </property>
  <property fmtid="{D5CDD505-2E9C-101B-9397-08002B2CF9AE}" pid="4" name="KSOTemplateDocerSaveRecord">
    <vt:lpwstr>eyJoZGlkIjoiNmViZTU2MDU4Mjg3Y2Y0NmJkNjNjN2I3OTEzYTQ1YjAiLCJ1c2VySWQiOiI0MTg0NzI4NzEifQ==</vt:lpwstr>
  </property>
</Properties>
</file>