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pacing w:line="560" w:lineRule="exact"/>
        <w:jc w:val="left"/>
        <w:textAlignment w:val="auto"/>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keepNext w:val="0"/>
        <w:keepLines w:val="0"/>
        <w:pageBreakBefore w:val="0"/>
        <w:kinsoku/>
        <w:wordWrap/>
        <w:overflowPunct/>
        <w:topLinePunct w:val="0"/>
        <w:autoSpaceDE/>
        <w:autoSpaceDN/>
        <w:bidi w:val="0"/>
        <w:adjustRightInd/>
        <w:spacing w:line="560" w:lineRule="exact"/>
        <w:jc w:val="center"/>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jc w:val="center"/>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jc w:val="center"/>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jc w:val="center"/>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jc w:val="center"/>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jc w:val="center"/>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jc w:val="center"/>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jc w:val="center"/>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jc w:val="center"/>
        <w:textAlignment w:val="auto"/>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keepNext w:val="0"/>
        <w:keepLines w:val="0"/>
        <w:pageBreakBefore w:val="0"/>
        <w:kinsoku/>
        <w:wordWrap/>
        <w:overflowPunct/>
        <w:topLinePunct w:val="0"/>
        <w:autoSpaceDE/>
        <w:autoSpaceDN/>
        <w:bidi w:val="0"/>
        <w:adjustRightInd/>
        <w:spacing w:line="560" w:lineRule="exact"/>
        <w:jc w:val="center"/>
        <w:textAlignment w:val="auto"/>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keepNext w:val="0"/>
        <w:keepLines w:val="0"/>
        <w:pageBreakBefore w:val="0"/>
        <w:kinsoku/>
        <w:wordWrap/>
        <w:overflowPunct/>
        <w:topLinePunct w:val="0"/>
        <w:autoSpaceDE/>
        <w:autoSpaceDN/>
        <w:bidi w:val="0"/>
        <w:adjustRightIn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pacing w:line="560" w:lineRule="exact"/>
        <w:jc w:val="center"/>
        <w:textAlignment w:val="auto"/>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w:t>
      </w:r>
      <w:r>
        <w:rPr>
          <w:rFonts w:hint="eastAsia" w:ascii="仿宋_GB2312" w:hAnsi="宋体" w:eastAsia="仿宋_GB2312"/>
          <w:b/>
          <w:sz w:val="32"/>
          <w:szCs w:val="32"/>
          <w:lang w:val="en-US" w:eastAsia="zh-CN"/>
        </w:rPr>
        <w:t>4</w:t>
      </w:r>
      <w:r>
        <w:rPr>
          <w:rFonts w:hint="eastAsia" w:hAnsi="宋体" w:eastAsia="仿宋_GB2312" w:cs="宋体"/>
          <w:kern w:val="0"/>
          <w:sz w:val="36"/>
          <w:szCs w:val="36"/>
        </w:rPr>
        <w:t>年度）</w:t>
      </w:r>
    </w:p>
    <w:p>
      <w:pPr>
        <w:keepNext w:val="0"/>
        <w:keepLines w:val="0"/>
        <w:pageBreakBefore w:val="0"/>
        <w:kinsoku/>
        <w:wordWrap/>
        <w:overflowPunct/>
        <w:topLinePunct w:val="0"/>
        <w:autoSpaceDE/>
        <w:autoSpaceDN/>
        <w:bidi w:val="0"/>
        <w:adjustRightInd/>
        <w:spacing w:line="560" w:lineRule="exact"/>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ind w:firstLine="720" w:firstLineChars="200"/>
        <w:textAlignment w:val="auto"/>
        <w:rPr>
          <w:rFonts w:hint="eastAsia" w:ascii="方正仿宋_GBK" w:hAnsi="方正仿宋_GBK" w:eastAsia="方正仿宋_GBK" w:cs="方正仿宋_GBK"/>
          <w:kern w:val="0"/>
          <w:sz w:val="36"/>
          <w:szCs w:val="31"/>
        </w:rPr>
      </w:pPr>
    </w:p>
    <w:p>
      <w:pPr>
        <w:keepNext w:val="0"/>
        <w:keepLines w:val="0"/>
        <w:pageBreakBefore w:val="0"/>
        <w:kinsoku/>
        <w:wordWrap/>
        <w:overflowPunct/>
        <w:topLinePunct w:val="0"/>
        <w:autoSpaceDE/>
        <w:autoSpaceDN/>
        <w:bidi w:val="0"/>
        <w:adjustRightInd/>
        <w:spacing w:line="560" w:lineRule="exact"/>
        <w:ind w:firstLine="720" w:firstLineChars="200"/>
        <w:textAlignment w:val="auto"/>
        <w:rPr>
          <w:rFonts w:hint="eastAsia" w:ascii="方正仿宋_GBK" w:hAnsi="方正仿宋_GBK" w:eastAsia="方正仿宋_GBK" w:cs="方正仿宋_GBK"/>
          <w:kern w:val="0"/>
          <w:sz w:val="36"/>
          <w:szCs w:val="31"/>
        </w:rPr>
      </w:pPr>
      <w:r>
        <w:rPr>
          <w:rFonts w:hint="eastAsia" w:ascii="方正仿宋_GBK" w:hAnsi="方正仿宋_GBK" w:eastAsia="方正仿宋_GBK" w:cs="方正仿宋_GBK"/>
          <w:kern w:val="0"/>
          <w:sz w:val="36"/>
          <w:szCs w:val="31"/>
        </w:rPr>
        <w:t>部门单位名称（公章）：库尔勒市哈拉玉宫</w:t>
      </w:r>
      <w:r>
        <w:rPr>
          <w:rFonts w:hint="eastAsia" w:ascii="方正仿宋_GBK" w:hAnsi="方正仿宋_GBK" w:eastAsia="方正仿宋_GBK" w:cs="方正仿宋_GBK"/>
          <w:kern w:val="0"/>
          <w:sz w:val="36"/>
          <w:szCs w:val="31"/>
          <w:lang w:val="en-US" w:eastAsia="zh-CN"/>
        </w:rPr>
        <w:t>镇</w:t>
      </w:r>
      <w:r>
        <w:rPr>
          <w:rFonts w:hint="eastAsia" w:ascii="方正仿宋_GBK" w:hAnsi="方正仿宋_GBK" w:eastAsia="方正仿宋_GBK" w:cs="方正仿宋_GBK"/>
          <w:kern w:val="0"/>
          <w:sz w:val="36"/>
          <w:szCs w:val="31"/>
        </w:rPr>
        <w:t>人民政府</w:t>
      </w:r>
    </w:p>
    <w:p>
      <w:pPr>
        <w:keepNext w:val="0"/>
        <w:keepLines w:val="0"/>
        <w:pageBreakBefore w:val="0"/>
        <w:kinsoku/>
        <w:wordWrap/>
        <w:overflowPunct/>
        <w:topLinePunct w:val="0"/>
        <w:autoSpaceDE/>
        <w:autoSpaceDN/>
        <w:bidi w:val="0"/>
        <w:adjustRightInd/>
        <w:spacing w:line="560" w:lineRule="exact"/>
        <w:ind w:firstLine="720" w:firstLineChars="200"/>
        <w:textAlignment w:val="auto"/>
        <w:rPr>
          <w:rFonts w:hint="eastAsia" w:ascii="方正仿宋_GBK" w:hAnsi="方正仿宋_GBK" w:eastAsia="方正仿宋_GBK" w:cs="方正仿宋_GBK"/>
          <w:kern w:val="0"/>
          <w:sz w:val="36"/>
          <w:szCs w:val="31"/>
        </w:rPr>
      </w:pPr>
      <w:r>
        <w:rPr>
          <w:rFonts w:hint="eastAsia" w:ascii="方正仿宋_GBK" w:hAnsi="方正仿宋_GBK" w:eastAsia="方正仿宋_GBK" w:cs="方正仿宋_GBK"/>
          <w:kern w:val="0"/>
          <w:sz w:val="36"/>
          <w:szCs w:val="31"/>
        </w:rPr>
        <w:t>填报时间：202</w:t>
      </w:r>
      <w:r>
        <w:rPr>
          <w:rFonts w:hint="eastAsia" w:ascii="方正仿宋_GBK" w:hAnsi="方正仿宋_GBK" w:eastAsia="方正仿宋_GBK" w:cs="方正仿宋_GBK"/>
          <w:kern w:val="0"/>
          <w:sz w:val="36"/>
          <w:szCs w:val="31"/>
          <w:lang w:val="en-US" w:eastAsia="zh-CN"/>
        </w:rPr>
        <w:t>5</w:t>
      </w:r>
      <w:r>
        <w:rPr>
          <w:rFonts w:hint="eastAsia" w:ascii="方正仿宋_GBK" w:hAnsi="方正仿宋_GBK" w:eastAsia="方正仿宋_GBK" w:cs="方正仿宋_GBK"/>
          <w:kern w:val="0"/>
          <w:sz w:val="36"/>
          <w:szCs w:val="31"/>
        </w:rPr>
        <w:t>年04月22日</w:t>
      </w:r>
    </w:p>
    <w:p>
      <w:pPr>
        <w:keepNext w:val="0"/>
        <w:keepLines w:val="0"/>
        <w:pageBreakBefore w:val="0"/>
        <w:kinsoku/>
        <w:wordWrap/>
        <w:overflowPunct/>
        <w:topLinePunct w:val="0"/>
        <w:autoSpaceDE/>
        <w:autoSpaceDN/>
        <w:bidi w:val="0"/>
        <w:adjustRightInd/>
        <w:spacing w:line="560" w:lineRule="exact"/>
        <w:jc w:val="left"/>
        <w:textAlignment w:val="auto"/>
        <w:rPr>
          <w:rFonts w:hAnsi="宋体" w:eastAsia="仿宋_GB2312" w:cs="宋体"/>
          <w:kern w:val="0"/>
          <w:sz w:val="36"/>
          <w:szCs w:val="36"/>
        </w:rPr>
      </w:pPr>
      <w:bookmarkStart w:id="1" w:name="_GoBack"/>
      <w:bookmarkEnd w:id="1"/>
    </w:p>
    <w:p>
      <w:pPr>
        <w:keepNext w:val="0"/>
        <w:keepLines w:val="0"/>
        <w:pageBreakBefore w:val="0"/>
        <w:numPr>
          <w:ilvl w:val="0"/>
          <w:numId w:val="0"/>
        </w:numPr>
        <w:kinsoku/>
        <w:wordWrap/>
        <w:overflowPunct/>
        <w:topLinePunct w:val="0"/>
        <w:autoSpaceDE/>
        <w:autoSpaceDN/>
        <w:bidi w:val="0"/>
        <w:adjustRightInd/>
        <w:snapToGrid w:val="0"/>
        <w:spacing w:line="560" w:lineRule="exact"/>
        <w:textAlignment w:val="auto"/>
        <w:rPr>
          <w:rFonts w:hint="eastAsia" w:ascii="黑体" w:hAnsi="黑体" w:eastAsia="黑体" w:cs="宋体"/>
          <w:b/>
          <w:color w:val="000000" w:themeColor="text1"/>
          <w:sz w:val="32"/>
          <w:szCs w:val="32"/>
          <w:lang w:bidi="ar"/>
          <w14:textFill>
            <w14:solidFill>
              <w14:schemeClr w14:val="tx1"/>
            </w14:solidFill>
          </w14:textFill>
        </w:rPr>
      </w:pPr>
    </w:p>
    <w:p>
      <w:pPr>
        <w:keepNext w:val="0"/>
        <w:keepLines w:val="0"/>
        <w:pageBreakBefore w:val="0"/>
        <w:numPr>
          <w:ilvl w:val="0"/>
          <w:numId w:val="0"/>
        </w:numPr>
        <w:kinsoku/>
        <w:wordWrap/>
        <w:overflowPunct/>
        <w:topLinePunct w:val="0"/>
        <w:autoSpaceDE/>
        <w:autoSpaceDN/>
        <w:bidi w:val="0"/>
        <w:adjustRightInd/>
        <w:snapToGrid w:val="0"/>
        <w:spacing w:line="560" w:lineRule="exact"/>
        <w:textAlignment w:val="auto"/>
        <w:rPr>
          <w:rFonts w:hint="eastAsia" w:ascii="黑体" w:hAnsi="黑体" w:eastAsia="黑体" w:cs="宋体"/>
          <w:b/>
          <w:color w:val="000000" w:themeColor="text1"/>
          <w:sz w:val="32"/>
          <w:szCs w:val="32"/>
          <w:lang w:val="en-US" w:eastAsia="zh-CN" w:bidi="ar"/>
          <w14:textFill>
            <w14:solidFill>
              <w14:schemeClr w14:val="tx1"/>
            </w14:solidFill>
          </w14:textFill>
        </w:rPr>
      </w:pPr>
    </w:p>
    <w:p>
      <w:pPr>
        <w:keepNext w:val="0"/>
        <w:keepLines w:val="0"/>
        <w:pageBreakBefore w:val="0"/>
        <w:numPr>
          <w:ilvl w:val="0"/>
          <w:numId w:val="0"/>
        </w:numPr>
        <w:kinsoku/>
        <w:wordWrap/>
        <w:overflowPunct/>
        <w:topLinePunct w:val="0"/>
        <w:autoSpaceDE/>
        <w:autoSpaceDN/>
        <w:bidi w:val="0"/>
        <w:adjustRightInd/>
        <w:snapToGrid w:val="0"/>
        <w:spacing w:line="560" w:lineRule="exact"/>
        <w:textAlignment w:val="auto"/>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val="en-US" w:eastAsia="zh-CN" w:bidi="ar"/>
          <w14:textFill>
            <w14:solidFill>
              <w14:schemeClr w14:val="tx1"/>
            </w14:solidFill>
          </w14:textFill>
        </w:rPr>
        <w:t>一、</w:t>
      </w:r>
      <w:r>
        <w:rPr>
          <w:rFonts w:hint="eastAsia" w:ascii="黑体" w:hAnsi="黑体" w:eastAsia="黑体" w:cs="宋体"/>
          <w:b/>
          <w:color w:val="000000" w:themeColor="text1"/>
          <w:sz w:val="32"/>
          <w:szCs w:val="32"/>
          <w:lang w:bidi="ar"/>
          <w14:textFill>
            <w14:solidFill>
              <w14:schemeClr w14:val="tx1"/>
            </w14:solidFill>
          </w14:textFill>
        </w:rPr>
        <w:t>基本概况：</w:t>
      </w:r>
    </w:p>
    <w:p>
      <w:pPr>
        <w:keepNext w:val="0"/>
        <w:keepLines w:val="0"/>
        <w:pageBreakBefore w:val="0"/>
        <w:kinsoku/>
        <w:wordWrap/>
        <w:overflowPunct/>
        <w:topLinePunct w:val="0"/>
        <w:autoSpaceDE/>
        <w:autoSpaceDN/>
        <w:bidi w:val="0"/>
        <w:adjustRightInd/>
        <w:spacing w:line="560" w:lineRule="exact"/>
        <w:jc w:val="left"/>
        <w:textAlignment w:val="auto"/>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哈拉玉宫镇党委、政府在市委领导下，负责贯彻落实新时代党的组织路线和以习近平同志为核心的党中央治疆方略、聚焦服务社会稳定和长治久安总目标，落实党中央、自治区党委、州委和县市委关于组织体系、领导班子建设，领导干部队伍、公务员队伍、人才队伍、离退休干部建设的方针政策和决策部署。主要职责是：1、执行本级人民代表大会的决议和上级国家行政机关的决定和命令，发布决定和命令。2、执行本行政区域内的经济和社会发展计划、预算，管理本行政区域内的经济、教育、科学、文化、卫生、体育事业、财政、民政、司法行政、计划生育等行政工作。3、保护社会主义的全民所有的财产和劳动群众集体所有的财产，保护公民私人所有的合法财产，维护社会秩序，保障公民的人身权利、民主权利和其他权利。4、保护各种经济组织的合法权益。5、保障少数民族的权利和尊重少数民族的风俗习惯。6、办理上级人民政府交办的其他事项。</w:t>
      </w:r>
      <w:r>
        <w:rPr>
          <w:rFonts w:hint="eastAsia" w:ascii="仿宋_GB2312" w:hAnsi="宋体" w:eastAsia="仿宋_GB2312"/>
          <w:bCs/>
          <w:sz w:val="32"/>
          <w:szCs w:val="32"/>
        </w:rPr>
        <w:br w:type="textWrapping"/>
      </w:r>
      <w:r>
        <w:rPr>
          <w:rFonts w:hint="eastAsia" w:ascii="仿宋_GB2312" w:hAnsi="宋体" w:eastAsia="仿宋_GB2312"/>
          <w:bCs/>
          <w:sz w:val="32"/>
          <w:szCs w:val="32"/>
        </w:rPr>
        <w:t>2.部门机构人员构成情况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bCs/>
          <w:sz w:val="32"/>
          <w:szCs w:val="32"/>
        </w:rPr>
      </w:pPr>
      <w:r>
        <w:rPr>
          <w:rFonts w:hint="eastAsia" w:ascii="仿宋_GB2312" w:hAnsi="宋体" w:eastAsia="仿宋_GB2312"/>
          <w:bCs/>
          <w:sz w:val="32"/>
          <w:szCs w:val="32"/>
        </w:rPr>
        <w:t>哈拉玉宫镇人民政府编制数117人，实有人数103人，其中：在职82人；退休21人；离休0人。</w:t>
      </w:r>
      <w:bookmarkStart w:id="0" w:name="_Hlk43849111"/>
      <w:bookmarkEnd w:id="0"/>
    </w:p>
    <w:p>
      <w:pPr>
        <w:keepNext w:val="0"/>
        <w:keepLines w:val="0"/>
        <w:pageBreakBefore w:val="0"/>
        <w:kinsoku/>
        <w:wordWrap/>
        <w:overflowPunct/>
        <w:topLinePunct w:val="0"/>
        <w:autoSpaceDE/>
        <w:autoSpaceDN/>
        <w:bidi w:val="0"/>
        <w:adjustRightInd/>
        <w:spacing w:line="560" w:lineRule="exact"/>
        <w:jc w:val="left"/>
        <w:textAlignment w:val="auto"/>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keepNext w:val="0"/>
        <w:keepLines w:val="0"/>
        <w:pageBreakBefore w:val="0"/>
        <w:kinsoku/>
        <w:wordWrap/>
        <w:overflowPunct/>
        <w:topLinePunct w:val="0"/>
        <w:autoSpaceDE/>
        <w:autoSpaceDN/>
        <w:bidi w:val="0"/>
        <w:adjustRightInd/>
        <w:spacing w:line="560" w:lineRule="exact"/>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1.2023年度工作计划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哈拉玉宫镇人民政府2023年坚持把学习习近平新时代中国特色社会主义思想作为主线，坚定坚决贯彻落实以习近平同志为核心的党中央治疆方略，特别是社会稳定和长治久安总目标，在市党委、市政府的坚强领导下，扎实落实中央第三次新疆工作座谈会的总体工作部署，以饱满的热情和更加有力的举措推动各项工作落实。具体如下：</w:t>
      </w:r>
      <w:r>
        <w:rPr>
          <w:rFonts w:hint="eastAsia" w:ascii="仿宋_GB2312" w:hAnsi="宋体" w:eastAsia="仿宋_GB2312"/>
          <w:bCs/>
          <w:sz w:val="32"/>
          <w:szCs w:val="32"/>
        </w:rPr>
        <w:br w:type="textWrapping"/>
      </w:r>
      <w:r>
        <w:rPr>
          <w:rFonts w:hint="eastAsia" w:ascii="仿宋_GB2312" w:hAnsi="宋体" w:eastAsia="仿宋_GB2312"/>
          <w:bCs/>
          <w:sz w:val="32"/>
          <w:szCs w:val="32"/>
        </w:rPr>
        <w:t>一、基层党的建设不断加强，战斗力、凝聚力明显提升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深入开展学习习近平新时代中国特色社会主义思想和党的十九大精神活动，把坚定理想信念作为根本目标、把培育先进典型作为重要举措、把党群共建作为重要内容、把创建活动作为重要载体，开展好每月主题党日和每周政治学习。</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规范党内生活，加强党的政治建设。</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bCs/>
          <w:sz w:val="32"/>
          <w:szCs w:val="32"/>
        </w:rPr>
      </w:pPr>
      <w:r>
        <w:rPr>
          <w:rFonts w:hint="eastAsia" w:ascii="仿宋_GB2312" w:hAnsi="宋体" w:eastAsia="仿宋_GB2312"/>
          <w:bCs/>
          <w:sz w:val="32"/>
          <w:szCs w:val="32"/>
        </w:rPr>
        <w:t>发挥领导核心作用，提高基层治理水平。</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bCs/>
          <w:sz w:val="32"/>
          <w:szCs w:val="32"/>
        </w:rPr>
      </w:pPr>
      <w:r>
        <w:rPr>
          <w:rFonts w:hint="eastAsia" w:ascii="仿宋_GB2312" w:hAnsi="宋体" w:eastAsia="仿宋_GB2312"/>
          <w:bCs/>
          <w:sz w:val="32"/>
          <w:szCs w:val="32"/>
        </w:rPr>
        <w:t>履行党委主体责任，促干部作风转变。</w:t>
      </w:r>
      <w:r>
        <w:rPr>
          <w:rFonts w:hint="eastAsia" w:ascii="仿宋_GB2312" w:hAnsi="宋体" w:eastAsia="仿宋_GB2312"/>
          <w:bCs/>
          <w:sz w:val="32"/>
          <w:szCs w:val="32"/>
        </w:rPr>
        <w:cr/>
      </w:r>
      <w:r>
        <w:rPr>
          <w:rFonts w:hint="eastAsia" w:ascii="仿宋_GB2312" w:hAnsi="宋体" w:eastAsia="仿宋_GB2312"/>
          <w:bCs/>
          <w:sz w:val="32"/>
          <w:szCs w:val="32"/>
        </w:rPr>
        <w:t>二、坚定不移维护社会和谐稳定、推进长治久安</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638" w:leftChars="304" w:firstLine="0" w:firstLineChars="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多管齐下，保持大局稳定。</w:t>
      </w:r>
      <w:r>
        <w:rPr>
          <w:rFonts w:hint="eastAsia" w:ascii="仿宋_GB2312" w:hAnsi="宋体" w:eastAsia="仿宋_GB2312"/>
          <w:bCs/>
          <w:sz w:val="32"/>
          <w:szCs w:val="32"/>
        </w:rPr>
        <w:br w:type="textWrapping"/>
      </w:r>
      <w:r>
        <w:rPr>
          <w:rFonts w:hint="eastAsia" w:ascii="仿宋_GB2312" w:hAnsi="宋体" w:eastAsia="仿宋_GB2312"/>
          <w:bCs/>
          <w:sz w:val="32"/>
          <w:szCs w:val="32"/>
        </w:rPr>
        <w:t>2、狠抓扫黑除恶，净化社会环境。</w:t>
      </w:r>
      <w:r>
        <w:rPr>
          <w:rFonts w:hint="eastAsia" w:ascii="仿宋_GB2312" w:hAnsi="宋体" w:eastAsia="仿宋_GB2312"/>
          <w:bCs/>
          <w:sz w:val="32"/>
          <w:szCs w:val="32"/>
        </w:rPr>
        <w:br w:type="textWrapping"/>
      </w:r>
      <w:r>
        <w:rPr>
          <w:rFonts w:hint="eastAsia" w:ascii="仿宋_GB2312" w:hAnsi="宋体" w:eastAsia="仿宋_GB2312"/>
          <w:bCs/>
          <w:sz w:val="32"/>
          <w:szCs w:val="32"/>
        </w:rPr>
        <w:t>3、树牢安全发展理念，推动形势稳定向好。</w:t>
      </w:r>
      <w:r>
        <w:rPr>
          <w:rFonts w:hint="eastAsia" w:ascii="仿宋_GB2312" w:hAnsi="宋体" w:eastAsia="仿宋_GB2312"/>
          <w:bCs/>
          <w:sz w:val="32"/>
          <w:szCs w:val="32"/>
        </w:rPr>
        <w:br w:type="textWrapping"/>
      </w:r>
      <w:r>
        <w:rPr>
          <w:rFonts w:hint="eastAsia" w:ascii="仿宋_GB2312" w:hAnsi="宋体" w:eastAsia="仿宋_GB2312"/>
          <w:bCs/>
          <w:sz w:val="32"/>
          <w:szCs w:val="32"/>
        </w:rPr>
        <w:t>4、发挥调解职能，增强普法成效。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仿宋_GB2312" w:hAnsi="宋体" w:eastAsia="仿宋_GB2312"/>
          <w:bCs/>
          <w:sz w:val="32"/>
          <w:szCs w:val="32"/>
        </w:rPr>
      </w:pPr>
      <w:r>
        <w:rPr>
          <w:rFonts w:hint="eastAsia" w:ascii="仿宋_GB2312" w:hAnsi="宋体" w:eastAsia="仿宋_GB2312"/>
          <w:bCs/>
          <w:sz w:val="32"/>
          <w:szCs w:val="32"/>
          <w:lang w:val="en-US" w:eastAsia="zh-CN"/>
        </w:rPr>
        <w:t>2.</w:t>
      </w:r>
      <w:r>
        <w:rPr>
          <w:rFonts w:hint="eastAsia" w:ascii="仿宋_GB2312" w:hAnsi="宋体" w:eastAsia="仿宋_GB2312"/>
          <w:bCs/>
          <w:sz w:val="32"/>
          <w:szCs w:val="32"/>
        </w:rPr>
        <w:t>机构人员保障情况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bCs/>
          <w:sz w:val="32"/>
          <w:szCs w:val="32"/>
        </w:rPr>
      </w:pPr>
      <w:r>
        <w:rPr>
          <w:rFonts w:hint="eastAsia" w:ascii="仿宋_GB2312" w:hAnsi="宋体" w:eastAsia="仿宋_GB2312"/>
          <w:bCs/>
          <w:sz w:val="32"/>
          <w:szCs w:val="32"/>
        </w:rPr>
        <w:t>哈拉玉宫镇人民政府2023年通过本部门预算支出，确保了82名在职人员的工资、津贴、补贴、社保、绩效、公积金等21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keepNext w:val="0"/>
        <w:keepLines w:val="0"/>
        <w:pageBreakBefore w:val="0"/>
        <w:kinsoku/>
        <w:wordWrap/>
        <w:overflowPunct/>
        <w:topLinePunct w:val="0"/>
        <w:autoSpaceDE/>
        <w:autoSpaceDN/>
        <w:bidi w:val="0"/>
        <w:adjustRightInd/>
        <w:spacing w:line="560" w:lineRule="exact"/>
        <w:jc w:val="left"/>
        <w:textAlignment w:val="auto"/>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keepNext w:val="0"/>
        <w:keepLines w:val="0"/>
        <w:pageBreakBefore w:val="0"/>
        <w:kinsoku/>
        <w:wordWrap/>
        <w:overflowPunct/>
        <w:topLinePunct w:val="0"/>
        <w:autoSpaceDE/>
        <w:autoSpaceDN/>
        <w:bidi w:val="0"/>
        <w:adjustRightInd/>
        <w:spacing w:line="560" w:lineRule="exact"/>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1.年初预算安排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2023年我部门年初安排预算数为2207.14万元，其中:上级安排0万元,本级安排2207.14万元，其他资金0万元。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综上所述，部门预算安排与本单位职能关联度较高，预算安排结构清晰明了，能够直观展示各项费用的分配情况，预算规模合理，为单位的稳健发展和高效运行提供了有力保障。</w:t>
      </w:r>
      <w:r>
        <w:rPr>
          <w:rFonts w:hint="eastAsia" w:ascii="仿宋_GB2312" w:hAnsi="宋体" w:eastAsia="仿宋_GB2312"/>
          <w:bCs/>
          <w:sz w:val="32"/>
          <w:szCs w:val="32"/>
        </w:rPr>
        <w:br w:type="textWrapping"/>
      </w:r>
      <w:r>
        <w:rPr>
          <w:rFonts w:hint="eastAsia" w:ascii="仿宋_GB2312" w:hAnsi="宋体" w:eastAsia="仿宋_GB2312"/>
          <w:bCs/>
          <w:sz w:val="32"/>
          <w:szCs w:val="32"/>
        </w:rPr>
        <w:t>2.预算年中调整情况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我部门年初安排预算数2207.14万元，年中调整数+10718.2万元，调整后全年预算数12925.34万元，预算调整率485.61%。</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综上所述，年中预算调整幅度与本单位运转情况和履职情况相匹配，未出现资金收支不平衡以及债务风险等负面影响，确保了预算调整的合理性和必要性。</w:t>
      </w:r>
      <w:r>
        <w:rPr>
          <w:rFonts w:hint="eastAsia" w:ascii="仿宋_GB2312" w:hAnsi="宋体" w:eastAsia="仿宋_GB2312"/>
          <w:bCs/>
          <w:sz w:val="32"/>
          <w:szCs w:val="32"/>
        </w:rPr>
        <w:br w:type="textWrapping"/>
      </w:r>
      <w:r>
        <w:rPr>
          <w:rFonts w:hint="eastAsia" w:ascii="仿宋_GB2312" w:hAnsi="宋体" w:eastAsia="仿宋_GB2312"/>
          <w:bCs/>
          <w:sz w:val="32"/>
          <w:szCs w:val="32"/>
        </w:rPr>
        <w:t>3.资金使用主要内容、涉及的范围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我单位2023年度部门整体支出为12925.34万元，其中：</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基本支出2192.92万元，主要用于：基本工资、津贴补贴、奖金、机关事业单位基本养老保险缴费、职业年金缴费、职工基本医疗保险缴费、办公费、差旅费、维修（护）费、福利费、退休费，抚恤金，生活补助，其他个人补助支出等。</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项目支出10732.42万元，主要用于2022年基层组织建设项目（哈乡五小场所基础设施建设）项目62.8万元、哈乡巴格吉代村村级组织活动场所基础设施建设项目资金项目52.48万元、哈乡偿还下多尕村科普馆基础设施工程项目资金项目116.07万元、纪检监察转移支付资金办公设备购置费项目资金项目0.52万元、哈乡2022年基层组织建设项目（中兴社区）基础设施建设项目资金项目46.88万元、哈拉玉宫乡乡村建设项目资金项目57.5万元、哈拉玉宫乡春节前农民工工资项目资金17.55万元、哈乡援疆项目（许可农牧民养殖合作社提供发展扶持资金）资金项目30万元、哈乡中多尕村人居环境整治项目资金项目1000万元、哈乡肉牛养殖基地建设项目基础设施工程项目资金项目650万元、哈拉玉宫乡哈拉玉宫村人居环境整治项目资金项目106.55万元、哈乡智慧农业数字中心基础设施建设项目资金项目91.42万元、哈拉玉宫乡废旧物资回收产业园项目资金项目337.4万元、哈乡2020年中央美丽乡村建设项目（巴格吉代村绿化官网改造项目）15.88万元、哈拉玉宫乡2023年度棉花目标价格补贴项目资金8147.37万元。</w:t>
      </w:r>
    </w:p>
    <w:p>
      <w:pPr>
        <w:keepNext w:val="0"/>
        <w:keepLines w:val="0"/>
        <w:pageBreakBefore w:val="0"/>
        <w:numPr>
          <w:ilvl w:val="0"/>
          <w:numId w:val="0"/>
        </w:numPr>
        <w:kinsoku/>
        <w:wordWrap/>
        <w:overflowPunct/>
        <w:topLinePunct w:val="0"/>
        <w:autoSpaceDE/>
        <w:autoSpaceDN/>
        <w:bidi w:val="0"/>
        <w:adjustRightInd/>
        <w:snapToGrid w:val="0"/>
        <w:spacing w:line="560" w:lineRule="exact"/>
        <w:textAlignment w:val="auto"/>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val="en-US" w:eastAsia="zh-CN" w:bidi="ar"/>
          <w14:textFill>
            <w14:solidFill>
              <w14:schemeClr w14:val="tx1"/>
            </w14:solidFill>
          </w14:textFill>
        </w:rPr>
        <w:t>二、</w:t>
      </w: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（一）基本支出投入、管理和使用情况</w:t>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2023年我部门基本支出年初预算安排2137.44万元，全年预算2192.91万元，全年实际支出数2192.91万元，其中：人员经费2048.33万元，公用经费144.58万元。全年预算执行率100.00%。</w:t>
      </w:r>
      <w:r>
        <w:rPr>
          <w:rFonts w:hint="eastAsia" w:ascii="仿宋_GB2312" w:hAnsi="宋体" w:eastAsia="仿宋_GB2312"/>
          <w:bCs/>
          <w:sz w:val="32"/>
          <w:szCs w:val="32"/>
        </w:rPr>
        <w:br w:type="textWrapping"/>
      </w:r>
      <w:r>
        <w:rPr>
          <w:rFonts w:hint="eastAsia" w:ascii="仿宋_GB2312" w:hAnsi="宋体" w:eastAsia="仿宋_GB2312"/>
          <w:bCs/>
          <w:sz w:val="32"/>
          <w:szCs w:val="32"/>
        </w:rPr>
        <w:t>2.基本支出管理情况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基本支出严格按照财务管理制度执行。人员工资由相关部门严格审核，按月申报及发放。基本公用经费主要用于支付单位日常的办公费、邮电费、差旅费、维修（护）费、劳务费、车辆运行维护费等。公务用车运行维护费主要用于单位车辆加油、维修及购买车辆保险。</w:t>
      </w:r>
      <w:r>
        <w:rPr>
          <w:rFonts w:hint="eastAsia" w:ascii="仿宋_GB2312" w:hAnsi="宋体" w:eastAsia="仿宋_GB2312"/>
          <w:bCs/>
          <w:sz w:val="32"/>
          <w:szCs w:val="32"/>
        </w:rPr>
        <w:br w:type="textWrapping"/>
      </w:r>
      <w:r>
        <w:rPr>
          <w:rFonts w:hint="eastAsia" w:ascii="仿宋_GB2312" w:hAnsi="宋体" w:eastAsia="仿宋_GB2312"/>
          <w:bCs/>
          <w:sz w:val="32"/>
          <w:szCs w:val="32"/>
        </w:rPr>
        <w:t>（二）项目支出投入、管理和使用情况</w:t>
      </w:r>
      <w:r>
        <w:rPr>
          <w:rFonts w:hint="eastAsia" w:ascii="仿宋_GB2312" w:hAnsi="宋体" w:eastAsia="仿宋_GB2312"/>
          <w:bCs/>
          <w:sz w:val="32"/>
          <w:szCs w:val="32"/>
        </w:rPr>
        <w:br w:type="textWrapping"/>
      </w:r>
      <w:r>
        <w:rPr>
          <w:rFonts w:hint="eastAsia" w:ascii="仿宋_GB2312" w:hAnsi="宋体" w:eastAsia="仿宋_GB2312"/>
          <w:bCs/>
          <w:sz w:val="32"/>
          <w:szCs w:val="32"/>
        </w:rPr>
        <w:t>1.项目支出投入和使用情况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2023年本单位共安排15个项目，全年预算数为10732.42万元，全年实际支出数10732.42万元，执行率100.00%。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其中:上级安排项目12个10541.3万元，本级安排项目3个191.12万元,其他资金安排项目0个0万元。</w:t>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2.项目支出管理情况</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bCs/>
          <w:sz w:val="32"/>
          <w:szCs w:val="32"/>
        </w:rPr>
      </w:pPr>
      <w:r>
        <w:rPr>
          <w:rFonts w:hint="eastAsia" w:ascii="仿宋_GB2312" w:hAnsi="宋体" w:eastAsia="仿宋_GB2312"/>
          <w:bCs/>
          <w:sz w:val="32"/>
          <w:szCs w:val="32"/>
        </w:rPr>
        <w:t>资金拨付审批手续完整。项目资金专款专用，不存在支出依据不合规，序列项目支出，截留，挤占，挪用和超标准支出等现象，使项目资金的运用得到了合理的控制，项目得到了切实的保障。</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bCs/>
          <w:sz w:val="32"/>
          <w:szCs w:val="32"/>
        </w:rPr>
      </w:pPr>
      <w:r>
        <w:rPr>
          <w:rFonts w:hint="eastAsia" w:ascii="仿宋_GB2312" w:hAnsi="宋体" w:eastAsia="仿宋_GB2312"/>
          <w:bCs/>
          <w:sz w:val="32"/>
          <w:szCs w:val="32"/>
        </w:rPr>
        <w:t>会计信息质量真实。严格执行《会计法》等财经法规，严格按照相关会计制度办理会计业务，进行会计核算，并做好会计记录，真实的反映项目资金管理情况，并接受财政、审批部门及上级主管部门的检查、监督。</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bCs/>
          <w:sz w:val="32"/>
          <w:szCs w:val="32"/>
        </w:rPr>
      </w:pPr>
      <w:r>
        <w:rPr>
          <w:rFonts w:hint="eastAsia" w:ascii="仿宋_GB2312" w:hAnsi="宋体" w:eastAsia="仿宋_GB2312"/>
          <w:bCs/>
          <w:sz w:val="32"/>
          <w:szCs w:val="32"/>
        </w:rPr>
        <w:t>执行预决算管理。严格按预算管理要求使用资金，严格按进度和合同拨付资金，严格执行政府采购制度；严格执行国库集中支付制度，严防截留、挪用资金。</w:t>
      </w:r>
    </w:p>
    <w:p>
      <w:pPr>
        <w:keepNext w:val="0"/>
        <w:keepLines w:val="0"/>
        <w:pageBreakBefore w:val="0"/>
        <w:numPr>
          <w:ilvl w:val="0"/>
          <w:numId w:val="0"/>
        </w:numPr>
        <w:kinsoku/>
        <w:wordWrap/>
        <w:overflowPunct/>
        <w:topLinePunct w:val="0"/>
        <w:autoSpaceDE/>
        <w:autoSpaceDN/>
        <w:bidi w:val="0"/>
        <w:adjustRightInd/>
        <w:snapToGrid w:val="0"/>
        <w:spacing w:line="560" w:lineRule="exact"/>
        <w:textAlignment w:val="auto"/>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val="en-US" w:eastAsia="zh-CN" w:bidi="ar"/>
          <w14:textFill>
            <w14:solidFill>
              <w14:schemeClr w14:val="tx1"/>
            </w14:solidFill>
          </w14:textFill>
        </w:rPr>
        <w:t>三、</w:t>
      </w: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keepNext w:val="0"/>
        <w:keepLines w:val="0"/>
        <w:pageBreakBefore w:val="0"/>
        <w:kinsoku/>
        <w:wordWrap/>
        <w:overflowPunct/>
        <w:topLinePunct w:val="0"/>
        <w:autoSpaceDE/>
        <w:autoSpaceDN/>
        <w:bidi w:val="0"/>
        <w:adjustRightInd/>
        <w:spacing w:line="560" w:lineRule="exact"/>
        <w:ind w:firstLine="800" w:firstLineChars="25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p>
    <w:p>
      <w:pPr>
        <w:keepNext w:val="0"/>
        <w:keepLines w:val="0"/>
        <w:pageBreakBefore w:val="0"/>
        <w:kinsoku/>
        <w:wordWrap/>
        <w:overflowPunct/>
        <w:topLinePunct w:val="0"/>
        <w:autoSpaceDE/>
        <w:autoSpaceDN/>
        <w:bidi w:val="0"/>
        <w:adjustRightInd/>
        <w:spacing w:line="560" w:lineRule="exact"/>
        <w:ind w:firstLine="800" w:firstLineChars="25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我单位将部门单位整体绩效目标细化分解为具体的绩效指标，一级指标共1条，二级指标共1条，三级指标共4条，其中量化指标条数共4条，所有绩效指标均通过清晰、可衡量的指标值予以体现。</w:t>
      </w:r>
      <w:r>
        <w:rPr>
          <w:rFonts w:hint="eastAsia" w:ascii="仿宋_GB2312" w:hAnsi="宋体" w:eastAsia="仿宋_GB2312"/>
          <w:bCs/>
          <w:sz w:val="32"/>
          <w:szCs w:val="32"/>
        </w:rPr>
        <w:br w:type="textWrapping"/>
      </w:r>
      <w:r>
        <w:rPr>
          <w:rFonts w:hint="eastAsia" w:ascii="仿宋_GB2312" w:hAnsi="宋体" w:eastAsia="仿宋_GB2312"/>
          <w:bCs/>
          <w:sz w:val="32"/>
          <w:szCs w:val="32"/>
        </w:rPr>
        <w:t>（一）指标一：运行成本</w:t>
      </w:r>
    </w:p>
    <w:p>
      <w:pPr>
        <w:keepNext w:val="0"/>
        <w:keepLines w:val="0"/>
        <w:pageBreakBefore w:val="0"/>
        <w:kinsoku/>
        <w:wordWrap/>
        <w:overflowPunct/>
        <w:topLinePunct w:val="0"/>
        <w:autoSpaceDE/>
        <w:autoSpaceDN/>
        <w:bidi w:val="0"/>
        <w:adjustRightInd/>
        <w:spacing w:line="560" w:lineRule="exact"/>
        <w:ind w:firstLine="800" w:firstLineChars="25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无此项指标。</w:t>
      </w:r>
      <w:r>
        <w:rPr>
          <w:rFonts w:hint="eastAsia" w:ascii="仿宋_GB2312" w:hAnsi="宋体" w:eastAsia="仿宋_GB2312"/>
          <w:bCs/>
          <w:sz w:val="32"/>
          <w:szCs w:val="32"/>
        </w:rPr>
        <w:br w:type="textWrapping"/>
      </w:r>
      <w:r>
        <w:rPr>
          <w:rFonts w:hint="eastAsia" w:ascii="仿宋_GB2312" w:hAnsi="宋体" w:eastAsia="仿宋_GB2312"/>
          <w:bCs/>
          <w:sz w:val="32"/>
          <w:szCs w:val="32"/>
        </w:rPr>
        <w:t>（二）指标二：管理效率</w:t>
      </w:r>
    </w:p>
    <w:p>
      <w:pPr>
        <w:keepNext w:val="0"/>
        <w:keepLines w:val="0"/>
        <w:pageBreakBefore w:val="0"/>
        <w:kinsoku/>
        <w:wordWrap/>
        <w:overflowPunct/>
        <w:topLinePunct w:val="0"/>
        <w:autoSpaceDE/>
        <w:autoSpaceDN/>
        <w:bidi w:val="0"/>
        <w:adjustRightInd/>
        <w:spacing w:line="560" w:lineRule="exact"/>
        <w:ind w:firstLine="800" w:firstLineChars="25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t>（三）指标三：履职效能</w:t>
      </w:r>
    </w:p>
    <w:p>
      <w:pPr>
        <w:keepNext w:val="0"/>
        <w:keepLines w:val="0"/>
        <w:pageBreakBefore w:val="0"/>
        <w:kinsoku/>
        <w:wordWrap/>
        <w:overflowPunct/>
        <w:topLinePunct w:val="0"/>
        <w:autoSpaceDE/>
        <w:autoSpaceDN/>
        <w:bidi w:val="0"/>
        <w:adjustRightInd/>
        <w:spacing w:line="560" w:lineRule="exact"/>
        <w:ind w:firstLine="800" w:firstLineChars="25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数量指标1：覆盖基层组织个数,预期指标值为：&gt;=6个；监控节点完成值：=6个；评价实际完成值：=6个；指标完成率：100.00%；成效分析：通过单位正常运转，提高了工作效率，改善了工作质量及服务水平。</w:t>
      </w:r>
    </w:p>
    <w:p>
      <w:pPr>
        <w:keepNext w:val="0"/>
        <w:keepLines w:val="0"/>
        <w:pageBreakBefore w:val="0"/>
        <w:kinsoku/>
        <w:wordWrap/>
        <w:overflowPunct/>
        <w:topLinePunct w:val="0"/>
        <w:autoSpaceDE/>
        <w:autoSpaceDN/>
        <w:bidi w:val="0"/>
        <w:adjustRightInd/>
        <w:spacing w:line="560" w:lineRule="exact"/>
        <w:ind w:firstLine="800" w:firstLineChars="25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数量指标2：工作队在职人数,预期指标值为：&gt;=24人；监控节点完成值：=24人；评价实际完成值：=24人；指标完成率：100.00%；成效分析：通过单位正常运转，提高了工作效率，改善了工作质量及服务水平。</w:t>
      </w:r>
    </w:p>
    <w:p>
      <w:pPr>
        <w:keepNext w:val="0"/>
        <w:keepLines w:val="0"/>
        <w:pageBreakBefore w:val="0"/>
        <w:kinsoku/>
        <w:wordWrap/>
        <w:overflowPunct/>
        <w:topLinePunct w:val="0"/>
        <w:autoSpaceDE/>
        <w:autoSpaceDN/>
        <w:bidi w:val="0"/>
        <w:adjustRightInd/>
        <w:spacing w:line="560" w:lineRule="exact"/>
        <w:ind w:firstLine="800" w:firstLineChars="25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数量指标3：农牧民实用技能培训场次数,预期指标值为：&gt;=10次；监控节点完成值：=5次；评价实际完成值：=10次；指标完成率：100.00%；成效分析：通过单位正常运转，提高了工作效率，改善了工作质量及服务水平。</w:t>
      </w:r>
    </w:p>
    <w:p>
      <w:pPr>
        <w:keepNext w:val="0"/>
        <w:keepLines w:val="0"/>
        <w:pageBreakBefore w:val="0"/>
        <w:kinsoku/>
        <w:wordWrap/>
        <w:overflowPunct/>
        <w:topLinePunct w:val="0"/>
        <w:autoSpaceDE/>
        <w:autoSpaceDN/>
        <w:bidi w:val="0"/>
        <w:adjustRightInd/>
        <w:spacing w:line="560" w:lineRule="exact"/>
        <w:ind w:firstLine="800" w:firstLineChars="25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数量指标4：为民办实事件数量,预期指标值为：&gt;=10件；监控节点完成值：=5件；评价实际完成值：=12件；指标完成率：100.00%；成效分析：通过单位正常运转，提高了工作效率，改善了工作质量及服务水平。</w:t>
      </w:r>
      <w:r>
        <w:rPr>
          <w:rFonts w:hint="eastAsia" w:ascii="仿宋_GB2312" w:hAnsi="宋体" w:eastAsia="仿宋_GB2312"/>
          <w:bCs/>
          <w:sz w:val="32"/>
          <w:szCs w:val="32"/>
        </w:rPr>
        <w:br w:type="textWrapping"/>
      </w:r>
      <w:r>
        <w:rPr>
          <w:rFonts w:hint="eastAsia" w:ascii="仿宋_GB2312" w:hAnsi="宋体" w:eastAsia="仿宋_GB2312"/>
          <w:bCs/>
          <w:sz w:val="32"/>
          <w:szCs w:val="32"/>
        </w:rPr>
        <w:t>（四）指标四：社会效益</w:t>
      </w:r>
    </w:p>
    <w:p>
      <w:pPr>
        <w:keepNext w:val="0"/>
        <w:keepLines w:val="0"/>
        <w:pageBreakBefore w:val="0"/>
        <w:kinsoku/>
        <w:wordWrap/>
        <w:overflowPunct/>
        <w:topLinePunct w:val="0"/>
        <w:autoSpaceDE/>
        <w:autoSpaceDN/>
        <w:bidi w:val="0"/>
        <w:adjustRightInd/>
        <w:spacing w:line="560" w:lineRule="exact"/>
        <w:ind w:firstLine="800" w:firstLineChars="25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t>（五）指标五：可持续发展能力</w:t>
      </w:r>
    </w:p>
    <w:p>
      <w:pPr>
        <w:keepNext w:val="0"/>
        <w:keepLines w:val="0"/>
        <w:pageBreakBefore w:val="0"/>
        <w:kinsoku/>
        <w:wordWrap/>
        <w:overflowPunct/>
        <w:topLinePunct w:val="0"/>
        <w:autoSpaceDE/>
        <w:autoSpaceDN/>
        <w:bidi w:val="0"/>
        <w:adjustRightInd/>
        <w:spacing w:line="560" w:lineRule="exact"/>
        <w:ind w:firstLine="800" w:firstLineChars="25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t>（六）指标六：服务对象满意度</w:t>
      </w:r>
    </w:p>
    <w:p>
      <w:pPr>
        <w:keepNext w:val="0"/>
        <w:keepLines w:val="0"/>
        <w:pageBreakBefore w:val="0"/>
        <w:kinsoku/>
        <w:wordWrap/>
        <w:overflowPunct/>
        <w:topLinePunct w:val="0"/>
        <w:autoSpaceDE/>
        <w:autoSpaceDN/>
        <w:bidi w:val="0"/>
        <w:adjustRightInd/>
        <w:spacing w:line="560" w:lineRule="exact"/>
        <w:ind w:firstLine="800" w:firstLineChars="250"/>
        <w:jc w:val="left"/>
        <w:textAlignment w:val="auto"/>
        <w:rPr>
          <w:rFonts w:ascii="仿宋_GB2312" w:hAnsi="宋体" w:eastAsia="仿宋_GB2312"/>
          <w:b/>
          <w:sz w:val="32"/>
          <w:szCs w:val="32"/>
        </w:rPr>
      </w:pPr>
      <w:r>
        <w:rPr>
          <w:rFonts w:hint="eastAsia" w:ascii="仿宋_GB2312" w:hAnsi="宋体" w:eastAsia="仿宋_GB2312"/>
          <w:bCs/>
          <w:sz w:val="32"/>
          <w:szCs w:val="32"/>
        </w:rPr>
        <w:t>无此项指标。</w:t>
      </w:r>
    </w:p>
    <w:p>
      <w:pPr>
        <w:keepNext w:val="0"/>
        <w:keepLines w:val="0"/>
        <w:pageBreakBefore w:val="0"/>
        <w:numPr>
          <w:ilvl w:val="0"/>
          <w:numId w:val="0"/>
        </w:numPr>
        <w:kinsoku/>
        <w:wordWrap/>
        <w:overflowPunct/>
        <w:topLinePunct w:val="0"/>
        <w:autoSpaceDE/>
        <w:autoSpaceDN/>
        <w:bidi w:val="0"/>
        <w:adjustRightInd/>
        <w:snapToGrid w:val="0"/>
        <w:spacing w:line="560" w:lineRule="exact"/>
        <w:textAlignment w:val="auto"/>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val="en-US" w:eastAsia="zh-CN" w:bidi="ar"/>
          <w14:textFill>
            <w14:solidFill>
              <w14:schemeClr w14:val="tx1"/>
            </w14:solidFill>
          </w14:textFill>
        </w:rPr>
        <w:t>四、</w:t>
      </w:r>
      <w:r>
        <w:rPr>
          <w:rFonts w:hint="eastAsia" w:ascii="黑体" w:hAnsi="黑体" w:eastAsia="黑体" w:cs="宋体"/>
          <w:b/>
          <w:color w:val="000000" w:themeColor="text1"/>
          <w:sz w:val="32"/>
          <w:szCs w:val="32"/>
          <w:lang w:bidi="ar"/>
          <w14:textFill>
            <w14:solidFill>
              <w14:schemeClr w14:val="tx1"/>
            </w14:solidFill>
          </w14:textFill>
        </w:rPr>
        <w:t>评价结论：</w:t>
      </w:r>
    </w:p>
    <w:p>
      <w:pPr>
        <w:keepNext w:val="0"/>
        <w:keepLines w:val="0"/>
        <w:pageBreakBefore w:val="0"/>
        <w:kinsoku/>
        <w:wordWrap/>
        <w:overflowPunct/>
        <w:topLinePunct w:val="0"/>
        <w:autoSpaceDE/>
        <w:autoSpaceDN/>
        <w:bidi w:val="0"/>
        <w:adjustRightInd/>
        <w:spacing w:line="560" w:lineRule="exact"/>
        <w:ind w:firstLine="960" w:firstLineChars="3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本部门严格按照科学公正、统筹兼顾、激励约束、公开透明的绩效评价原则，对本部门预算执行情况、部门单位整体支出管理及使用情况、部门单位整体支出绩效指标完成情况等进行了综合评价。</w:t>
      </w:r>
    </w:p>
    <w:p>
      <w:pPr>
        <w:keepNext w:val="0"/>
        <w:keepLines w:val="0"/>
        <w:pageBreakBefore w:val="0"/>
        <w:kinsoku/>
        <w:wordWrap/>
        <w:overflowPunct/>
        <w:topLinePunct w:val="0"/>
        <w:autoSpaceDE/>
        <w:autoSpaceDN/>
        <w:bidi w:val="0"/>
        <w:adjustRightInd/>
        <w:spacing w:line="560" w:lineRule="exact"/>
        <w:ind w:firstLine="960" w:firstLineChars="300"/>
        <w:jc w:val="left"/>
        <w:textAlignment w:val="auto"/>
        <w:rPr>
          <w:rFonts w:ascii="仿宋_GB2312" w:hAnsi="宋体" w:eastAsia="仿宋_GB2312"/>
          <w:bCs/>
          <w:sz w:val="32"/>
          <w:szCs w:val="32"/>
        </w:rPr>
      </w:pPr>
      <w:r>
        <w:rPr>
          <w:rFonts w:hint="eastAsia" w:ascii="仿宋_GB2312" w:hAnsi="宋体" w:eastAsia="仿宋_GB2312"/>
          <w:bCs/>
          <w:sz w:val="32"/>
          <w:szCs w:val="32"/>
        </w:rPr>
        <w:t>2023年度部门整体支出绩效自评综合得分100分，评价结果为“优”。</w:t>
      </w:r>
    </w:p>
    <w:p>
      <w:pPr>
        <w:keepNext w:val="0"/>
        <w:keepLines w:val="0"/>
        <w:pageBreakBefore w:val="0"/>
        <w:numPr>
          <w:ilvl w:val="0"/>
          <w:numId w:val="0"/>
        </w:numPr>
        <w:kinsoku/>
        <w:wordWrap/>
        <w:overflowPunct/>
        <w:topLinePunct w:val="0"/>
        <w:autoSpaceDE/>
        <w:autoSpaceDN/>
        <w:bidi w:val="0"/>
        <w:adjustRightInd/>
        <w:snapToGrid w:val="0"/>
        <w:spacing w:line="560" w:lineRule="exact"/>
        <w:textAlignment w:val="auto"/>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val="en-US" w:eastAsia="zh-CN" w:bidi="ar"/>
          <w14:textFill>
            <w14:solidFill>
              <w14:schemeClr w14:val="tx1"/>
            </w14:solidFill>
          </w14:textFill>
        </w:rPr>
        <w:t>五、</w:t>
      </w: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keepNext w:val="0"/>
        <w:keepLines w:val="0"/>
        <w:pageBreakBefore w:val="0"/>
        <w:kinsoku/>
        <w:wordWrap/>
        <w:overflowPunct/>
        <w:topLinePunct w:val="0"/>
        <w:autoSpaceDE/>
        <w:autoSpaceDN/>
        <w:bidi w:val="0"/>
        <w:adjustRightInd/>
        <w:spacing w:line="560" w:lineRule="exact"/>
        <w:ind w:firstLine="960" w:firstLineChars="3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2023年本单位基本支出绩效目标全部完成，不存在未完成绩效目标情况。但在资金管理等方面仍存在部分问题，具体如下：</w:t>
      </w:r>
    </w:p>
    <w:p>
      <w:pPr>
        <w:keepNext w:val="0"/>
        <w:keepLines w:val="0"/>
        <w:pageBreakBefore w:val="0"/>
        <w:kinsoku/>
        <w:wordWrap/>
        <w:overflowPunct/>
        <w:topLinePunct w:val="0"/>
        <w:autoSpaceDE/>
        <w:autoSpaceDN/>
        <w:bidi w:val="0"/>
        <w:adjustRightInd/>
        <w:spacing w:line="560" w:lineRule="exact"/>
        <w:ind w:firstLine="960" w:firstLineChars="300"/>
        <w:jc w:val="left"/>
        <w:textAlignment w:val="auto"/>
        <w:rPr>
          <w:rFonts w:hint="eastAsia" w:ascii="仿宋_GB2312" w:hAnsi="宋体" w:eastAsia="仿宋_GB2312"/>
          <w:bCs/>
          <w:sz w:val="32"/>
          <w:szCs w:val="32"/>
          <w:lang w:val="en-US" w:eastAsia="zh-CN"/>
        </w:rPr>
      </w:pPr>
      <w:r>
        <w:rPr>
          <w:rFonts w:hint="eastAsia" w:ascii="仿宋_GB2312" w:hAnsi="宋体" w:eastAsia="仿宋_GB2312"/>
          <w:bCs/>
          <w:sz w:val="32"/>
          <w:szCs w:val="32"/>
        </w:rPr>
        <w:t>一是对预算绩效的认识还不够深入，相关知识了解还不够、掌握还不够多，把绩效管理简单等同于工作目标、工作考核和业务</w:t>
      </w:r>
      <w:r>
        <w:rPr>
          <w:rFonts w:hint="eastAsia" w:ascii="仿宋_GB2312" w:hAnsi="宋体" w:eastAsia="仿宋_GB2312"/>
          <w:bCs/>
          <w:sz w:val="32"/>
          <w:szCs w:val="32"/>
          <w:lang w:val="en-US" w:eastAsia="zh-CN"/>
        </w:rPr>
        <w:t>管理。</w:t>
      </w:r>
    </w:p>
    <w:p>
      <w:pPr>
        <w:keepNext w:val="0"/>
        <w:keepLines w:val="0"/>
        <w:pageBreakBefore w:val="0"/>
        <w:kinsoku/>
        <w:wordWrap/>
        <w:overflowPunct/>
        <w:topLinePunct w:val="0"/>
        <w:autoSpaceDE/>
        <w:autoSpaceDN/>
        <w:bidi w:val="0"/>
        <w:adjustRightInd/>
        <w:spacing w:line="560" w:lineRule="exact"/>
        <w:ind w:firstLine="960" w:firstLineChars="300"/>
        <w:jc w:val="left"/>
        <w:textAlignment w:val="auto"/>
        <w:rPr>
          <w:rFonts w:ascii="仿宋_GB2312" w:hAnsi="宋体" w:eastAsia="仿宋_GB2312"/>
          <w:bCs/>
          <w:sz w:val="32"/>
          <w:szCs w:val="32"/>
        </w:rPr>
      </w:pPr>
      <w:r>
        <w:rPr>
          <w:rFonts w:hint="eastAsia" w:ascii="仿宋_GB2312" w:hAnsi="宋体" w:eastAsia="仿宋_GB2312"/>
          <w:bCs/>
          <w:sz w:val="32"/>
          <w:szCs w:val="32"/>
        </w:rPr>
        <w:t>二是资金管理水平有待进一步提高，财务审核还需进一步加强。</w:t>
      </w:r>
    </w:p>
    <w:p>
      <w:pPr>
        <w:keepNext w:val="0"/>
        <w:keepLines w:val="0"/>
        <w:pageBreakBefore w:val="0"/>
        <w:numPr>
          <w:ilvl w:val="0"/>
          <w:numId w:val="0"/>
        </w:numPr>
        <w:kinsoku/>
        <w:wordWrap/>
        <w:overflowPunct/>
        <w:topLinePunct w:val="0"/>
        <w:autoSpaceDE/>
        <w:autoSpaceDN/>
        <w:bidi w:val="0"/>
        <w:adjustRightInd/>
        <w:snapToGrid w:val="0"/>
        <w:spacing w:line="560" w:lineRule="exact"/>
        <w:textAlignment w:val="auto"/>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val="en-US" w:eastAsia="zh-CN" w:bidi="ar"/>
          <w14:textFill>
            <w14:solidFill>
              <w14:schemeClr w14:val="tx1"/>
            </w14:solidFill>
          </w14:textFill>
        </w:rPr>
        <w:t>六、</w:t>
      </w:r>
      <w:r>
        <w:rPr>
          <w:rFonts w:hint="eastAsia" w:ascii="黑体" w:hAnsi="黑体" w:eastAsia="黑体" w:cs="宋体"/>
          <w:b/>
          <w:color w:val="000000" w:themeColor="text1"/>
          <w:sz w:val="32"/>
          <w:szCs w:val="32"/>
          <w:lang w:bidi="ar"/>
          <w14:textFill>
            <w14:solidFill>
              <w14:schemeClr w14:val="tx1"/>
            </w14:solidFill>
          </w14:textFill>
        </w:rPr>
        <w:t>改进措施和建议：</w:t>
      </w:r>
    </w:p>
    <w:p>
      <w:pPr>
        <w:keepNext w:val="0"/>
        <w:keepLines w:val="0"/>
        <w:pageBreakBefore w:val="0"/>
        <w:kinsoku/>
        <w:wordWrap/>
        <w:overflowPunct/>
        <w:topLinePunct w:val="0"/>
        <w:autoSpaceDE/>
        <w:autoSpaceDN/>
        <w:bidi w:val="0"/>
        <w:adjustRightInd/>
        <w:spacing w:line="560" w:lineRule="exact"/>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（1）预算绩效观念不深入。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Cs/>
          <w:sz w:val="32"/>
          <w:szCs w:val="32"/>
        </w:rPr>
      </w:pPr>
      <w:r>
        <w:rPr>
          <w:rFonts w:hint="eastAsia" w:ascii="仿宋_GB2312" w:hAnsi="宋体" w:eastAsia="仿宋_GB2312"/>
          <w:bCs/>
          <w:sz w:val="32"/>
          <w:szCs w:val="32"/>
        </w:rPr>
        <w:t>在日常绩效监控工作中存在着一定程度的“重分配、轻管理重支出轻绩效”的情况，造成该问题的主要原因是自身绩效理念较薄弱，单位绩效目标编制仍有缺失，需要进一步加强对资金绩效管理的重视程度。</w:t>
      </w:r>
      <w:r>
        <w:rPr>
          <w:rFonts w:hint="eastAsia" w:ascii="仿宋_GB2312" w:hAnsi="宋体" w:eastAsia="仿宋_GB2312"/>
          <w:bCs/>
          <w:sz w:val="32"/>
          <w:szCs w:val="32"/>
        </w:rPr>
        <w:br w:type="textWrapping"/>
      </w:r>
      <w:r>
        <w:rPr>
          <w:rFonts w:hint="eastAsia" w:ascii="仿宋_GB2312" w:hAnsi="宋体" w:eastAsia="仿宋_GB2312"/>
          <w:bCs/>
          <w:sz w:val="32"/>
          <w:szCs w:val="32"/>
        </w:rPr>
        <w:t>（2）预算绩效规范管理有盲点。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bCs/>
          <w:sz w:val="32"/>
          <w:szCs w:val="32"/>
        </w:rPr>
      </w:pPr>
      <w:r>
        <w:rPr>
          <w:rFonts w:hint="eastAsia" w:ascii="仿宋_GB2312" w:hAnsi="宋体" w:eastAsia="仿宋_GB2312"/>
          <w:bCs/>
          <w:sz w:val="32"/>
          <w:szCs w:val="32"/>
        </w:rPr>
        <w:t>财务人员面对当前绩效管理工作既没有现成的经验可供借鉴，又缺乏专业性很强的技能储备，只能是边工作、边学习、边积累，短期内部分工作只能停留在表面，难以做到程序规范、管理科学，难以满足当前绩效管理要求。</w:t>
      </w:r>
    </w:p>
    <w:p>
      <w:pPr>
        <w:keepNext w:val="0"/>
        <w:keepLines w:val="0"/>
        <w:pageBreakBefore w:val="0"/>
        <w:kinsoku/>
        <w:wordWrap/>
        <w:overflowPunct/>
        <w:topLinePunct w:val="0"/>
        <w:autoSpaceDE/>
        <w:autoSpaceDN/>
        <w:bidi w:val="0"/>
        <w:adjustRightInd/>
        <w:spacing w:line="560" w:lineRule="exact"/>
        <w:textAlignment w:val="auto"/>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125069"/>
    <w:multiLevelType w:val="singleLevel"/>
    <w:tmpl w:val="8B125069"/>
    <w:lvl w:ilvl="0" w:tentative="0">
      <w:start w:val="1"/>
      <w:numFmt w:val="decimal"/>
      <w:suff w:val="nothing"/>
      <w:lvlText w:val="（%1）"/>
      <w:lvlJc w:val="left"/>
    </w:lvl>
  </w:abstractNum>
  <w:abstractNum w:abstractNumId="1">
    <w:nsid w:val="A0CAD79A"/>
    <w:multiLevelType w:val="singleLevel"/>
    <w:tmpl w:val="A0CAD79A"/>
    <w:lvl w:ilvl="0" w:tentative="0">
      <w:start w:val="1"/>
      <w:numFmt w:val="decimal"/>
      <w:suff w:val="nothing"/>
      <w:lvlText w:val="%1、"/>
      <w:lvlJc w:val="left"/>
    </w:lvl>
  </w:abstractNum>
  <w:abstractNum w:abstractNumId="2">
    <w:nsid w:val="F4F7D22D"/>
    <w:multiLevelType w:val="singleLevel"/>
    <w:tmpl w:val="F4F7D22D"/>
    <w:lvl w:ilvl="0" w:tentative="0">
      <w:start w:val="1"/>
      <w:numFmt w:val="decimal"/>
      <w:suff w:val="nothing"/>
      <w:lvlText w:val="%1、"/>
      <w:lvlJc w:val="left"/>
    </w:lvl>
  </w:abstractNum>
  <w:abstractNum w:abstractNumId="3">
    <w:nsid w:val="07C0A41B"/>
    <w:multiLevelType w:val="singleLevel"/>
    <w:tmpl w:val="07C0A41B"/>
    <w:lvl w:ilvl="0" w:tentative="0">
      <w:start w:val="1"/>
      <w:numFmt w:val="decimal"/>
      <w:suff w:val="nothing"/>
      <w:lvlText w:val="（%1）"/>
      <w:lvlJc w:val="left"/>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0F32503F"/>
    <w:rsid w:val="10DF6E84"/>
    <w:rsid w:val="1438599A"/>
    <w:rsid w:val="200F4073"/>
    <w:rsid w:val="24B86128"/>
    <w:rsid w:val="2B5A4607"/>
    <w:rsid w:val="303F7287"/>
    <w:rsid w:val="51C70EA9"/>
    <w:rsid w:val="54F842B6"/>
    <w:rsid w:val="624C4891"/>
    <w:rsid w:val="62DA5E83"/>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7</TotalTime>
  <ScaleCrop>false</ScaleCrop>
  <LinksUpToDate>false</LinksUpToDate>
  <CharactersWithSpaces>384</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lenovo</cp:lastModifiedBy>
  <dcterms:modified xsi:type="dcterms:W3CDTF">2025-11-13T06:19:25Z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4E2A216151A24EE5A190066F518526B7</vt:lpwstr>
  </property>
</Properties>
</file>