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jc w:val="center"/>
        <w:rPr>
          <w:rFonts w:ascii="方正小标宋_GBK" w:hAnsi="宋体" w:eastAsia="方正小标宋_GBK" w:cs="Times New Roman"/>
          <w:kern w:val="2"/>
          <w:sz w:val="44"/>
          <w:szCs w:val="44"/>
          <w:lang w:val="en-US" w:eastAsia="zh-CN" w:bidi="ar-SA"/>
        </w:rPr>
      </w:pPr>
    </w:p>
    <w:p>
      <w:pPr>
        <w:jc w:val="center"/>
        <w:rPr>
          <w:rFonts w:ascii="方正小标宋_GBK" w:hAnsi="宋体" w:eastAsia="方正小标宋_GBK" w:cs="Times New Roman"/>
          <w:kern w:val="2"/>
          <w:sz w:val="44"/>
          <w:szCs w:val="44"/>
          <w:lang w:val="en-US" w:eastAsia="zh-CN" w:bidi="ar-SA"/>
        </w:rPr>
      </w:pPr>
      <w:r>
        <w:rPr>
          <w:rFonts w:ascii="方正小标宋_GBK" w:hAnsi="宋体" w:eastAsia="方正小标宋_GBK" w:cs="Times New Roman"/>
          <w:kern w:val="2"/>
          <w:sz w:val="44"/>
          <w:szCs w:val="44"/>
          <w:lang w:val="en-US" w:eastAsia="zh-CN" w:bidi="ar-SA"/>
        </w:rPr>
        <w:t>库尔勒市哈拉玉宫镇人民政府</w:t>
      </w:r>
    </w:p>
    <w:p>
      <w:pPr>
        <w:jc w:val="center"/>
        <w:rPr>
          <w:rFonts w:ascii="方正小标宋_GBK" w:hAnsi="宋体" w:eastAsia="方正小标宋_GBK" w:cs="Times New Roman"/>
          <w:kern w:val="2"/>
          <w:sz w:val="44"/>
          <w:szCs w:val="44"/>
          <w:lang w:val="en-US" w:eastAsia="zh-CN" w:bidi="ar-SA"/>
        </w:rPr>
      </w:pPr>
      <w:r>
        <w:rPr>
          <w:rFonts w:ascii="方正小标宋_GBK" w:hAnsi="宋体" w:eastAsia="方正小标宋_GBK" w:cs="Times New Roman"/>
          <w:kern w:val="2"/>
          <w:sz w:val="44"/>
          <w:szCs w:val="44"/>
          <w:lang w:val="en-US" w:eastAsia="zh-CN" w:bidi="ar-SA"/>
        </w:rPr>
        <w:t>2024年度部门决算</w:t>
      </w:r>
    </w:p>
    <w:p>
      <w:pPr>
        <w:jc w:val="center"/>
        <w:rPr>
          <w:rFonts w:ascii="方正小标宋_GBK" w:hAnsi="宋体" w:eastAsia="方正小标宋_GBK" w:cs="Times New Roman"/>
          <w:kern w:val="2"/>
          <w:sz w:val="44"/>
          <w:szCs w:val="44"/>
          <w:lang w:val="en-US" w:eastAsia="zh-CN" w:bidi="ar-SA"/>
        </w:rPr>
      </w:pPr>
      <w:r>
        <w:rPr>
          <w:rFonts w:ascii="方正小标宋_GBK" w:hAnsi="宋体" w:eastAsia="方正小标宋_GBK" w:cs="Times New Roman"/>
          <w:kern w:val="2"/>
          <w:sz w:val="44"/>
          <w:szCs w:val="44"/>
          <w:lang w:val="en-US" w:eastAsia="zh-CN" w:bidi="ar-SA"/>
        </w:rPr>
        <w:t>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ascii="黑体" w:eastAsia="黑体"/>
          <w:sz w:val="32"/>
          <w:szCs w:val="32"/>
        </w:rPr>
      </w:pPr>
      <w:r>
        <w:rPr>
          <w:rFonts w:ascii="黑体" w:eastAsia="黑体"/>
          <w:b/>
          <w:sz w:val="32"/>
          <w:szCs w:val="32"/>
        </w:rPr>
        <w:t>目录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第一部分单位概况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eastAsia" w:ascii="黑体" w:eastAsia="黑体"/>
          <w:b w:val="0"/>
          <w:sz w:val="32"/>
          <w:szCs w:val="32"/>
          <w:lang w:val="en-US" w:eastAsia="zh-CN"/>
        </w:rPr>
        <w:t xml:space="preserve"> </w:t>
      </w:r>
      <w:r>
        <w:rPr>
          <w:rFonts w:ascii="黑体" w:eastAsia="黑体"/>
          <w:b w:val="0"/>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pPr>
        <w:pStyle w:val="6"/>
        <w:keepNext w:val="0"/>
        <w:keepLines w:val="0"/>
        <w:pageBreakBefore w:val="0"/>
        <w:kinsoku/>
        <w:wordWrap/>
        <w:overflowPunct/>
        <w:topLinePunct w:val="0"/>
        <w:autoSpaceDE/>
        <w:autoSpaceDN/>
        <w:bidi w:val="0"/>
        <w:adjustRightInd/>
        <w:snapToGrid/>
        <w:spacing w:line="560" w:lineRule="exact"/>
        <w:ind w:firstLine="56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1、执行本级人民代表大会的决议和上级国家行政机关的决定和命令，发布决定和命令；</w:t>
      </w:r>
    </w:p>
    <w:p>
      <w:pPr>
        <w:pStyle w:val="6"/>
        <w:keepNext w:val="0"/>
        <w:keepLines w:val="0"/>
        <w:pageBreakBefore w:val="0"/>
        <w:kinsoku/>
        <w:wordWrap/>
        <w:overflowPunct/>
        <w:topLinePunct w:val="0"/>
        <w:autoSpaceDE/>
        <w:autoSpaceDN/>
        <w:bidi w:val="0"/>
        <w:adjustRightInd/>
        <w:snapToGrid/>
        <w:spacing w:line="560" w:lineRule="exact"/>
        <w:ind w:firstLine="56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2、执行本行政区域内的经济和社会发展计划、预算，管理本行政区域内的经济、教育、科学、文化、卫生、体育事业和财政、民政、公安、司法行政、计划生育等行政工作；</w:t>
      </w:r>
    </w:p>
    <w:p>
      <w:pPr>
        <w:pStyle w:val="6"/>
        <w:keepNext w:val="0"/>
        <w:keepLines w:val="0"/>
        <w:pageBreakBefore w:val="0"/>
        <w:kinsoku/>
        <w:wordWrap/>
        <w:overflowPunct/>
        <w:topLinePunct w:val="0"/>
        <w:autoSpaceDE/>
        <w:autoSpaceDN/>
        <w:bidi w:val="0"/>
        <w:adjustRightInd/>
        <w:snapToGrid/>
        <w:spacing w:line="560" w:lineRule="exact"/>
        <w:ind w:firstLine="56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3、保护社会主义的全民所有的财产和劳动群众集体所有财产，保护公民私有的合法财产，维护社会秩序，保障公民的人身权利、民主权利和其他权利；</w:t>
      </w:r>
    </w:p>
    <w:p>
      <w:pPr>
        <w:pStyle w:val="6"/>
        <w:keepNext w:val="0"/>
        <w:keepLines w:val="0"/>
        <w:pageBreakBefore w:val="0"/>
        <w:kinsoku/>
        <w:wordWrap/>
        <w:overflowPunct/>
        <w:topLinePunct w:val="0"/>
        <w:autoSpaceDE/>
        <w:autoSpaceDN/>
        <w:bidi w:val="0"/>
        <w:adjustRightInd/>
        <w:snapToGrid/>
        <w:spacing w:line="560" w:lineRule="exact"/>
        <w:ind w:firstLine="56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4、保障农村集体经济组织应有的自主权；</w:t>
      </w:r>
    </w:p>
    <w:p>
      <w:pPr>
        <w:pStyle w:val="6"/>
        <w:keepNext w:val="0"/>
        <w:keepLines w:val="0"/>
        <w:pageBreakBefore w:val="0"/>
        <w:kinsoku/>
        <w:wordWrap/>
        <w:overflowPunct/>
        <w:topLinePunct w:val="0"/>
        <w:autoSpaceDE/>
        <w:autoSpaceDN/>
        <w:bidi w:val="0"/>
        <w:adjustRightInd/>
        <w:snapToGrid/>
        <w:spacing w:line="560" w:lineRule="exact"/>
        <w:ind w:firstLine="56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5、保障少数民族的权利和尊重少数民族的风俗习惯；</w:t>
      </w:r>
    </w:p>
    <w:p>
      <w:pPr>
        <w:pStyle w:val="6"/>
        <w:keepNext w:val="0"/>
        <w:keepLines w:val="0"/>
        <w:pageBreakBefore w:val="0"/>
        <w:kinsoku/>
        <w:wordWrap/>
        <w:overflowPunct/>
        <w:topLinePunct w:val="0"/>
        <w:autoSpaceDE/>
        <w:autoSpaceDN/>
        <w:bidi w:val="0"/>
        <w:adjustRightInd/>
        <w:snapToGrid/>
        <w:spacing w:line="560" w:lineRule="exact"/>
        <w:ind w:firstLine="56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6、保障宪法和法律赋予妇女的男女平等、同工同酬和婚姻自由等各项权利；</w:t>
      </w:r>
    </w:p>
    <w:p>
      <w:pPr>
        <w:pStyle w:val="6"/>
        <w:keepNext w:val="0"/>
        <w:keepLines w:val="0"/>
        <w:pageBreakBefore w:val="0"/>
        <w:kinsoku/>
        <w:wordWrap/>
        <w:overflowPunct/>
        <w:topLinePunct w:val="0"/>
        <w:autoSpaceDE/>
        <w:autoSpaceDN/>
        <w:bidi w:val="0"/>
        <w:adjustRightInd/>
        <w:snapToGrid/>
        <w:spacing w:line="560" w:lineRule="exact"/>
        <w:ind w:firstLine="56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7、办理上级人民政府交办的其它事项。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库尔勒市哈拉玉宫镇人民政府2024年度，实有人数110人，其中：在职人员86人，增加4人；离休人员0人，较上年无变化；退休人员24人，增加3人。</w:t>
      </w:r>
    </w:p>
    <w:p>
      <w:pPr>
        <w:pStyle w:val="6"/>
        <w:pageBreakBefore w:val="0"/>
        <w:widowControl/>
        <w:kinsoku/>
        <w:wordWrap/>
        <w:overflowPunct/>
        <w:topLinePunct w:val="0"/>
        <w:autoSpaceDE/>
        <w:autoSpaceDN/>
        <w:bidi w:val="0"/>
        <w:adjustRightInd/>
        <w:snapToGrid/>
        <w:spacing w:line="560" w:lineRule="exact"/>
        <w:ind w:left="0" w:firstLine="560"/>
        <w:jc w:val="both"/>
        <w:textAlignment w:val="auto"/>
        <w:rPr>
          <w:rFonts w:hint="eastAsia" w:ascii="仿宋_GB2312" w:eastAsia="仿宋_GB2312" w:hAnsiTheme="minorHAnsi" w:cstheme="minorBidi"/>
          <w:b w:val="0"/>
          <w:sz w:val="32"/>
          <w:szCs w:val="32"/>
          <w:lang w:val="en-US" w:eastAsia="en-US" w:bidi="ar-SA"/>
        </w:rPr>
      </w:pPr>
      <w:r>
        <w:rPr>
          <w:rFonts w:ascii="仿宋_GB2312" w:eastAsia="仿宋_GB2312" w:hAnsiTheme="minorHAnsi" w:cstheme="minorBidi"/>
          <w:b w:val="0"/>
          <w:sz w:val="32"/>
          <w:szCs w:val="32"/>
        </w:rPr>
        <w:t>库尔勒市哈拉玉宫镇人民政府无下属预算单位</w:t>
      </w:r>
      <w:r>
        <w:rPr>
          <w:rFonts w:ascii="仿宋_GB2312" w:eastAsia="仿宋_GB2312" w:hAnsiTheme="minorHAnsi" w:cstheme="minorBidi"/>
          <w:b w:val="0"/>
          <w:sz w:val="32"/>
          <w:szCs w:val="32"/>
          <w:lang w:val="en-US" w:eastAsia="en-US" w:bidi="ar-SA"/>
        </w:rPr>
        <w:t>，</w:t>
      </w:r>
      <w:r>
        <w:rPr>
          <w:rFonts w:hint="eastAsia" w:ascii="仿宋_GB2312" w:eastAsia="仿宋_GB2312" w:hAnsiTheme="minorHAnsi" w:cstheme="minorBidi"/>
          <w:b w:val="0"/>
          <w:sz w:val="32"/>
          <w:szCs w:val="32"/>
          <w:lang w:val="en-US" w:eastAsia="en-US" w:bidi="ar-SA"/>
        </w:rPr>
        <w:t>下设</w:t>
      </w:r>
      <w:r>
        <w:rPr>
          <w:rFonts w:hint="eastAsia" w:ascii="仿宋_GB2312" w:eastAsia="仿宋_GB2312" w:cstheme="minorBidi"/>
          <w:b w:val="0"/>
          <w:sz w:val="32"/>
          <w:szCs w:val="32"/>
          <w:lang w:val="en-US" w:eastAsia="zh-CN" w:bidi="ar-SA"/>
        </w:rPr>
        <w:t>10个科室</w:t>
      </w:r>
      <w:r>
        <w:rPr>
          <w:rFonts w:hint="eastAsia" w:ascii="仿宋_GB2312" w:eastAsia="仿宋_GB2312" w:hAnsiTheme="minorHAnsi" w:cstheme="minorBidi"/>
          <w:b w:val="0"/>
          <w:sz w:val="32"/>
          <w:szCs w:val="32"/>
          <w:lang w:val="en-US" w:eastAsia="en-US" w:bidi="ar-SA"/>
        </w:rPr>
        <w:t>，分别是：（一）党政综合办公室、（二）党建工作办公室、（三）经济发展和财政办公室，（四）社会事务办公室（退役军人服务站），（五）综合执法办公室；</w:t>
      </w:r>
    </w:p>
    <w:p>
      <w:pPr>
        <w:pStyle w:val="6"/>
        <w:pageBreakBefore w:val="0"/>
        <w:widowControl/>
        <w:kinsoku/>
        <w:wordWrap/>
        <w:overflowPunct/>
        <w:topLinePunct w:val="0"/>
        <w:autoSpaceDE/>
        <w:autoSpaceDN/>
        <w:bidi w:val="0"/>
        <w:adjustRightInd/>
        <w:snapToGrid/>
        <w:spacing w:line="560" w:lineRule="exact"/>
        <w:ind w:left="0" w:firstLine="560"/>
        <w:jc w:val="both"/>
        <w:textAlignment w:val="auto"/>
        <w:rPr>
          <w:rFonts w:ascii="仿宋_GB2312" w:eastAsia="仿宋_GB2312"/>
          <w:sz w:val="32"/>
          <w:szCs w:val="32"/>
        </w:rPr>
      </w:pPr>
      <w:r>
        <w:rPr>
          <w:rFonts w:hint="eastAsia" w:ascii="仿宋_GB2312" w:eastAsia="仿宋_GB2312" w:hAnsiTheme="minorHAnsi" w:cstheme="minorBidi"/>
          <w:b w:val="0"/>
          <w:sz w:val="32"/>
          <w:szCs w:val="32"/>
          <w:lang w:val="en-US" w:eastAsia="en-US" w:bidi="ar-SA"/>
        </w:rPr>
        <w:t>（一）农业发展服务中心，（二）公共文化服务中心，（三）村镇建设发展中心，（四）综治和网格化服务中心，（五）便民服务中心</w:t>
      </w:r>
      <w:r>
        <w:rPr>
          <w:rFonts w:ascii="仿宋_GB2312" w:eastAsia="仿宋_GB2312"/>
          <w:b w:val="0"/>
          <w:sz w:val="32"/>
          <w:szCs w:val="32"/>
        </w:rPr>
        <w:t>。</w:t>
      </w:r>
    </w:p>
    <w:p>
      <w:pPr>
        <w:pStyle w:val="6"/>
        <w:pageBreakBefore w:val="0"/>
        <w:widowControl/>
        <w:kinsoku/>
        <w:wordWrap/>
        <w:overflowPunct/>
        <w:topLinePunct w:val="0"/>
        <w:autoSpaceDE/>
        <w:autoSpaceDN/>
        <w:bidi w:val="0"/>
        <w:adjustRightInd/>
        <w:snapToGrid/>
        <w:spacing w:line="560" w:lineRule="exact"/>
        <w:ind w:left="0" w:firstLine="560"/>
        <w:jc w:val="both"/>
        <w:textAlignment w:val="auto"/>
        <w:rPr>
          <w:rFonts w:hint="eastAsia" w:ascii="仿宋_GB2312" w:eastAsia="仿宋_GB2312" w:hAnsiTheme="minorHAnsi" w:cstheme="minorBidi"/>
          <w:b w:val="0"/>
          <w:sz w:val="32"/>
          <w:szCs w:val="32"/>
          <w:lang w:val="en-US" w:eastAsia="en-US" w:bidi="ar-SA"/>
        </w:rPr>
      </w:pPr>
    </w:p>
    <w:p>
      <w:pPr>
        <w:pStyle w:val="6"/>
        <w:keepNext w:val="0"/>
        <w:keepLines w:val="0"/>
        <w:pageBreakBefore w:val="0"/>
        <w:kinsoku/>
        <w:wordWrap/>
        <w:overflowPunct/>
        <w:topLinePunct w:val="0"/>
        <w:autoSpaceDE/>
        <w:autoSpaceDN/>
        <w:bidi w:val="0"/>
        <w:adjustRightInd/>
        <w:snapToGrid/>
        <w:spacing w:line="560" w:lineRule="exact"/>
        <w:ind w:firstLine="560"/>
        <w:textAlignment w:val="auto"/>
        <w:rPr>
          <w:rFonts w:hint="eastAsia" w:ascii="仿宋_GB2312" w:eastAsia="仿宋_GB2312" w:hAnsiTheme="minorHAnsi" w:cstheme="minorBidi"/>
          <w:b w:val="0"/>
          <w:sz w:val="32"/>
          <w:szCs w:val="32"/>
        </w:rPr>
      </w:pPr>
    </w:p>
    <w:p>
      <w:r>
        <w:rPr>
          <w:rFonts w:ascii="仿宋_GB2312" w:eastAsia="仿宋_GB2312" w:hAnsiTheme="minorHAnsi" w:cstheme="minorBidi"/>
          <w:b w:val="0"/>
          <w:sz w:val="32"/>
          <w:szCs w:val="32"/>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第二部分</w:t>
      </w:r>
      <w:r>
        <w:rPr>
          <w:rFonts w:hint="eastAsia" w:ascii="黑体" w:eastAsia="黑体"/>
          <w:b w:val="0"/>
          <w:sz w:val="32"/>
          <w:szCs w:val="32"/>
          <w:lang w:val="en-US" w:eastAsia="zh-CN"/>
        </w:rPr>
        <w:t xml:space="preserve"> </w:t>
      </w:r>
      <w:r>
        <w:rPr>
          <w:rFonts w:ascii="黑体" w:eastAsia="黑体"/>
          <w:b w:val="0"/>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2024年度收入总计5,453.47万元，其中：本年收入合计5,453.47万元，使用非财政拨款结余（含专用结余）0.00万元，年初结转和结余0.00万元。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2024年度支出总计5,453.47万元，其中：本年支出合计5,453.47万元，结余分配0.00万元，年末结转和结余0.00万元。</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收入支出总体与上年相比，减少7,471.87万元，下降57.81%，主要原因是：</w:t>
      </w:r>
      <w:r>
        <w:rPr>
          <w:rFonts w:hint="eastAsia" w:ascii="仿宋_GB2312" w:eastAsia="仿宋_GB2312" w:hAnsiTheme="minorHAnsi" w:cstheme="minorBidi"/>
          <w:b w:val="0"/>
          <w:sz w:val="32"/>
          <w:szCs w:val="32"/>
          <w:lang w:val="en-US" w:eastAsia="zh-CN"/>
        </w:rPr>
        <w:t>2024年本镇减少中央财政衔接推进镇村振兴补助资金产业发展项目投资并棉花目标价格改革补贴资金。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本年收入5,453.47万元，其中：财政拨款收入5,451.47万元,占99.96%；上级补助收入0.00万元,占0.00%；事业收入0.00万元，占0.00%；经营收入0.00万元,占0.00%；附属单位上缴收入0.00万元，占0.00%；其他收入2.00万元，占0.04%。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本年支出5,453.47万元，其中：基本支出1,965.23万元，占36.04%；项目支出3,488.25万元，占63.96%；上缴上级支出0.00万元，占0.00%；经营支出0.00万元，占0.00%；对附属单位补助支出0.00万元，占0.00%。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2024年度财政拨款收入总计5,451.47万元，其中：年初财政拨款结转和结余0.00万元，本年财政拨款收入5,451.47万元。财政拨款支出总计5,451.47万元，其中：年末财政拨款结转和结余0.00万元，本年财政拨款支出5,451.47万元。</w:t>
      </w:r>
    </w:p>
    <w:p>
      <w:pPr>
        <w:keepNext w:val="0"/>
        <w:keepLines w:val="0"/>
        <w:pageBreakBefore w:val="0"/>
        <w:kinsoku/>
        <w:wordWrap/>
        <w:overflowPunct/>
        <w:topLinePunct w:val="0"/>
        <w:autoSpaceDE/>
        <w:autoSpaceDN/>
        <w:bidi w:val="0"/>
        <w:adjustRightInd/>
        <w:snapToGrid/>
        <w:spacing w:after="0" w:line="560" w:lineRule="exact"/>
        <w:jc w:val="both"/>
        <w:textAlignment w:val="auto"/>
        <w:rPr>
          <w:rFonts w:hint="eastAsia"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财政拨款收入支出总体与上年相比</w:t>
      </w:r>
      <w:r>
        <w:rPr>
          <w:rFonts w:hint="eastAsia" w:ascii="仿宋_GB2312" w:eastAsia="仿宋_GB2312" w:hAnsiTheme="minorHAnsi" w:cstheme="minorBidi"/>
          <w:b w:val="0"/>
          <w:sz w:val="32"/>
          <w:szCs w:val="32"/>
          <w:lang w:eastAsia="zh-CN"/>
        </w:rPr>
        <w:t>，</w:t>
      </w:r>
      <w:r>
        <w:rPr>
          <w:rFonts w:hint="eastAsia" w:ascii="仿宋_GB2312" w:eastAsia="仿宋_GB2312" w:hAnsiTheme="minorHAnsi" w:cstheme="minorBidi"/>
          <w:b w:val="0"/>
          <w:sz w:val="32"/>
          <w:szCs w:val="32"/>
        </w:rPr>
        <w:t>减少7,443.87万元，下降57.73%，主要原因是：</w:t>
      </w:r>
      <w:r>
        <w:rPr>
          <w:rFonts w:hint="eastAsia" w:ascii="仿宋_GB2312" w:eastAsia="仿宋_GB2312" w:hAnsiTheme="minorHAnsi" w:cstheme="minorBidi"/>
          <w:b w:val="0"/>
          <w:sz w:val="32"/>
          <w:szCs w:val="32"/>
          <w:lang w:val="en-US" w:eastAsia="zh-CN"/>
        </w:rPr>
        <w:t>2024年本镇减少中央财政衔接推进镇村振兴补助资金产业发展项目投资并棉花目标价格改革补贴资金。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与年初预算相比，年初预算数2,562.68万元，决算数5,451.47万元，预决算差异率112.73%，主要原因是：</w:t>
      </w:r>
      <w:r>
        <w:rPr>
          <w:rFonts w:hint="eastAsia" w:ascii="仿宋_GB2312" w:eastAsia="仿宋_GB2312" w:hAnsiTheme="minorHAnsi" w:cstheme="minorBidi"/>
          <w:b w:val="0"/>
          <w:sz w:val="32"/>
          <w:szCs w:val="32"/>
          <w:lang w:val="en-US" w:eastAsia="zh-CN"/>
        </w:rPr>
        <w:t>本镇2024年施行中央财政衔接推进镇村振兴补助资金(巴格吉代村人居环境整治项目，辣椒加工厂项目，巴格吉代村排水工程，巴格吉代村旅游观光配套基础设施建设项目，巴格吉代村硬化路面建设项目)投入资金2890.79万元</w:t>
      </w:r>
      <w:r>
        <w:rPr>
          <w:rFonts w:hint="eastAsia" w:ascii="仿宋_GB2312" w:eastAsia="仿宋_GB2312" w:hAnsiTheme="minorHAnsi" w:cstheme="minorBidi"/>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（一）一般公共预算财政拨款支出决算总体情况</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2024年度一般公共预算财政拨款支出5,237.37万元，占本年支出合计的96.04%。与上年相比，减少7,582.91万元，下降59.15%，主要原因是：</w:t>
      </w:r>
      <w:r>
        <w:rPr>
          <w:rFonts w:hint="eastAsia" w:ascii="仿宋_GB2312" w:eastAsia="仿宋_GB2312" w:hAnsiTheme="minorHAnsi" w:cstheme="minorBidi"/>
          <w:b w:val="0"/>
          <w:sz w:val="32"/>
          <w:szCs w:val="32"/>
          <w:lang w:val="en-US" w:eastAsia="zh-CN"/>
        </w:rPr>
        <w:t>2024年本镇减少中央财政衔接推进镇村振兴补助资金产业发展项目投资并棉花目标价格改革补贴资金。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与年初预算相比，年初预算数2,370.02万元，决算数5,237.37万元，预决算差异率120.98%，主要原因是：</w:t>
      </w:r>
      <w:r>
        <w:rPr>
          <w:rFonts w:hint="eastAsia" w:ascii="仿宋_GB2312" w:eastAsia="仿宋_GB2312" w:hAnsiTheme="minorHAnsi" w:cstheme="minorBidi"/>
          <w:b w:val="0"/>
          <w:sz w:val="32"/>
          <w:szCs w:val="32"/>
          <w:lang w:val="en-US" w:eastAsia="zh-CN"/>
        </w:rPr>
        <w:t>2024年增加中央财政衔接推进镇村振兴补助资金产业发展项目投资</w:t>
      </w:r>
      <w:r>
        <w:rPr>
          <w:rFonts w:hint="eastAsia" w:ascii="仿宋_GB2312" w:eastAsia="仿宋_GB2312" w:hAnsiTheme="minorHAnsi" w:cstheme="minorBidi"/>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一般公共服务支出（类）1,482.28万元，占28.30%。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教育支出（类）6.95万元，占0.13%。</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科学技术支出（类）0.10万元，占0.00%。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文化旅游体育与传媒支出（类）4.60万元，占0.09%。</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社会保障和就业支出（类）185.38万元，占3.54%。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卫生健康支出（类）75.99万元，占1.45%。</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农林水支出（类）3,359.29万元，占64.14%。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住房保障支出（类）117.35万元，占2.24%。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其他支出（类）5.43万元，占0.10%。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一般公共服务支出（类）人大事务（款）代表工作（项）：支出决算数为8.55万元，比上年决算增加5.68万元，增长197.91%，主要原因是：</w:t>
      </w:r>
      <w:r>
        <w:rPr>
          <w:rFonts w:hint="eastAsia" w:ascii="仿宋_GB2312" w:eastAsia="仿宋_GB2312" w:hAnsiTheme="minorHAnsi" w:cstheme="minorBidi"/>
          <w:b w:val="0"/>
          <w:sz w:val="32"/>
          <w:szCs w:val="32"/>
          <w:lang w:val="en-US" w:eastAsia="zh-CN"/>
        </w:rPr>
        <w:t>2024年发放人大代表履职补助并支付人大代表工作经费。</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b w:val="0"/>
          <w:sz w:val="32"/>
          <w:szCs w:val="32"/>
          <w:lang w:eastAsia="zh-CN"/>
        </w:rPr>
      </w:pPr>
      <w:r>
        <w:rPr>
          <w:rFonts w:hint="eastAsia" w:ascii="仿宋_GB2312" w:eastAsia="仿宋_GB2312" w:hAnsiTheme="minorHAnsi" w:cstheme="minorBidi"/>
          <w:b w:val="0"/>
          <w:sz w:val="32"/>
          <w:szCs w:val="32"/>
        </w:rPr>
        <w:t>一般公共服务支出（类）政府办公厅（室）及相关机构事务（款）行政运行（项）：支出决算数为1,271.83万元，比上年决算减少114.39万元，下降8.25%，主要原因是：</w:t>
      </w:r>
      <w:r>
        <w:rPr>
          <w:rFonts w:hint="eastAsia" w:ascii="仿宋_GB2312" w:eastAsia="仿宋_GB2312"/>
          <w:b w:val="0"/>
          <w:sz w:val="31"/>
          <w:szCs w:val="31"/>
          <w:lang w:val="en-US" w:eastAsia="zh-CN"/>
        </w:rPr>
        <w:t>2024年我镇厉行节约，将公用经费压缩，压减临聘人员支出，导致经费减少</w:t>
      </w:r>
      <w:r>
        <w:rPr>
          <w:rFonts w:hint="eastAsia" w:ascii="仿宋_GB2312" w:eastAsia="仿宋_GB2312"/>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lang w:eastAsia="zh-CN"/>
        </w:rPr>
      </w:pPr>
      <w:r>
        <w:rPr>
          <w:rFonts w:hint="eastAsia" w:ascii="仿宋_GB2312" w:eastAsia="仿宋_GB2312" w:hAnsiTheme="minorHAnsi" w:cstheme="minorBidi"/>
          <w:b w:val="0"/>
          <w:sz w:val="32"/>
          <w:szCs w:val="32"/>
        </w:rPr>
        <w:t>一般公共服务支出（类）政府办公厅（室）及相关机构事务（款）其他政府办公厅（室）及相关机构事务支出（项）：支出决算数为138.92万元，比上年决算减少101.70万元，下降42.27%，主要原因是：</w:t>
      </w:r>
      <w:r>
        <w:rPr>
          <w:rFonts w:hint="eastAsia" w:ascii="仿宋_GB2312" w:eastAsia="仿宋_GB2312" w:cstheme="minorBidi"/>
          <w:b w:val="0"/>
          <w:sz w:val="32"/>
          <w:szCs w:val="32"/>
          <w:lang w:val="en-US" w:eastAsia="zh-CN"/>
        </w:rPr>
        <w:t>减少</w:t>
      </w:r>
      <w:r>
        <w:rPr>
          <w:rFonts w:hint="eastAsia" w:ascii="仿宋_GB2312" w:eastAsia="仿宋_GB2312" w:hAnsiTheme="minorHAnsi" w:cstheme="minorBidi"/>
          <w:b w:val="0"/>
          <w:sz w:val="32"/>
          <w:szCs w:val="32"/>
          <w:lang w:eastAsia="zh-CN"/>
        </w:rPr>
        <w:t>基层组织建设项目及基层政权项目建设。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一般公共服务支出（类）纪检监察事务（款）其他纪检监察事务支出（项）：支出决算数为3.00万元，比上年决算增加1.50万元，增长100.00%，主要原因是：</w:t>
      </w:r>
      <w:r>
        <w:rPr>
          <w:rFonts w:hint="eastAsia" w:ascii="仿宋_GB2312" w:eastAsia="仿宋_GB2312" w:hAnsiTheme="minorHAnsi" w:cstheme="minorBidi"/>
          <w:b w:val="0"/>
          <w:sz w:val="32"/>
          <w:szCs w:val="32"/>
          <w:lang w:val="en-US" w:eastAsia="zh-CN"/>
        </w:rPr>
        <w:t>2024年增加纪检项目</w:t>
      </w:r>
      <w:r>
        <w:rPr>
          <w:rFonts w:hint="eastAsia" w:ascii="仿宋_GB2312" w:eastAsia="仿宋_GB2312" w:hAnsiTheme="minorHAnsi" w:cstheme="minorBidi"/>
          <w:b w:val="0"/>
          <w:sz w:val="32"/>
          <w:szCs w:val="32"/>
          <w:lang w:val="zh-CN"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一般公共服务支出（类）组织事务（款）其他组织事务支出（项）：支出决算数为59.98万元，比上年决算增加7.88万元，增长15.12%，主要原因是：</w:t>
      </w:r>
      <w:r>
        <w:rPr>
          <w:rFonts w:hint="eastAsia" w:ascii="仿宋_GB2312" w:eastAsia="仿宋_GB2312" w:hAnsiTheme="minorHAnsi" w:cstheme="minorBidi"/>
          <w:b w:val="0"/>
          <w:sz w:val="32"/>
          <w:szCs w:val="32"/>
          <w:lang w:val="en-US" w:eastAsia="zh-CN"/>
        </w:rPr>
        <w:t>2024年增加村</w:t>
      </w:r>
      <w:r>
        <w:rPr>
          <w:rFonts w:hint="eastAsia" w:ascii="仿宋_GB2312" w:eastAsia="仿宋_GB2312" w:hAnsiTheme="minorHAnsi" w:cstheme="minorBidi"/>
          <w:b w:val="0"/>
          <w:sz w:val="32"/>
          <w:szCs w:val="32"/>
          <w:lang w:val="zh-CN" w:eastAsia="zh-CN"/>
        </w:rPr>
        <w:t>级活动场所建设项目。</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一般公共服务支出（类）宣传事务（款）其他宣传事务支出（项）：支出决算数为0.00万元，比上年决算减少1.00万元，下降100.00%，主要原因是：</w:t>
      </w:r>
      <w:r>
        <w:rPr>
          <w:rFonts w:hint="eastAsia" w:ascii="仿宋_GB2312" w:eastAsia="仿宋_GB2312" w:hAnsiTheme="minorHAnsi" w:cstheme="minorBidi"/>
          <w:b w:val="0"/>
          <w:sz w:val="32"/>
          <w:szCs w:val="32"/>
          <w:lang w:val="en-US" w:eastAsia="zh-CN"/>
        </w:rPr>
        <w:t>2023年拨付</w:t>
      </w:r>
      <w:r>
        <w:rPr>
          <w:rFonts w:hint="eastAsia" w:ascii="仿宋_GB2312" w:eastAsia="仿宋_GB2312" w:hAnsiTheme="minorHAnsi" w:cstheme="minorBidi"/>
          <w:b w:val="0"/>
          <w:sz w:val="32"/>
          <w:szCs w:val="32"/>
        </w:rPr>
        <w:t>"扫黑打非"</w:t>
      </w:r>
      <w:r>
        <w:rPr>
          <w:rFonts w:hint="eastAsia" w:ascii="仿宋_GB2312" w:eastAsia="仿宋_GB2312" w:hAnsiTheme="minorHAnsi" w:cstheme="minorBidi"/>
          <w:b w:val="0"/>
          <w:sz w:val="32"/>
          <w:szCs w:val="32"/>
          <w:lang w:eastAsia="zh-CN"/>
        </w:rPr>
        <w:t>项目</w:t>
      </w:r>
      <w:r>
        <w:rPr>
          <w:rFonts w:hint="eastAsia" w:ascii="仿宋_GB2312" w:eastAsia="仿宋_GB2312" w:cstheme="minorBidi"/>
          <w:b w:val="0"/>
          <w:sz w:val="32"/>
          <w:szCs w:val="32"/>
          <w:lang w:val="en-US" w:eastAsia="zh-CN"/>
        </w:rPr>
        <w:t>支出</w:t>
      </w:r>
      <w:r>
        <w:rPr>
          <w:rFonts w:hint="eastAsia" w:ascii="仿宋_GB2312" w:eastAsia="仿宋_GB2312" w:hAnsiTheme="minorHAnsi" w:cstheme="minorBidi"/>
          <w:b w:val="0"/>
          <w:sz w:val="32"/>
          <w:szCs w:val="32"/>
          <w:lang w:eastAsia="zh-CN"/>
        </w:rPr>
        <w:t>，</w:t>
      </w:r>
      <w:r>
        <w:rPr>
          <w:rFonts w:hint="eastAsia" w:ascii="仿宋_GB2312" w:eastAsia="仿宋_GB2312" w:hAnsiTheme="minorHAnsi" w:cstheme="minorBidi"/>
          <w:b w:val="0"/>
          <w:sz w:val="32"/>
          <w:szCs w:val="32"/>
          <w:lang w:val="en-US" w:eastAsia="zh-CN"/>
        </w:rPr>
        <w:t>2024年</w:t>
      </w:r>
      <w:r>
        <w:rPr>
          <w:rFonts w:hint="eastAsia" w:ascii="仿宋_GB2312" w:eastAsia="仿宋_GB2312" w:cstheme="minorBidi"/>
          <w:b w:val="0"/>
          <w:sz w:val="32"/>
          <w:szCs w:val="32"/>
          <w:lang w:val="en-US" w:eastAsia="zh-CN"/>
        </w:rPr>
        <w:t>未安排该项支出</w:t>
      </w:r>
      <w:r>
        <w:rPr>
          <w:rFonts w:hint="eastAsia" w:ascii="仿宋_GB2312" w:eastAsia="仿宋_GB2312" w:hAnsiTheme="minorHAnsi" w:cstheme="minorBidi"/>
          <w:b w:val="0"/>
          <w:sz w:val="32"/>
          <w:szCs w:val="32"/>
          <w:lang w:val="en-US" w:eastAsia="zh-CN"/>
        </w:rPr>
        <w:t>，导致经费减少。</w:t>
      </w:r>
    </w:p>
    <w:p>
      <w:pPr>
        <w:keepNext w:val="0"/>
        <w:keepLines w:val="0"/>
        <w:pageBreakBefore w:val="0"/>
        <w:widowControl/>
        <w:numPr>
          <w:ilvl w:val="0"/>
          <w:numId w:val="0"/>
        </w:numPr>
        <w:kinsoku/>
        <w:wordWrap/>
        <w:overflowPunct/>
        <w:topLinePunct w:val="0"/>
        <w:bidi w:val="0"/>
        <w:adjustRightInd/>
        <w:snapToGrid/>
        <w:spacing w:before="0" w:beforeAutospacing="0" w:after="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一般公共服务支出（类）统战事务（款）宗教事务（项）：支出决算数为0.00万元，比上年决算减少2.00万元，下降100.00%，主要原因是：</w:t>
      </w:r>
      <w:r>
        <w:rPr>
          <w:rFonts w:hint="eastAsia" w:ascii="仿宋_GB2312" w:eastAsia="仿宋_GB2312" w:cstheme="minorBidi"/>
          <w:b w:val="0"/>
          <w:sz w:val="32"/>
          <w:szCs w:val="32"/>
          <w:lang w:val="en-US" w:eastAsia="zh-CN"/>
        </w:rPr>
        <w:t>2023年拨付了支付统战事务经费支出，</w:t>
      </w:r>
      <w:r>
        <w:rPr>
          <w:rFonts w:hint="eastAsia" w:ascii="仿宋_GB2312" w:eastAsia="仿宋_GB2312" w:hAnsiTheme="minorHAnsi" w:cstheme="minorBidi"/>
          <w:b w:val="0"/>
          <w:sz w:val="32"/>
          <w:szCs w:val="32"/>
          <w:lang w:val="en-US" w:eastAsia="zh-CN"/>
        </w:rPr>
        <w:t>2024</w:t>
      </w:r>
      <w:r>
        <w:rPr>
          <w:rFonts w:hint="eastAsia" w:ascii="仿宋_GB2312" w:eastAsia="仿宋_GB2312" w:cstheme="minorBidi"/>
          <w:b w:val="0"/>
          <w:sz w:val="32"/>
          <w:szCs w:val="32"/>
          <w:lang w:val="en-US" w:eastAsia="zh-CN"/>
        </w:rPr>
        <w:t>年</w:t>
      </w:r>
      <w:r>
        <w:rPr>
          <w:rFonts w:hint="eastAsia" w:ascii="仿宋_GB2312" w:eastAsia="仿宋_GB2312" w:hAnsiTheme="minorHAnsi" w:cstheme="minorBidi"/>
          <w:b w:val="0"/>
          <w:sz w:val="32"/>
          <w:szCs w:val="32"/>
          <w:lang w:val="en-US" w:eastAsia="zh-CN"/>
        </w:rPr>
        <w:t>优化</w:t>
      </w:r>
      <w:r>
        <w:rPr>
          <w:rFonts w:hint="eastAsia" w:ascii="仿宋_GB2312" w:eastAsia="仿宋_GB2312" w:cstheme="minorBidi"/>
          <w:b w:val="0"/>
          <w:sz w:val="32"/>
          <w:szCs w:val="32"/>
          <w:lang w:val="en-US" w:eastAsia="zh-CN"/>
        </w:rPr>
        <w:t>驻村管委会人员</w:t>
      </w:r>
      <w:r>
        <w:rPr>
          <w:rFonts w:hint="eastAsia" w:ascii="仿宋_GB2312" w:eastAsia="仿宋_GB2312" w:hAnsiTheme="minorHAnsi" w:cstheme="minorBidi"/>
          <w:b w:val="0"/>
          <w:sz w:val="32"/>
          <w:szCs w:val="32"/>
          <w:lang w:val="en-US" w:eastAsia="zh-CN"/>
        </w:rPr>
        <w:t>，</w:t>
      </w:r>
      <w:r>
        <w:rPr>
          <w:rFonts w:hint="eastAsia" w:ascii="仿宋_GB2312" w:eastAsia="仿宋_GB2312" w:cstheme="minorBidi"/>
          <w:b w:val="0"/>
          <w:sz w:val="32"/>
          <w:szCs w:val="32"/>
          <w:lang w:val="en-US" w:eastAsia="zh-CN"/>
        </w:rPr>
        <w:t>本年</w:t>
      </w:r>
      <w:r>
        <w:rPr>
          <w:rFonts w:hint="eastAsia" w:ascii="仿宋_GB2312" w:eastAsia="仿宋_GB2312" w:hAnsiTheme="minorHAnsi" w:cstheme="minorBidi"/>
          <w:b w:val="0"/>
          <w:sz w:val="32"/>
          <w:szCs w:val="32"/>
          <w:lang w:val="en-US" w:eastAsia="zh-CN"/>
        </w:rPr>
        <w:t>未安排</w:t>
      </w:r>
      <w:r>
        <w:rPr>
          <w:rFonts w:hint="eastAsia" w:ascii="仿宋_GB2312" w:eastAsia="仿宋_GB2312" w:cstheme="minorBidi"/>
          <w:b w:val="0"/>
          <w:sz w:val="32"/>
          <w:szCs w:val="32"/>
          <w:lang w:val="en-US" w:eastAsia="zh-CN"/>
        </w:rPr>
        <w:t>统战事务经费支出</w:t>
      </w:r>
      <w:r>
        <w:rPr>
          <w:rFonts w:hint="eastAsia" w:ascii="仿宋_GB2312" w:eastAsia="仿宋_GB2312" w:hAnsiTheme="minorHAnsi" w:cstheme="minorBidi"/>
          <w:b w:val="0"/>
          <w:sz w:val="32"/>
          <w:szCs w:val="32"/>
          <w:lang w:val="en-US" w:eastAsia="zh-CN"/>
        </w:rPr>
        <w:t>。</w:t>
      </w:r>
    </w:p>
    <w:p>
      <w:pPr>
        <w:keepNext w:val="0"/>
        <w:keepLines w:val="0"/>
        <w:pageBreakBefore w:val="0"/>
        <w:widowControl/>
        <w:numPr>
          <w:ilvl w:val="0"/>
          <w:numId w:val="0"/>
        </w:numPr>
        <w:kinsoku/>
        <w:wordWrap/>
        <w:overflowPunct/>
        <w:topLinePunct w:val="0"/>
        <w:bidi w:val="0"/>
        <w:adjustRightInd/>
        <w:snapToGrid/>
        <w:spacing w:before="0" w:beforeAutospacing="0" w:after="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一般公共服务支出（类）统战事务（款）其他统战事务支出（项）：支出决算数为0.00万元，比上年决算减少2.67万元，下降100.00%，主要原因是：</w:t>
      </w:r>
      <w:r>
        <w:rPr>
          <w:rFonts w:hint="eastAsia" w:ascii="仿宋_GB2312" w:eastAsia="仿宋_GB2312" w:cstheme="minorBidi"/>
          <w:b w:val="0"/>
          <w:sz w:val="32"/>
          <w:szCs w:val="32"/>
          <w:lang w:val="en-US" w:eastAsia="zh-CN"/>
        </w:rPr>
        <w:t>2023年拨付了支付统战事务经费支出，</w:t>
      </w:r>
      <w:r>
        <w:rPr>
          <w:rFonts w:hint="eastAsia" w:ascii="仿宋_GB2312" w:eastAsia="仿宋_GB2312" w:hAnsiTheme="minorHAnsi" w:cstheme="minorBidi"/>
          <w:b w:val="0"/>
          <w:sz w:val="32"/>
          <w:szCs w:val="32"/>
          <w:lang w:val="en-US" w:eastAsia="zh-CN"/>
        </w:rPr>
        <w:t>2024</w:t>
      </w:r>
      <w:r>
        <w:rPr>
          <w:rFonts w:hint="eastAsia" w:ascii="仿宋_GB2312" w:eastAsia="仿宋_GB2312" w:cstheme="minorBidi"/>
          <w:b w:val="0"/>
          <w:sz w:val="32"/>
          <w:szCs w:val="32"/>
          <w:lang w:val="en-US" w:eastAsia="zh-CN"/>
        </w:rPr>
        <w:t>年</w:t>
      </w:r>
      <w:r>
        <w:rPr>
          <w:rFonts w:hint="eastAsia" w:ascii="仿宋_GB2312" w:eastAsia="仿宋_GB2312" w:hAnsiTheme="minorHAnsi" w:cstheme="minorBidi"/>
          <w:b w:val="0"/>
          <w:sz w:val="32"/>
          <w:szCs w:val="32"/>
          <w:lang w:val="en-US" w:eastAsia="zh-CN"/>
        </w:rPr>
        <w:t>优化</w:t>
      </w:r>
      <w:r>
        <w:rPr>
          <w:rFonts w:hint="eastAsia" w:ascii="仿宋_GB2312" w:eastAsia="仿宋_GB2312" w:cstheme="minorBidi"/>
          <w:b w:val="0"/>
          <w:sz w:val="32"/>
          <w:szCs w:val="32"/>
          <w:lang w:val="en-US" w:eastAsia="zh-CN"/>
        </w:rPr>
        <w:t>驻村管委会人员</w:t>
      </w:r>
      <w:r>
        <w:rPr>
          <w:rFonts w:hint="eastAsia" w:ascii="仿宋_GB2312" w:eastAsia="仿宋_GB2312" w:hAnsiTheme="minorHAnsi" w:cstheme="minorBidi"/>
          <w:b w:val="0"/>
          <w:sz w:val="32"/>
          <w:szCs w:val="32"/>
          <w:lang w:val="en-US" w:eastAsia="zh-CN"/>
        </w:rPr>
        <w:t>，</w:t>
      </w:r>
      <w:r>
        <w:rPr>
          <w:rFonts w:hint="eastAsia" w:ascii="仿宋_GB2312" w:eastAsia="仿宋_GB2312" w:cstheme="minorBidi"/>
          <w:b w:val="0"/>
          <w:sz w:val="32"/>
          <w:szCs w:val="32"/>
          <w:lang w:val="en-US" w:eastAsia="zh-CN"/>
        </w:rPr>
        <w:t>本年</w:t>
      </w:r>
      <w:r>
        <w:rPr>
          <w:rFonts w:hint="eastAsia" w:ascii="仿宋_GB2312" w:eastAsia="仿宋_GB2312" w:hAnsiTheme="minorHAnsi" w:cstheme="minorBidi"/>
          <w:b w:val="0"/>
          <w:sz w:val="32"/>
          <w:szCs w:val="32"/>
          <w:lang w:val="en-US" w:eastAsia="zh-CN"/>
        </w:rPr>
        <w:t>未安排</w:t>
      </w:r>
      <w:r>
        <w:rPr>
          <w:rFonts w:hint="eastAsia" w:ascii="仿宋_GB2312" w:eastAsia="仿宋_GB2312" w:cstheme="minorBidi"/>
          <w:b w:val="0"/>
          <w:sz w:val="32"/>
          <w:szCs w:val="32"/>
          <w:lang w:val="en-US" w:eastAsia="zh-CN"/>
        </w:rPr>
        <w:t>统战事务经费支出</w:t>
      </w:r>
      <w:r>
        <w:rPr>
          <w:rFonts w:hint="eastAsia" w:ascii="仿宋_GB2312" w:eastAsia="仿宋_GB2312" w:hAnsiTheme="minorHAnsi" w:cstheme="minorBidi"/>
          <w:b w:val="0"/>
          <w:sz w:val="32"/>
          <w:szCs w:val="32"/>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教育支出（类）进修及培训（款）培训支出（项）：支出决算数为6.95万元，比上年决算增加2.39万元，增长52.41%，主要原因是：</w:t>
      </w:r>
      <w:r>
        <w:rPr>
          <w:rFonts w:hint="eastAsia" w:ascii="仿宋_GB2312" w:eastAsia="仿宋_GB2312" w:hAnsiTheme="minorHAnsi" w:cstheme="minorBidi"/>
          <w:b w:val="0"/>
          <w:sz w:val="32"/>
          <w:szCs w:val="32"/>
          <w:lang w:val="en-US" w:eastAsia="zh-CN"/>
        </w:rPr>
        <w:t>2024年参加培训人员次数多。</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科学技术支出（类）科学技术普及（款）科普活动（项）：支出决算数为0.10万元，比上年决算减少0.30万元，下降75.00%，主要原因是：</w:t>
      </w:r>
      <w:r>
        <w:rPr>
          <w:rFonts w:hint="eastAsia" w:ascii="仿宋_GB2312" w:eastAsia="仿宋_GB2312" w:hAnsiTheme="minorHAnsi" w:cstheme="minorBidi"/>
          <w:b w:val="0"/>
          <w:sz w:val="32"/>
          <w:szCs w:val="32"/>
          <w:lang w:val="en-US" w:eastAsia="zh-CN"/>
        </w:rPr>
        <w:t>2024年减少科普馆费用。</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文化旅游体育与传媒支出（类）文化和旅游（款）群众文化（项）：支出决算数为0.30万元，比上年决算增加0.30万元，增长100.00%，主要原因是：</w:t>
      </w:r>
      <w:r>
        <w:rPr>
          <w:rFonts w:hint="eastAsia" w:ascii="仿宋_GB2312" w:eastAsia="仿宋_GB2312" w:hAnsiTheme="minorHAnsi" w:cstheme="minorBidi"/>
          <w:b w:val="0"/>
          <w:sz w:val="32"/>
          <w:szCs w:val="32"/>
          <w:lang w:val="en-US" w:eastAsia="zh-CN"/>
        </w:rPr>
        <w:t>2024年财政预算安排</w:t>
      </w:r>
      <w:r>
        <w:rPr>
          <w:rFonts w:hint="eastAsia" w:ascii="仿宋_GB2312" w:eastAsia="仿宋_GB2312" w:hAnsiTheme="minorHAnsi" w:cstheme="minorBidi"/>
          <w:b w:val="0"/>
          <w:sz w:val="32"/>
          <w:szCs w:val="32"/>
        </w:rPr>
        <w:t>群众文化</w:t>
      </w:r>
      <w:r>
        <w:rPr>
          <w:rFonts w:hint="eastAsia" w:ascii="仿宋_GB2312" w:eastAsia="仿宋_GB2312" w:hAnsiTheme="minorHAnsi" w:cstheme="minorBidi"/>
          <w:b w:val="0"/>
          <w:sz w:val="32"/>
          <w:szCs w:val="32"/>
          <w:lang w:eastAsia="zh-CN"/>
        </w:rPr>
        <w:t>项目资金。</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文化旅游体育与传媒支出（类）文化和旅游（款）其他文化和旅游支出（项）：支出决算数为4.30万元，比上年决算增加0.30万元，增长7.50%，主要原因是：</w:t>
      </w:r>
      <w:r>
        <w:rPr>
          <w:rFonts w:hint="eastAsia" w:ascii="仿宋_GB2312" w:eastAsia="仿宋_GB2312" w:hAnsiTheme="minorHAnsi" w:cstheme="minorBidi"/>
          <w:b w:val="0"/>
          <w:sz w:val="32"/>
          <w:szCs w:val="32"/>
          <w:lang w:val="en-US" w:eastAsia="zh-CN"/>
        </w:rPr>
        <w:t>2024年本单位比上年开展文化活动次数多。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b w:val="0"/>
          <w:sz w:val="32"/>
          <w:szCs w:val="32"/>
          <w:lang w:val="zh-CN" w:eastAsia="zh-CN"/>
        </w:rPr>
      </w:pPr>
      <w:r>
        <w:rPr>
          <w:rFonts w:hint="eastAsia" w:ascii="仿宋_GB2312" w:eastAsia="仿宋_GB2312" w:hAnsiTheme="minorHAnsi" w:cstheme="minorBidi"/>
          <w:b w:val="0"/>
          <w:sz w:val="32"/>
          <w:szCs w:val="32"/>
        </w:rPr>
        <w:t>文化旅游体育与传媒支出（类）其他文化旅游体育与传媒支出（款）其他文化旅游体育与传媒支出（项）：支出决算数为0.00万元，比上年决算减少6.34万元，下降100.00%，主要原因是：</w:t>
      </w:r>
      <w:r>
        <w:rPr>
          <w:rFonts w:hint="eastAsia" w:ascii="仿宋_GB2312" w:eastAsia="仿宋_GB2312" w:hAnsiTheme="minorHAnsi" w:cstheme="minorBidi"/>
          <w:b w:val="0"/>
          <w:color w:val="auto"/>
          <w:sz w:val="32"/>
          <w:szCs w:val="32"/>
          <w:highlight w:val="none"/>
          <w:lang w:val="en-US" w:eastAsia="zh-CN"/>
        </w:rPr>
        <w:t>2024年</w:t>
      </w:r>
      <w:r>
        <w:rPr>
          <w:rFonts w:hint="eastAsia" w:ascii="仿宋_GB2312" w:eastAsia="仿宋_GB2312" w:cstheme="minorBidi"/>
          <w:b w:val="0"/>
          <w:color w:val="auto"/>
          <w:sz w:val="32"/>
          <w:szCs w:val="32"/>
          <w:highlight w:val="none"/>
          <w:lang w:val="en-US" w:eastAsia="zh-CN"/>
        </w:rPr>
        <w:t>三馆一站项目没有及时办理政府采购手续，当年未支付</w:t>
      </w:r>
      <w:r>
        <w:rPr>
          <w:rFonts w:hint="eastAsia" w:ascii="仿宋_GB2312" w:eastAsia="仿宋_GB2312" w:hAnsiTheme="minorHAnsi" w:cstheme="minorBidi"/>
          <w:b w:val="0"/>
          <w:color w:val="auto"/>
          <w:sz w:val="32"/>
          <w:szCs w:val="32"/>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社会保障和就业支出（类）行政事业单位养老支出（款）行政单位离退休（项）：支出决算数为15.98万元，比上年决算增加2.78万元，增长21.06%，主要原因是：</w:t>
      </w:r>
      <w:r>
        <w:rPr>
          <w:rFonts w:hint="default" w:ascii="Times New Roman" w:hAnsi="Times New Roman" w:eastAsia="仿宋_GB2312" w:cs="Times New Roman"/>
          <w:b w:val="0"/>
          <w:sz w:val="32"/>
          <w:szCs w:val="32"/>
          <w:highlight w:val="none"/>
          <w:lang w:val="en-US" w:eastAsia="zh-CN"/>
        </w:rPr>
        <w:t>2024年新增</w:t>
      </w:r>
      <w:r>
        <w:rPr>
          <w:rFonts w:hint="eastAsia" w:ascii="Times New Roman" w:hAnsi="Times New Roman" w:eastAsia="仿宋_GB2312" w:cs="Times New Roman"/>
          <w:b w:val="0"/>
          <w:sz w:val="32"/>
          <w:szCs w:val="32"/>
          <w:highlight w:val="none"/>
          <w:lang w:val="en-US" w:eastAsia="zh-CN"/>
        </w:rPr>
        <w:t>3</w:t>
      </w:r>
      <w:r>
        <w:rPr>
          <w:rFonts w:hint="default" w:ascii="Times New Roman" w:hAnsi="Times New Roman" w:eastAsia="仿宋_GB2312" w:cs="Times New Roman"/>
          <w:b w:val="0"/>
          <w:sz w:val="32"/>
          <w:szCs w:val="32"/>
          <w:highlight w:val="none"/>
          <w:lang w:val="en-US" w:eastAsia="zh-CN"/>
        </w:rPr>
        <w:t>名退休干部，增加相应退休金和考核奖励金等费用</w:t>
      </w:r>
      <w:r>
        <w:rPr>
          <w:rFonts w:hint="eastAsia" w:ascii="仿宋_GB2312" w:eastAsia="仿宋_GB2312" w:cstheme="minorBidi"/>
          <w:b w:val="0"/>
          <w:sz w:val="32"/>
          <w:szCs w:val="32"/>
          <w:lang w:val="en-US" w:eastAsia="zh-CN"/>
        </w:rPr>
        <w:t>。</w:t>
      </w:r>
    </w:p>
    <w:p>
      <w:pPr>
        <w:pageBreakBefore w:val="0"/>
        <w:widowControl/>
        <w:numPr>
          <w:ilvl w:val="0"/>
          <w:numId w:val="2"/>
        </w:numPr>
        <w:kinsoku/>
        <w:wordWrap/>
        <w:overflowPunct/>
        <w:topLinePunct w:val="0"/>
        <w:autoSpaceDE/>
        <w:autoSpaceDN/>
        <w:bidi w:val="0"/>
        <w:adjustRightInd/>
        <w:snapToGrid/>
        <w:spacing w:before="0" w:beforeAutospacing="0" w:after="0" w:afterAutospacing="0" w:line="560" w:lineRule="exact"/>
        <w:ind w:left="0" w:leftChars="0" w:firstLine="640" w:firstLineChars="0"/>
        <w:textAlignment w:val="auto"/>
        <w:rPr>
          <w:rFonts w:ascii="仿宋_GB2312" w:eastAsia="仿宋_GB2312"/>
          <w:sz w:val="32"/>
          <w:szCs w:val="32"/>
        </w:rPr>
      </w:pPr>
      <w:r>
        <w:rPr>
          <w:rFonts w:hint="eastAsia" w:ascii="仿宋_GB2312" w:eastAsia="仿宋_GB2312" w:hAnsiTheme="minorHAnsi" w:cstheme="minorBidi"/>
          <w:b w:val="0"/>
          <w:sz w:val="32"/>
          <w:szCs w:val="32"/>
        </w:rPr>
        <w:t>社会保障和就业支出（类）行政事业单位养老支出（款）机关事业单位基本养老保险缴费支出（项）：支出决算数为146.65万元，比上年决算增加16.44万元，增长12.63%，主要原因是</w:t>
      </w:r>
      <w:r>
        <w:rPr>
          <w:rFonts w:hint="eastAsia" w:ascii="仿宋_GB2312" w:eastAsia="仿宋_GB2312" w:hAnsiTheme="minorHAnsi" w:cstheme="minorBidi"/>
          <w:b w:val="0"/>
          <w:sz w:val="32"/>
          <w:szCs w:val="32"/>
          <w:lang w:eastAsia="zh-CN"/>
        </w:rPr>
        <w:t>：</w:t>
      </w:r>
      <w:r>
        <w:rPr>
          <w:rFonts w:hint="default" w:ascii="Times New Roman" w:hAnsi="Times New Roman" w:eastAsia="仿宋_GB2312" w:cs="Times New Roman"/>
          <w:b w:val="0"/>
          <w:sz w:val="32"/>
          <w:szCs w:val="32"/>
          <w:highlight w:val="none"/>
          <w:lang w:val="en-US" w:eastAsia="zh-CN"/>
        </w:rPr>
        <w:t>2024年调整养老保险缴费</w:t>
      </w:r>
      <w:r>
        <w:rPr>
          <w:rFonts w:hint="eastAsia" w:ascii="Times New Roman" w:hAnsi="Times New Roman" w:eastAsia="仿宋_GB2312" w:cs="Times New Roman"/>
          <w:b w:val="0"/>
          <w:sz w:val="32"/>
          <w:szCs w:val="32"/>
          <w:highlight w:val="none"/>
          <w:lang w:val="en-US" w:eastAsia="zh-CN"/>
        </w:rPr>
        <w:t>基</w:t>
      </w:r>
      <w:r>
        <w:rPr>
          <w:rFonts w:hint="default" w:ascii="Times New Roman" w:hAnsi="Times New Roman" w:eastAsia="仿宋_GB2312" w:cs="Times New Roman"/>
          <w:b w:val="0"/>
          <w:sz w:val="32"/>
          <w:szCs w:val="32"/>
          <w:highlight w:val="none"/>
          <w:lang w:val="en-US" w:eastAsia="zh-CN"/>
        </w:rPr>
        <w:t>数，增加了相应养老保险缴费支出</w:t>
      </w:r>
      <w:r>
        <w:rPr>
          <w:rFonts w:hint="eastAsia" w:ascii="仿宋_GB2312" w:eastAsia="仿宋_GB2312"/>
          <w:b w:val="0"/>
          <w:sz w:val="32"/>
          <w:szCs w:val="32"/>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社会保障和就业支出（类）行政事业单位养老支出（款）机关事业单位职业年金缴费支出（项）：支出决算数为14.84万元，比上年决算减少14.77万元，下降49.88%，主要原因是：202</w:t>
      </w:r>
      <w:r>
        <w:rPr>
          <w:rFonts w:hint="eastAsia" w:ascii="仿宋_GB2312" w:eastAsia="仿宋_GB2312" w:hAnsiTheme="minorHAnsi" w:cstheme="minorBidi"/>
          <w:b w:val="0"/>
          <w:sz w:val="32"/>
          <w:szCs w:val="32"/>
          <w:lang w:val="en-US" w:eastAsia="zh-CN"/>
        </w:rPr>
        <w:t>4</w:t>
      </w:r>
      <w:r>
        <w:rPr>
          <w:rFonts w:hint="eastAsia" w:ascii="仿宋_GB2312" w:eastAsia="仿宋_GB2312" w:hAnsiTheme="minorHAnsi" w:cstheme="minorBidi"/>
          <w:b w:val="0"/>
          <w:sz w:val="32"/>
          <w:szCs w:val="32"/>
        </w:rPr>
        <w:t>年将由部门预算编制的职业年金预算统一调整为由财政统一编制预算，所以较上年下降。</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社会保障和就业支出（类）就业补助（款）公益性岗位补贴（项）：支出决算数为0.00万元，比上年决算减少22.65万元，下降100.00%，主要原因是：</w:t>
      </w:r>
      <w:r>
        <w:rPr>
          <w:rFonts w:hint="eastAsia" w:ascii="仿宋_GB2312" w:eastAsia="仿宋_GB2312" w:cstheme="minorBidi"/>
          <w:b w:val="0"/>
          <w:sz w:val="32"/>
          <w:szCs w:val="32"/>
          <w:lang w:val="en-US" w:eastAsia="zh-CN"/>
        </w:rPr>
        <w:t>本年优化</w:t>
      </w:r>
      <w:r>
        <w:rPr>
          <w:rFonts w:hint="eastAsia" w:ascii="仿宋_GB2312" w:eastAsia="仿宋_GB2312" w:hAnsiTheme="minorHAnsi" w:cstheme="minorBidi"/>
          <w:b w:val="0"/>
          <w:sz w:val="32"/>
          <w:szCs w:val="32"/>
        </w:rPr>
        <w:t>益性岗位</w:t>
      </w:r>
      <w:r>
        <w:rPr>
          <w:rFonts w:hint="eastAsia" w:ascii="仿宋_GB2312" w:eastAsia="仿宋_GB2312" w:cstheme="minorBidi"/>
          <w:b w:val="0"/>
          <w:sz w:val="32"/>
          <w:szCs w:val="32"/>
          <w:lang w:val="en-US" w:eastAsia="zh-CN"/>
        </w:rPr>
        <w:t>人员</w:t>
      </w:r>
      <w:r>
        <w:rPr>
          <w:rFonts w:hint="eastAsia" w:ascii="仿宋_GB2312" w:eastAsia="仿宋_GB2312" w:hAnsiTheme="minorHAnsi" w:cstheme="minorBidi"/>
          <w:b w:val="0"/>
          <w:sz w:val="32"/>
          <w:szCs w:val="32"/>
          <w:lang w:val="en-US" w:eastAsia="zh-CN"/>
        </w:rPr>
        <w:t>未安排</w:t>
      </w:r>
      <w:r>
        <w:rPr>
          <w:rFonts w:hint="eastAsia" w:ascii="仿宋_GB2312" w:eastAsia="仿宋_GB2312" w:hAnsiTheme="minorHAnsi" w:cstheme="minorBidi"/>
          <w:b w:val="0"/>
          <w:sz w:val="32"/>
          <w:szCs w:val="32"/>
        </w:rPr>
        <w:t>公益性岗位补贴</w:t>
      </w:r>
      <w:r>
        <w:rPr>
          <w:rFonts w:hint="eastAsia" w:ascii="仿宋_GB2312" w:eastAsia="仿宋_GB2312" w:hAnsiTheme="minorHAnsi" w:cstheme="minorBidi"/>
          <w:b w:val="0"/>
          <w:sz w:val="32"/>
          <w:szCs w:val="32"/>
          <w:lang w:val="en-US" w:eastAsia="zh-CN"/>
        </w:rPr>
        <w:t>预算</w:t>
      </w:r>
      <w:r>
        <w:rPr>
          <w:rFonts w:hint="eastAsia" w:ascii="仿宋_GB2312" w:eastAsia="仿宋_GB2312" w:hAnsiTheme="minorHAnsi" w:cstheme="minorBidi"/>
          <w:b w:val="0"/>
          <w:sz w:val="32"/>
          <w:szCs w:val="32"/>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社会保障和就业支出（类）社会福利（款）其他社会福利支出（项）：支出决算数为0.00万元，比上年决算减少3.00万元，下降100.00%，主要原因是：</w:t>
      </w:r>
      <w:r>
        <w:rPr>
          <w:rFonts w:hint="eastAsia" w:ascii="仿宋_GB2312" w:eastAsia="仿宋_GB2312" w:cstheme="minorBidi"/>
          <w:b w:val="0"/>
          <w:sz w:val="32"/>
          <w:szCs w:val="32"/>
          <w:lang w:val="en-US" w:eastAsia="zh-CN"/>
        </w:rPr>
        <w:t>2023年安排</w:t>
      </w:r>
      <w:r>
        <w:rPr>
          <w:rFonts w:hint="eastAsia" w:ascii="仿宋_GB2312" w:eastAsia="仿宋_GB2312" w:hAnsiTheme="minorHAnsi" w:cstheme="minorBidi"/>
          <w:b w:val="0"/>
          <w:sz w:val="32"/>
          <w:szCs w:val="32"/>
          <w:lang w:val="en-US" w:eastAsia="zh-CN"/>
        </w:rPr>
        <w:t>幸福大院运转经费</w:t>
      </w:r>
      <w:r>
        <w:rPr>
          <w:rFonts w:hint="eastAsia" w:ascii="仿宋_GB2312" w:eastAsia="仿宋_GB2312" w:cstheme="minorBidi"/>
          <w:b w:val="0"/>
          <w:sz w:val="32"/>
          <w:szCs w:val="32"/>
          <w:lang w:val="en-US" w:eastAsia="zh-CN"/>
        </w:rPr>
        <w:t>支出，本年该项目未安排支出。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社会保障和就业支出（类）其他生活救助（款）其他农村生活救助（项）：支出决算数为7.90万元，比上年决算增加7.90万元，增长100.00%，主要原因是：</w:t>
      </w:r>
      <w:r>
        <w:rPr>
          <w:rFonts w:hint="eastAsia" w:ascii="仿宋_GB2312" w:eastAsia="仿宋_GB2312" w:hAnsiTheme="minorHAnsi" w:cstheme="minorBidi"/>
          <w:b w:val="0"/>
          <w:sz w:val="32"/>
          <w:szCs w:val="32"/>
          <w:lang w:val="en-US" w:eastAsia="zh-CN"/>
        </w:rPr>
        <w:t>2024年发放城乡困难家庭冬季采暖生活补助。</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lang w:eastAsia="zh-CN"/>
        </w:rPr>
      </w:pPr>
      <w:r>
        <w:rPr>
          <w:rFonts w:hint="eastAsia" w:ascii="仿宋_GB2312" w:eastAsia="仿宋_GB2312" w:hAnsiTheme="minorHAnsi" w:cstheme="minorBidi"/>
          <w:b w:val="0"/>
          <w:sz w:val="32"/>
          <w:szCs w:val="32"/>
        </w:rPr>
        <w:t>卫生健康支出（类）行政事业单位医疗（款）行政单位医疗（项）：支出决算数为67.12万元，比上年决算增加6.85万元，增长11.37%，主要原因是：</w:t>
      </w:r>
      <w:r>
        <w:rPr>
          <w:rFonts w:hint="eastAsia" w:ascii="仿宋_GB2312" w:eastAsia="仿宋_GB2312" w:hAnsiTheme="minorHAnsi" w:cstheme="minorBidi"/>
          <w:b w:val="0"/>
          <w:sz w:val="32"/>
          <w:szCs w:val="32"/>
          <w:lang w:val="en-US" w:eastAsia="zh-CN"/>
        </w:rPr>
        <w:t>本年度在职人员</w:t>
      </w:r>
      <w:r>
        <w:rPr>
          <w:rFonts w:hint="eastAsia" w:ascii="仿宋_GB2312" w:eastAsia="仿宋_GB2312" w:hAnsiTheme="minorHAnsi" w:cstheme="minorBidi"/>
          <w:b w:val="0"/>
          <w:sz w:val="32"/>
          <w:szCs w:val="32"/>
        </w:rPr>
        <w:t>工资</w:t>
      </w:r>
      <w:r>
        <w:rPr>
          <w:rFonts w:hint="eastAsia" w:ascii="仿宋_GB2312" w:eastAsia="仿宋_GB2312" w:hAnsiTheme="minorHAnsi" w:cstheme="minorBidi"/>
          <w:b w:val="0"/>
          <w:sz w:val="32"/>
          <w:szCs w:val="32"/>
          <w:lang w:val="en-US" w:eastAsia="zh-CN"/>
        </w:rPr>
        <w:t>及医疗基数</w:t>
      </w:r>
      <w:r>
        <w:rPr>
          <w:rFonts w:hint="eastAsia" w:ascii="仿宋_GB2312" w:eastAsia="仿宋_GB2312" w:hAnsiTheme="minorHAnsi" w:cstheme="minorBidi"/>
          <w:b w:val="0"/>
          <w:sz w:val="32"/>
          <w:szCs w:val="32"/>
        </w:rPr>
        <w:t>调增</w:t>
      </w:r>
      <w:r>
        <w:rPr>
          <w:rFonts w:hint="eastAsia" w:ascii="仿宋_GB2312" w:eastAsia="仿宋_GB2312" w:hAnsiTheme="minorHAnsi" w:cstheme="minorBidi"/>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卫生健康支出（类）行政事业单位医疗（款）公务员医疗补助（项）：支出决算数为8.87万元，比上年决算增加1.59万元，增长21.84%，主要原因是：</w:t>
      </w:r>
      <w:r>
        <w:rPr>
          <w:rFonts w:hint="eastAsia" w:ascii="仿宋_GB2312" w:eastAsia="仿宋_GB2312" w:hAnsiTheme="minorHAnsi" w:cstheme="minorBidi"/>
          <w:b w:val="0"/>
          <w:sz w:val="32"/>
          <w:szCs w:val="32"/>
          <w:lang w:val="en-US" w:eastAsia="zh-CN"/>
        </w:rPr>
        <w:t>2024年因公务人</w:t>
      </w:r>
      <w:r>
        <w:rPr>
          <w:rFonts w:hint="eastAsia" w:ascii="仿宋_GB2312" w:eastAsia="仿宋_GB2312" w:cstheme="minorBidi"/>
          <w:b w:val="0"/>
          <w:sz w:val="32"/>
          <w:szCs w:val="32"/>
          <w:lang w:val="en-US" w:eastAsia="zh-CN"/>
        </w:rPr>
        <w:t>数增加</w:t>
      </w:r>
      <w:r>
        <w:rPr>
          <w:rFonts w:hint="eastAsia" w:ascii="仿宋_GB2312" w:eastAsia="仿宋_GB2312" w:hAnsiTheme="minorHAnsi" w:cstheme="minorBidi"/>
          <w:b w:val="0"/>
          <w:sz w:val="32"/>
          <w:szCs w:val="32"/>
          <w:lang w:val="en-US" w:eastAsia="zh-CN"/>
        </w:rPr>
        <w:t>，公务员医疗补助增加。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农林水支出（类）巩固脱贫攻坚成果衔接乡村振兴（款）农村基础设施建设（项）：支出决算数为0.00万元，比上年决算减少1,000.00万元，下降100.00%，主要原因是：</w:t>
      </w:r>
      <w:r>
        <w:rPr>
          <w:rFonts w:hint="eastAsia" w:ascii="仿宋_GB2312" w:eastAsia="仿宋_GB2312" w:cstheme="minorBidi"/>
          <w:b w:val="0"/>
          <w:sz w:val="32"/>
          <w:szCs w:val="32"/>
          <w:lang w:val="en-US" w:eastAsia="zh-CN"/>
        </w:rPr>
        <w:t>2023年安排中多尕村人居环境整治建设项目，23年项目实施完毕，</w:t>
      </w:r>
      <w:r>
        <w:rPr>
          <w:rFonts w:hint="eastAsia" w:ascii="仿宋_GB2312" w:eastAsia="仿宋_GB2312" w:hAnsiTheme="minorHAnsi" w:cstheme="minorBidi"/>
          <w:b w:val="0"/>
          <w:sz w:val="32"/>
          <w:szCs w:val="32"/>
          <w:lang w:val="en-US" w:eastAsia="zh-CN"/>
        </w:rPr>
        <w:t>2024年未实施</w:t>
      </w:r>
      <w:r>
        <w:rPr>
          <w:rFonts w:hint="eastAsia" w:ascii="仿宋_GB2312" w:eastAsia="仿宋_GB2312" w:cstheme="minorBidi"/>
          <w:b w:val="0"/>
          <w:sz w:val="32"/>
          <w:szCs w:val="32"/>
          <w:lang w:val="en-US" w:eastAsia="zh-CN"/>
        </w:rPr>
        <w:t>该项目。</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农林水支出（类）巩固脱贫攻坚成果衔接乡村振兴（款）生产发展（项）：支出决算数为3,188.04万元，比上年决算增加2,002.68万元，增长168.95%，主要原因是：</w:t>
      </w:r>
      <w:r>
        <w:rPr>
          <w:rFonts w:hint="eastAsia" w:ascii="仿宋_GB2312" w:eastAsia="仿宋_GB2312" w:hAnsiTheme="minorHAnsi" w:cstheme="minorBidi"/>
          <w:b w:val="0"/>
          <w:sz w:val="32"/>
          <w:szCs w:val="32"/>
          <w:lang w:val="en-US" w:eastAsia="zh-CN"/>
        </w:rPr>
        <w:t>2024年新增乡村振兴项目（巴格吉代村示范村）。</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农林水支出（类）巩固脱贫攻坚成果衔接乡村振兴（款）其他巩固脱贫攻坚成果衔接乡村振兴支出（项）：支出决算数为60.07万元，比上年决算增加13.19万元，增长28.14%，主要原因是：</w:t>
      </w:r>
      <w:r>
        <w:rPr>
          <w:rFonts w:hint="eastAsia" w:ascii="仿宋_GB2312" w:eastAsia="仿宋_GB2312" w:hAnsiTheme="minorHAnsi" w:cstheme="minorBidi"/>
          <w:b w:val="0"/>
          <w:sz w:val="32"/>
          <w:szCs w:val="32"/>
          <w:lang w:val="en-US" w:eastAsia="zh-CN"/>
        </w:rPr>
        <w:t>2024年新增乡村振兴项目（巴格吉代村示范村项目）。</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农林水支出（类）农村综合改革（款）对村级公益事业建设的补助（项）：支出决算数为41.71万元，比上年决算增加25.82万元，增长162.49%，主要原因是：</w:t>
      </w:r>
      <w:r>
        <w:rPr>
          <w:rFonts w:hint="eastAsia" w:ascii="仿宋_GB2312" w:eastAsia="仿宋_GB2312" w:hAnsiTheme="minorHAnsi" w:cstheme="minorBidi"/>
          <w:b w:val="0"/>
          <w:sz w:val="32"/>
          <w:szCs w:val="32"/>
          <w:lang w:val="en-US" w:eastAsia="zh-CN"/>
        </w:rPr>
        <w:t>2024年支付2020年美丽乡村建设资金工程尾款。</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lang w:eastAsia="zh-CN"/>
        </w:rPr>
      </w:pPr>
      <w:r>
        <w:rPr>
          <w:rFonts w:hint="eastAsia" w:ascii="仿宋_GB2312" w:eastAsia="仿宋_GB2312" w:hAnsiTheme="minorHAnsi" w:cstheme="minorBidi"/>
          <w:b w:val="0"/>
          <w:sz w:val="32"/>
          <w:szCs w:val="32"/>
        </w:rPr>
        <w:t>农林水支出（类）农村综合改革（款）对村民委员会和村党支部的补助（项）：支出决算数为69.47万元，比上年决算减少280.50万元，下降80.15%，主要原因是：厉行节俭，压缩村级运转经费</w:t>
      </w:r>
      <w:r>
        <w:rPr>
          <w:rFonts w:hint="eastAsia" w:ascii="仿宋_GB2312" w:eastAsia="仿宋_GB2312" w:hAnsiTheme="minorHAnsi" w:cstheme="minorBidi"/>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农林水支出（类）目标价格补贴（款）棉花目标价格补贴（项）：支出决算数为0.00万元，比上年决算减少8,147.37万元，下降100.00%，主要原因是：</w:t>
      </w:r>
      <w:r>
        <w:rPr>
          <w:rFonts w:hint="eastAsia" w:ascii="仿宋_GB2312" w:eastAsia="仿宋_GB2312" w:hAnsiTheme="minorHAnsi" w:cstheme="minorBidi"/>
          <w:b w:val="0"/>
          <w:sz w:val="32"/>
          <w:szCs w:val="32"/>
          <w:lang w:val="en-US" w:eastAsia="zh-CN"/>
        </w:rPr>
        <w:t>2024年未通过财政大平台发放</w:t>
      </w:r>
      <w:r>
        <w:rPr>
          <w:rFonts w:hint="eastAsia" w:ascii="仿宋_GB2312" w:eastAsia="仿宋_GB2312" w:hAnsiTheme="minorHAnsi" w:cstheme="minorBidi"/>
          <w:b w:val="0"/>
          <w:sz w:val="32"/>
          <w:szCs w:val="32"/>
        </w:rPr>
        <w:t>棉花目标价格补贴</w:t>
      </w:r>
      <w:r>
        <w:rPr>
          <w:rFonts w:hint="eastAsia" w:ascii="仿宋_GB2312" w:eastAsia="仿宋_GB2312" w:hAnsiTheme="minorHAnsi" w:cstheme="minorBidi"/>
          <w:b w:val="0"/>
          <w:sz w:val="32"/>
          <w:szCs w:val="32"/>
          <w:lang w:eastAsia="zh-CN"/>
        </w:rPr>
        <w:t>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住房保障支出（类）住房改革支出（款）住房公积金（项）：支出决算数为117.35万元，比上年决算增加13.01万元，增长12.47%，主要原因是：</w:t>
      </w:r>
      <w:r>
        <w:rPr>
          <w:rFonts w:hint="eastAsia" w:ascii="仿宋_GB2312" w:eastAsia="仿宋_GB2312" w:hAnsiTheme="minorHAnsi" w:cstheme="minorBidi"/>
          <w:b w:val="0"/>
          <w:sz w:val="32"/>
          <w:szCs w:val="32"/>
          <w:lang w:val="en-US" w:eastAsia="zh-CN"/>
        </w:rPr>
        <w:t>住房公积金基数调整原因比上年决算增加</w:t>
      </w:r>
      <w:r>
        <w:rPr>
          <w:rFonts w:hint="eastAsia" w:ascii="仿宋_GB2312" w:eastAsia="仿宋_GB2312" w:hAnsiTheme="minorHAnsi" w:cstheme="minorBidi"/>
          <w:b w:val="0"/>
          <w:sz w:val="32"/>
          <w:szCs w:val="32"/>
          <w:lang w:val="zh-CN"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其他支出（类）其他支出（款）其他支出（项）：支出决算数为5.43万元，比上年决算增加5.43万元，增长100.00%，主要原因是：</w:t>
      </w:r>
      <w:r>
        <w:rPr>
          <w:rFonts w:hint="eastAsia" w:ascii="仿宋_GB2312" w:eastAsia="仿宋_GB2312" w:hAnsiTheme="minorHAnsi" w:cstheme="minorBidi"/>
          <w:b w:val="0"/>
          <w:sz w:val="32"/>
          <w:szCs w:val="32"/>
          <w:lang w:val="en-US" w:eastAsia="zh-CN"/>
        </w:rPr>
        <w:t>2024年发放纾困救助资金。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2024年度一般公共预算财政拨款基本支出1,963.23万元，其中：人员经费1,602.74万元，包括：基本工资、津贴补贴、奖金、机关事业单位基本养老保险缴费、职业年金缴费、职工基本医疗保险缴费、公务员医疗补助缴费、其他社会保障缴费、住房公积金、医疗费、其他工资福利支出、退休费、生活补助、救济费和其他对个人和家庭的补助。</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公用经费360.49万元，包括：办公费、印刷费、水费、电费、邮电费、取暖费、维修（护）费、培训费、劳务费、工会经费、福利费、公务用车运行维护费和其他商品和服务支出。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2024年度政府性基金预算财政拨款收入总计214.10万元，其中：年初结转和结余0.00万元，本年收入214.10万元。政府性基金预算财政拨款支出总计214.10万元，其中：年末结转和结余0.00万元，本年支出214.10万元。</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政府性基金预算财政拨款收入支出总体与上年相比，增加139.05万元，增长185.28%</w:t>
      </w:r>
      <w:r>
        <w:rPr>
          <w:rFonts w:hint="eastAsia" w:ascii="仿宋_GB2312" w:eastAsia="仿宋_GB2312" w:hAnsiTheme="minorHAnsi" w:cstheme="minorBidi"/>
          <w:b w:val="0"/>
          <w:sz w:val="32"/>
          <w:szCs w:val="32"/>
          <w:highlight w:val="none"/>
        </w:rPr>
        <w:t>，主要原因是：</w:t>
      </w:r>
      <w:r>
        <w:rPr>
          <w:rFonts w:hint="default" w:ascii="Times New Roman" w:hAnsi="Times New Roman" w:eastAsia="仿宋_GB2312" w:cs="Times New Roman"/>
          <w:b w:val="0"/>
          <w:sz w:val="32"/>
          <w:szCs w:val="32"/>
          <w:highlight w:val="none"/>
          <w:lang w:val="en-US" w:eastAsia="zh-CN"/>
        </w:rPr>
        <w:t>2024年</w:t>
      </w:r>
      <w:r>
        <w:rPr>
          <w:rFonts w:hint="eastAsia" w:ascii="Times New Roman" w:hAnsi="Times New Roman" w:eastAsia="仿宋_GB2312" w:cs="Times New Roman"/>
          <w:b w:val="0"/>
          <w:sz w:val="32"/>
          <w:szCs w:val="32"/>
          <w:highlight w:val="none"/>
          <w:lang w:val="en-US" w:eastAsia="zh-CN"/>
        </w:rPr>
        <w:t>支付2021年和2022年基础设施和五小工程款</w:t>
      </w:r>
      <w:r>
        <w:rPr>
          <w:rFonts w:hint="default" w:ascii="Times New Roman" w:hAnsi="Times New Roman" w:eastAsia="仿宋_GB2312" w:cs="Times New Roman"/>
          <w:b w:val="0"/>
          <w:sz w:val="32"/>
          <w:szCs w:val="32"/>
          <w:highlight w:val="none"/>
          <w:lang w:val="en-US" w:eastAsia="zh-CN"/>
        </w:rPr>
        <w:t>。</w:t>
      </w:r>
      <w:r>
        <w:rPr>
          <w:rFonts w:hint="eastAsia" w:ascii="仿宋_GB2312" w:eastAsia="仿宋_GB2312" w:hAnsiTheme="minorHAnsi" w:cstheme="minorBidi"/>
          <w:b w:val="0"/>
          <w:sz w:val="32"/>
          <w:szCs w:val="32"/>
          <w:highlight w:val="none"/>
        </w:rPr>
        <w:t>与年初预算相比，年初预算数192.66万元，决算数214.10万元，预决算差异率11.13%，主要原因是：</w:t>
      </w:r>
      <w:r>
        <w:rPr>
          <w:rFonts w:hint="eastAsia" w:ascii="仿宋_GB2312" w:eastAsia="仿宋_GB2312" w:hAnsiTheme="minorHAnsi" w:cstheme="minorBidi"/>
          <w:b w:val="0"/>
          <w:sz w:val="32"/>
          <w:szCs w:val="32"/>
          <w:highlight w:val="none"/>
          <w:lang w:val="en-US" w:eastAsia="zh-CN"/>
        </w:rPr>
        <w:t>2</w:t>
      </w:r>
      <w:r>
        <w:rPr>
          <w:rFonts w:hint="eastAsia" w:ascii="仿宋_GB2312" w:eastAsia="仿宋_GB2312" w:hAnsiTheme="minorHAnsi" w:cstheme="minorBidi"/>
          <w:b w:val="0"/>
          <w:sz w:val="32"/>
          <w:szCs w:val="32"/>
          <w:lang w:val="en-US" w:eastAsia="zh-CN"/>
        </w:rPr>
        <w:t>024年</w:t>
      </w:r>
      <w:r>
        <w:rPr>
          <w:rFonts w:hint="eastAsia" w:ascii="仿宋_GB2312" w:eastAsia="仿宋_GB2312" w:cstheme="minorBidi"/>
          <w:b w:val="0"/>
          <w:sz w:val="32"/>
          <w:szCs w:val="32"/>
          <w:lang w:val="en-US" w:eastAsia="zh-CN"/>
        </w:rPr>
        <w:t>追加新增基础设施、塔里木河干流生态综合治理项目</w:t>
      </w:r>
      <w:r>
        <w:rPr>
          <w:rFonts w:hint="eastAsia" w:ascii="仿宋_GB2312" w:eastAsia="仿宋_GB2312" w:hAnsiTheme="minorHAnsi" w:cstheme="minorBidi"/>
          <w:b w:val="0"/>
          <w:sz w:val="32"/>
          <w:szCs w:val="32"/>
          <w:lang w:val="en-US"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政府性基金预算财政拨款支出214.10万元。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节能环保支出（类）超长期特别国债安排的支出（款）“三北”工程建设（项）：支出决算数为21.53万元，比上年决算增加21.53万元，增长100.00%，主要原因是：</w:t>
      </w:r>
      <w:r>
        <w:rPr>
          <w:rFonts w:hint="eastAsia" w:ascii="仿宋_GB2312" w:eastAsia="仿宋_GB2312" w:hAnsiTheme="minorHAnsi" w:cstheme="minorBidi"/>
          <w:b w:val="0"/>
          <w:sz w:val="32"/>
          <w:szCs w:val="32"/>
          <w:lang w:val="en-US" w:eastAsia="zh-CN"/>
        </w:rPr>
        <w:t>2024年新增项目</w:t>
      </w:r>
      <w:r>
        <w:rPr>
          <w:rFonts w:hint="eastAsia" w:ascii="仿宋_GB2312" w:eastAsia="仿宋_GB2312" w:hAnsiTheme="minorHAnsi" w:cstheme="minorBidi"/>
          <w:b w:val="0"/>
          <w:sz w:val="32"/>
          <w:szCs w:val="32"/>
        </w:rPr>
        <w:t>“三北”工程建设</w:t>
      </w:r>
      <w:r>
        <w:rPr>
          <w:rFonts w:hint="eastAsia" w:ascii="仿宋_GB2312" w:eastAsia="仿宋_GB2312" w:hAnsiTheme="minorHAnsi" w:cstheme="minorBidi"/>
          <w:b w:val="0"/>
          <w:sz w:val="32"/>
          <w:szCs w:val="32"/>
          <w:lang w:val="en-US" w:eastAsia="zh-CN"/>
        </w:rPr>
        <w:t>-塔里木河干流生态综合治理项目。</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城乡社区支出（类）国有土地使用权出让收入安排的支出（款）农村基础设施建设支出（项）：支出决算数为127.94万元，比上年决算增加70.44万元，增长122.50%，主要原因是：</w:t>
      </w:r>
      <w:r>
        <w:rPr>
          <w:rFonts w:hint="eastAsia" w:ascii="仿宋_GB2312" w:eastAsia="仿宋_GB2312" w:hAnsiTheme="minorHAnsi" w:cstheme="minorBidi"/>
          <w:b w:val="0"/>
          <w:sz w:val="32"/>
          <w:szCs w:val="32"/>
          <w:lang w:val="en-US" w:eastAsia="zh-CN"/>
        </w:rPr>
        <w:t>2024年支付2022年自治区基层组织建设资金（中兴社区建设设施）及2022年中央基建投资预算项目资金（五小工程，巴格吉代村村级活动场所建设项目工程）。</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城乡社区支出（类）国有土地使用权出让收入安排的支出（款）农村社会事业支出（项）：支出决算数为64.63万元，比上年决算增加64.63万元，增长100.00%，主要原因是：</w:t>
      </w:r>
      <w:r>
        <w:rPr>
          <w:rFonts w:hint="eastAsia" w:ascii="仿宋_GB2312" w:eastAsia="仿宋_GB2312" w:hAnsiTheme="minorHAnsi" w:cstheme="minorBidi"/>
          <w:b w:val="0"/>
          <w:sz w:val="32"/>
          <w:szCs w:val="32"/>
          <w:lang w:val="en-US" w:eastAsia="zh-CN"/>
        </w:rPr>
        <w:t>2024年新增项目乡村建设经费。</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hAnsiTheme="minorHAnsi" w:cstheme="minorBidi"/>
          <w:b w:val="0"/>
          <w:sz w:val="32"/>
          <w:szCs w:val="32"/>
          <w:lang w:val="en-US" w:eastAsia="zh-CN"/>
        </w:rPr>
      </w:pPr>
      <w:r>
        <w:rPr>
          <w:rFonts w:hint="eastAsia" w:ascii="仿宋_GB2312" w:eastAsia="仿宋_GB2312" w:hAnsiTheme="minorHAnsi" w:cstheme="minorBidi"/>
          <w:b w:val="0"/>
          <w:sz w:val="32"/>
          <w:szCs w:val="32"/>
        </w:rPr>
        <w:t>城乡社区支出（类）国有土地使用权出让收入安排的支出（款）其他国有土地使用权出让收入安排的支出（项）：支出决算数为0.00万元，比上年决算减少17.55万元，下降100.00%，主要原因是：</w:t>
      </w:r>
      <w:r>
        <w:rPr>
          <w:rFonts w:hint="eastAsia" w:ascii="仿宋_GB2312" w:eastAsia="仿宋_GB2312"/>
          <w:b w:val="0"/>
          <w:sz w:val="31"/>
          <w:szCs w:val="31"/>
          <w:lang w:val="en-US" w:eastAsia="zh-CN"/>
        </w:rPr>
        <w:t>2023年根据上级安排，该笔款项用于哈拉玉宫镇偿还历年欠款，2024年无欠款，导致经费减少</w:t>
      </w:r>
      <w:r>
        <w:rPr>
          <w:rFonts w:hint="eastAsia" w:ascii="仿宋_GB2312" w:eastAsia="仿宋_GB2312" w:cstheme="minorBidi"/>
          <w:b w:val="0"/>
          <w:sz w:val="32"/>
          <w:szCs w:val="32"/>
          <w:lang w:val="en-US"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2024年度财政拨款“三公”经费支出14.24万元，比上年减少4.95万元，下降25.79%，主要原因是：</w:t>
      </w:r>
      <w:r>
        <w:rPr>
          <w:rFonts w:hint="eastAsia" w:ascii="仿宋_GB2312" w:eastAsia="仿宋_GB2312" w:cstheme="minorBidi"/>
          <w:b w:val="0"/>
          <w:sz w:val="32"/>
          <w:szCs w:val="32"/>
          <w:lang w:val="en-US" w:eastAsia="zh-CN"/>
        </w:rPr>
        <w:t>我单位本年倡导过紧日子，厉行节约，三公经费下降</w:t>
      </w:r>
      <w:r>
        <w:rPr>
          <w:rFonts w:hint="eastAsia" w:ascii="仿宋_GB2312" w:eastAsia="仿宋_GB2312" w:hAnsiTheme="minorHAnsi" w:cstheme="minorBidi"/>
          <w:b w:val="0"/>
          <w:sz w:val="32"/>
          <w:szCs w:val="32"/>
        </w:rPr>
        <w:t>。其中：因公出国（境）费支出0.00万元,占0.00%，与上年相比无变化，主要原因是：</w:t>
      </w:r>
      <w:r>
        <w:rPr>
          <w:rFonts w:hint="default" w:ascii="Times New Roman" w:hAnsi="Times New Roman" w:eastAsia="仿宋_GB2312" w:cs="Times New Roman"/>
          <w:b w:val="0"/>
          <w:sz w:val="32"/>
          <w:szCs w:val="32"/>
          <w:highlight w:val="none"/>
          <w:lang w:val="en-US" w:eastAsia="zh-CN"/>
        </w:rPr>
        <w:t>我单位无因公出国（境）费支出，与上年一致无变动</w:t>
      </w:r>
      <w:r>
        <w:rPr>
          <w:rFonts w:hint="eastAsia" w:ascii="仿宋_GB2312" w:eastAsia="仿宋_GB2312" w:hAnsiTheme="minorHAnsi" w:cstheme="minorBidi"/>
          <w:b w:val="0"/>
          <w:sz w:val="32"/>
          <w:szCs w:val="32"/>
        </w:rPr>
        <w:t>；公务用车购置及运行维护费支出14.24万元，占100.00%，比上年减少4.95万元，下降25.79%，主要原因是：</w:t>
      </w:r>
      <w:r>
        <w:rPr>
          <w:rFonts w:hint="eastAsia" w:ascii="仿宋_GB2312" w:eastAsia="仿宋_GB2312" w:cstheme="minorBidi"/>
          <w:b w:val="0"/>
          <w:sz w:val="32"/>
          <w:szCs w:val="32"/>
          <w:lang w:val="en-US" w:eastAsia="zh-CN"/>
        </w:rPr>
        <w:t>我单位本年倡导过紧日子，厉行节约，三公经费下降</w:t>
      </w:r>
      <w:r>
        <w:rPr>
          <w:rFonts w:hint="eastAsia" w:ascii="仿宋_GB2312" w:eastAsia="仿宋_GB2312" w:hAnsiTheme="minorHAnsi" w:cstheme="minorBidi"/>
          <w:b w:val="0"/>
          <w:sz w:val="32"/>
          <w:szCs w:val="32"/>
        </w:rPr>
        <w:t>；公务接待费支出0.00万元，占0.00%，与上年相比无变化，主要原因是：</w:t>
      </w:r>
      <w:r>
        <w:rPr>
          <w:rFonts w:hint="default" w:ascii="Times New Roman" w:hAnsi="Times New Roman" w:eastAsia="仿宋_GB2312" w:cs="Times New Roman"/>
          <w:b w:val="0"/>
          <w:sz w:val="32"/>
          <w:szCs w:val="32"/>
          <w:highlight w:val="none"/>
          <w:lang w:val="en-US" w:eastAsia="zh-CN"/>
        </w:rPr>
        <w:t>我单位无公务接待费支出，与上年一致无变动</w:t>
      </w:r>
      <w:r>
        <w:rPr>
          <w:rFonts w:hint="eastAsia" w:ascii="仿宋_GB2312" w:eastAsia="仿宋_GB2312" w:hAnsiTheme="minorHAnsi" w:cstheme="minorBidi"/>
          <w:b w:val="0"/>
          <w:sz w:val="32"/>
          <w:szCs w:val="32"/>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方正仿宋_GBK" w:cs="Times New Roman"/>
          <w:b w:val="0"/>
          <w:sz w:val="31"/>
          <w:szCs w:val="31"/>
        </w:rPr>
      </w:pPr>
      <w:r>
        <w:rPr>
          <w:rFonts w:hint="default" w:ascii="Times New Roman" w:hAnsi="Times New Roman" w:eastAsia="仿宋_GB2312" w:cs="Times New Roman"/>
          <w:b w:val="0"/>
          <w:sz w:val="32"/>
          <w:szCs w:val="32"/>
          <w:highlight w:val="none"/>
        </w:rPr>
        <w:t>因公出国（境）费支出0.00万元，开支内容包括</w:t>
      </w:r>
      <w:r>
        <w:rPr>
          <w:rFonts w:hint="default" w:ascii="Times New Roman" w:hAnsi="Times New Roman" w:eastAsia="仿宋_GB2312" w:cs="Times New Roman"/>
          <w:b w:val="0"/>
          <w:sz w:val="32"/>
          <w:szCs w:val="32"/>
          <w:highlight w:val="none"/>
          <w:lang w:val="en-US" w:eastAsia="zh-CN"/>
        </w:rPr>
        <w:t>我单位无因公出国（境）费支出，无开支内容</w:t>
      </w:r>
      <w:r>
        <w:rPr>
          <w:rFonts w:hint="default" w:ascii="Times New Roman" w:hAnsi="Times New Roman" w:eastAsia="仿宋_GB2312" w:cs="Times New Roman"/>
          <w:b w:val="0"/>
          <w:sz w:val="32"/>
          <w:szCs w:val="32"/>
          <w:highlight w:val="none"/>
        </w:rPr>
        <w:t>。单位全年安排的因公出国（境）团组0个，因公出国（境）0人次。</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公务用车购置及运行维护费14.24万元，其中：公务用车购置费0.00万元，公务用车运行维护费14.24万元。公务用车运行维护费开支内容包括</w:t>
      </w:r>
      <w:r>
        <w:rPr>
          <w:rFonts w:hint="eastAsia" w:ascii="仿宋_GB2312" w:eastAsia="仿宋_GB2312"/>
          <w:b w:val="0"/>
          <w:sz w:val="31"/>
          <w:szCs w:val="31"/>
          <w:lang w:val="zh-CN" w:eastAsia="zh-CN"/>
        </w:rPr>
        <w:t>保险费、燃油燃气费、审验费、修理费。</w:t>
      </w:r>
      <w:r>
        <w:rPr>
          <w:rFonts w:hint="eastAsia" w:ascii="仿宋_GB2312" w:eastAsia="仿宋_GB2312" w:hAnsiTheme="minorHAnsi" w:cstheme="minorBidi"/>
          <w:b w:val="0"/>
          <w:sz w:val="32"/>
          <w:szCs w:val="32"/>
        </w:rPr>
        <w:t>公务用车购置数0辆，公务用车保有量8辆。国有资产占用情况中固定资产车辆8辆，与公务用车保有量差异原因是</w:t>
      </w:r>
      <w:r>
        <w:rPr>
          <w:rFonts w:hint="eastAsia" w:ascii="仿宋_GB2312" w:eastAsia="仿宋_GB2312"/>
          <w:b w:val="0"/>
          <w:sz w:val="32"/>
          <w:szCs w:val="32"/>
          <w:lang w:val="en-US" w:eastAsia="zh-CN"/>
        </w:rPr>
        <w:t>公务用车保有量与固定资产车辆一致无差异</w:t>
      </w:r>
      <w:r>
        <w:rPr>
          <w:rFonts w:hint="eastAsia" w:ascii="仿宋_GB2312" w:eastAsia="仿宋_GB2312" w:hAnsiTheme="minorHAnsi" w:cstheme="minorBidi"/>
          <w:b w:val="0"/>
          <w:sz w:val="32"/>
          <w:szCs w:val="32"/>
        </w:rPr>
        <w:t>。</w:t>
      </w:r>
    </w:p>
    <w:p>
      <w:pPr>
        <w:keepNext w:val="0"/>
        <w:keepLines w:val="0"/>
        <w:pageBreakBefore w:val="0"/>
        <w:widowControl/>
        <w:numPr>
          <w:ilvl w:val="0"/>
          <w:numId w:val="0"/>
        </w:numPr>
        <w:shd w:val="clea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b w:val="0"/>
          <w:sz w:val="32"/>
          <w:szCs w:val="32"/>
          <w:highlight w:val="none"/>
        </w:rPr>
      </w:pPr>
      <w:r>
        <w:rPr>
          <w:rFonts w:hint="default" w:ascii="Times New Roman" w:hAnsi="Times New Roman" w:eastAsia="仿宋_GB2312" w:cs="Times New Roman"/>
          <w:b w:val="0"/>
          <w:sz w:val="32"/>
          <w:szCs w:val="32"/>
          <w:highlight w:val="none"/>
        </w:rPr>
        <w:t>公务接待费0.00万元，开支内容包括</w:t>
      </w:r>
      <w:r>
        <w:rPr>
          <w:rFonts w:hint="default" w:ascii="Times New Roman" w:hAnsi="Times New Roman" w:eastAsia="仿宋_GB2312" w:cs="Times New Roman"/>
          <w:b w:val="0"/>
          <w:sz w:val="32"/>
          <w:szCs w:val="32"/>
          <w:highlight w:val="none"/>
          <w:lang w:val="en-US" w:eastAsia="zh-CN"/>
        </w:rPr>
        <w:t>我单位无公务接待费支出，无开支内容</w:t>
      </w:r>
      <w:r>
        <w:rPr>
          <w:rFonts w:hint="default" w:ascii="Times New Roman" w:hAnsi="Times New Roman" w:eastAsia="仿宋_GB2312" w:cs="Times New Roman"/>
          <w:b w:val="0"/>
          <w:sz w:val="32"/>
          <w:szCs w:val="32"/>
          <w:highlight w:val="none"/>
        </w:rPr>
        <w:t>。单位全年安排的国内公务接待0批次，0人次。</w:t>
      </w:r>
    </w:p>
    <w:p>
      <w:pPr>
        <w:keepNext w:val="0"/>
        <w:keepLines w:val="0"/>
        <w:pageBreakBefore w:val="0"/>
        <w:widowControl/>
        <w:numPr>
          <w:ilvl w:val="0"/>
          <w:numId w:val="0"/>
        </w:numPr>
        <w:shd w:val="clea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bookmarkStart w:id="0" w:name="_GoBack"/>
      <w:bookmarkEnd w:id="0"/>
      <w:r>
        <w:rPr>
          <w:rFonts w:hint="eastAsia" w:ascii="仿宋_GB2312" w:eastAsia="仿宋_GB2312" w:hAnsiTheme="minorHAnsi" w:cstheme="minorBidi"/>
          <w:b w:val="0"/>
          <w:sz w:val="32"/>
          <w:szCs w:val="32"/>
          <w:shd w:val="clear"/>
        </w:rPr>
        <w:t>与全年预算相比，财政拨款“三公”经费支出全年预算数14.24万元，决算数14.24万元，预决算差异率0.00%，主要原因是：</w:t>
      </w:r>
      <w:r>
        <w:rPr>
          <w:rFonts w:hint="eastAsia" w:ascii="Times New Roman" w:hAnsi="Times New Roman" w:eastAsia="仿宋_GB2312" w:cs="Times New Roman"/>
          <w:b w:val="0"/>
          <w:sz w:val="32"/>
          <w:szCs w:val="32"/>
          <w:highlight w:val="none"/>
          <w:lang w:val="en-US" w:eastAsia="zh-CN"/>
        </w:rPr>
        <w:t>严格按照预算执行，预决算无差异</w:t>
      </w:r>
      <w:r>
        <w:rPr>
          <w:rFonts w:hint="eastAsia" w:ascii="仿宋_GB2312" w:eastAsia="仿宋_GB2312" w:hAnsiTheme="minorHAnsi" w:cstheme="minorBidi"/>
          <w:b w:val="0"/>
          <w:sz w:val="32"/>
          <w:szCs w:val="32"/>
          <w:shd w:val="clear"/>
        </w:rPr>
        <w:t>。</w:t>
      </w:r>
      <w:r>
        <w:rPr>
          <w:rFonts w:hint="eastAsia" w:ascii="仿宋_GB2312" w:eastAsia="仿宋_GB2312" w:hAnsiTheme="minorHAnsi" w:cstheme="minorBidi"/>
          <w:b w:val="0"/>
          <w:sz w:val="32"/>
          <w:szCs w:val="32"/>
        </w:rPr>
        <w:t>其中：因公出国（境）费全年预算数0.00万元，决算数0.00万元，预决算差异率0.00%，主要原因是：</w:t>
      </w:r>
      <w:r>
        <w:rPr>
          <w:rFonts w:hint="default" w:ascii="Times New Roman" w:hAnsi="Times New Roman" w:eastAsia="仿宋_GB2312" w:cs="Times New Roman"/>
          <w:b w:val="0"/>
          <w:sz w:val="32"/>
          <w:szCs w:val="32"/>
          <w:highlight w:val="none"/>
          <w:lang w:val="en-US" w:eastAsia="zh-CN"/>
        </w:rPr>
        <w:t>我单位无因公出国（境）费支出，预决算无差异</w:t>
      </w:r>
      <w:r>
        <w:rPr>
          <w:rFonts w:hint="eastAsia" w:ascii="仿宋_GB2312" w:eastAsia="仿宋_GB2312" w:hAnsiTheme="minorHAnsi" w:cstheme="minorBidi"/>
          <w:b w:val="0"/>
          <w:sz w:val="32"/>
          <w:szCs w:val="32"/>
        </w:rPr>
        <w:t>。公务用车购置费全年预算数0.00万元，决算数0.00万元，预决算差异率0.00%，主要原因是：</w:t>
      </w:r>
      <w:r>
        <w:rPr>
          <w:rFonts w:hint="default" w:ascii="Times New Roman" w:hAnsi="Times New Roman" w:eastAsia="仿宋_GB2312" w:cs="Times New Roman"/>
          <w:b w:val="0"/>
          <w:sz w:val="32"/>
          <w:szCs w:val="32"/>
          <w:highlight w:val="none"/>
          <w:lang w:val="en-US" w:eastAsia="zh-CN"/>
        </w:rPr>
        <w:t>我单位无公务用车购置费支出，预决算无差异</w:t>
      </w:r>
      <w:r>
        <w:rPr>
          <w:rFonts w:hint="eastAsia" w:ascii="仿宋_GB2312" w:eastAsia="仿宋_GB2312" w:hAnsiTheme="minorHAnsi" w:cstheme="minorBidi"/>
          <w:b w:val="0"/>
          <w:sz w:val="32"/>
          <w:szCs w:val="32"/>
        </w:rPr>
        <w:t>。公务用车运行维护费全年预算数14.24万元，决算数14.24万元，预决算差异率0.00%，主要原因是：</w:t>
      </w:r>
      <w:r>
        <w:rPr>
          <w:rFonts w:hint="eastAsia" w:ascii="仿宋_GB2312" w:eastAsia="仿宋_GB2312" w:hAnsiTheme="minorHAnsi" w:cstheme="minorBidi"/>
          <w:b w:val="0"/>
          <w:sz w:val="32"/>
          <w:szCs w:val="32"/>
          <w:lang w:val="en-US" w:eastAsia="zh-CN"/>
        </w:rPr>
        <w:t>严格按照预算执行，预决算无差异</w:t>
      </w:r>
      <w:r>
        <w:rPr>
          <w:rFonts w:hint="eastAsia" w:ascii="仿宋_GB2312" w:eastAsia="仿宋_GB2312" w:hAnsiTheme="minorHAnsi" w:cstheme="minorBidi"/>
          <w:b w:val="0"/>
          <w:sz w:val="32"/>
          <w:szCs w:val="32"/>
        </w:rPr>
        <w:t>。公务接待费全年预算数0.00万元，决算数0.00万元，预决算差异率0.00%，主要原因是：</w:t>
      </w:r>
      <w:r>
        <w:rPr>
          <w:rFonts w:hint="eastAsia" w:ascii="仿宋_GB2312" w:eastAsia="仿宋_GB2312" w:hAnsiTheme="minorHAnsi" w:cstheme="minorBidi"/>
          <w:b w:val="0"/>
          <w:sz w:val="32"/>
          <w:szCs w:val="32"/>
          <w:lang w:eastAsia="zh-CN"/>
        </w:rPr>
        <w:t>本单位无</w:t>
      </w:r>
      <w:r>
        <w:rPr>
          <w:rFonts w:hint="eastAsia" w:ascii="仿宋_GB2312" w:eastAsia="仿宋_GB2312" w:hAnsiTheme="minorHAnsi" w:cstheme="minorBidi"/>
          <w:b w:val="0"/>
          <w:sz w:val="32"/>
          <w:szCs w:val="32"/>
          <w:lang w:val="zh-CN" w:eastAsia="zh-CN"/>
        </w:rPr>
        <w:t>公务接待费支出</w:t>
      </w:r>
      <w:r>
        <w:rPr>
          <w:rFonts w:hint="eastAsia" w:ascii="仿宋_GB2312" w:eastAsia="仿宋_GB2312" w:hAnsiTheme="minorHAnsi" w:cstheme="minorBidi"/>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（一）机关运行经费及公用经费支出情况</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lang w:eastAsia="zh-CN"/>
        </w:rPr>
      </w:pPr>
      <w:r>
        <w:rPr>
          <w:rFonts w:hint="eastAsia" w:ascii="仿宋_GB2312" w:eastAsia="仿宋_GB2312" w:hAnsiTheme="minorHAnsi" w:cstheme="minorBidi"/>
          <w:b w:val="0"/>
          <w:sz w:val="32"/>
          <w:szCs w:val="32"/>
        </w:rPr>
        <w:t>2024年度库尔勒市哈拉玉宫镇人民政府单位机关运行经费支出360.49万元，比上年增加215.90万元，增长149.32%，主要原因是：</w:t>
      </w:r>
      <w:r>
        <w:rPr>
          <w:rFonts w:hint="eastAsia" w:ascii="仿宋_GB2312" w:eastAsia="仿宋_GB2312" w:cstheme="minorBidi"/>
          <w:b w:val="0"/>
          <w:sz w:val="32"/>
          <w:szCs w:val="32"/>
          <w:lang w:val="en-US" w:eastAsia="zh-CN"/>
        </w:rPr>
        <w:t>2024年追加征收经费偿还历年欠的办公费、取暖费、水电费等的支出</w:t>
      </w:r>
      <w:r>
        <w:rPr>
          <w:rFonts w:hint="eastAsia" w:ascii="仿宋_GB2312" w:eastAsia="仿宋_GB2312" w:hAnsiTheme="minorHAnsi" w:cstheme="minorBidi"/>
          <w:b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（二）政府采购情况</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2024年度政府采购支出总额390.95万元，其中：政府采购货物支出9.35万元、政府采购工程支出374.04万元、政府采购服务支出7.55万元。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授予中小企业合同金额390.95万元，占政府采购支出总额的100.00%，其中：授予小微企业合同金额314.19万元，占政府采购支出总额的80.37%。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（三）国有资产占用情况说明</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截至2024年12月31日，房屋11,550.09平方米，价值1,538.13万元。车辆8辆，价值83.35万元，其中：副部（省）级及以上领导用车0辆、主要负责人用车0辆、机要通信用车0辆、应急保障用车0辆、执法执勤用车0辆、特种专业技术用车0辆、离退休干部服务用车0辆、其他用车8辆，其他用车主要是：</w:t>
      </w:r>
      <w:r>
        <w:rPr>
          <w:rFonts w:hint="eastAsia" w:ascii="仿宋_GB2312" w:eastAsia="仿宋_GB2312" w:hAnsiTheme="minorHAnsi" w:cstheme="minorBidi"/>
          <w:b w:val="0"/>
          <w:sz w:val="32"/>
          <w:szCs w:val="32"/>
          <w:lang w:eastAsia="zh-CN"/>
        </w:rPr>
        <w:t>党委、政府、综治中心、纪检等公务用车</w:t>
      </w:r>
      <w:r>
        <w:rPr>
          <w:rFonts w:hint="eastAsia" w:ascii="仿宋_GB2312" w:eastAsia="仿宋_GB2312" w:hAnsiTheme="minorHAnsi" w:cstheme="minorBidi"/>
          <w:b w:val="0"/>
          <w:sz w:val="32"/>
          <w:szCs w:val="32"/>
        </w:rPr>
        <w:t>;单价100万元（含）以上设备（不含车辆）0台（套）。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根据预算绩效管理要求，本单位2024年度预算绩效管理形成整体支出绩效自评表1个，</w:t>
      </w:r>
      <w:r>
        <w:rPr>
          <w:rFonts w:hint="eastAsia" w:ascii="仿宋_GB2312" w:eastAsia="仿宋_GB2312" w:hAnsiTheme="minorHAnsi" w:cstheme="minorBidi"/>
          <w:b w:val="0"/>
          <w:sz w:val="32"/>
          <w:szCs w:val="32"/>
          <w:highlight w:val="none"/>
        </w:rPr>
        <w:t>全年预算总额5454.37万元，实际执行总额5454.37万元；预算绩效评价项目</w:t>
      </w:r>
      <w:r>
        <w:rPr>
          <w:rFonts w:hint="eastAsia" w:ascii="仿宋_GB2312" w:eastAsia="仿宋_GB2312" w:cstheme="minorBidi"/>
          <w:b w:val="0"/>
          <w:sz w:val="32"/>
          <w:szCs w:val="32"/>
          <w:highlight w:val="none"/>
          <w:lang w:val="en-US" w:eastAsia="zh-CN"/>
        </w:rPr>
        <w:t>9</w:t>
      </w:r>
      <w:r>
        <w:rPr>
          <w:rFonts w:hint="eastAsia" w:ascii="仿宋_GB2312" w:eastAsia="仿宋_GB2312" w:hAnsiTheme="minorHAnsi" w:cstheme="minorBidi"/>
          <w:b w:val="0"/>
          <w:sz w:val="32"/>
          <w:szCs w:val="32"/>
          <w:highlight w:val="none"/>
        </w:rPr>
        <w:t>个，全年预算数</w:t>
      </w:r>
      <w:r>
        <w:rPr>
          <w:rFonts w:hint="eastAsia" w:ascii="仿宋_GB2312" w:eastAsia="仿宋_GB2312" w:cstheme="minorBidi"/>
          <w:b w:val="0"/>
          <w:sz w:val="32"/>
          <w:szCs w:val="32"/>
          <w:highlight w:val="none"/>
          <w:lang w:val="en-US" w:eastAsia="zh-CN"/>
        </w:rPr>
        <w:t>105.46</w:t>
      </w:r>
      <w:r>
        <w:rPr>
          <w:rFonts w:hint="eastAsia" w:ascii="仿宋_GB2312" w:eastAsia="仿宋_GB2312" w:hAnsiTheme="minorHAnsi" w:cstheme="minorBidi"/>
          <w:b w:val="0"/>
          <w:sz w:val="32"/>
          <w:szCs w:val="32"/>
          <w:highlight w:val="none"/>
        </w:rPr>
        <w:t>万元，全年执行数</w:t>
      </w:r>
      <w:r>
        <w:rPr>
          <w:rFonts w:hint="eastAsia" w:ascii="仿宋_GB2312" w:eastAsia="仿宋_GB2312" w:cstheme="minorBidi"/>
          <w:b w:val="0"/>
          <w:sz w:val="32"/>
          <w:szCs w:val="32"/>
          <w:highlight w:val="none"/>
          <w:lang w:val="en-US" w:eastAsia="zh-CN"/>
        </w:rPr>
        <w:t>86.5</w:t>
      </w:r>
      <w:r>
        <w:rPr>
          <w:rFonts w:hint="eastAsia" w:ascii="仿宋_GB2312" w:eastAsia="仿宋_GB2312" w:hAnsiTheme="minorHAnsi" w:cstheme="minorBidi"/>
          <w:b w:val="0"/>
          <w:sz w:val="32"/>
          <w:szCs w:val="32"/>
          <w:highlight w:val="none"/>
        </w:rPr>
        <w:t>万元。预算绩效管理取得的成效：</w:t>
      </w:r>
      <w:r>
        <w:rPr>
          <w:rFonts w:hint="eastAsia" w:ascii="仿宋_GB2312" w:hAnsi="Calibri" w:eastAsia="仿宋_GB2312" w:cs="Times New Roman"/>
          <w:kern w:val="2"/>
          <w:sz w:val="32"/>
          <w:szCs w:val="32"/>
          <w:lang w:val="en-US" w:eastAsia="zh-CN" w:bidi="ar-SA"/>
        </w:rPr>
        <w:t>一是我单位严格按照年初预算以及单位年度工作计划执行预算，严格按照相关规定进行资金管理，做到专款专用、科学管理</w:t>
      </w:r>
      <w:r>
        <w:rPr>
          <w:rFonts w:hint="eastAsia" w:ascii="仿宋_GB2312" w:hAnsi="Calibri" w:eastAsia="仿宋_GB2312" w:cs="Times New Roman"/>
          <w:color w:val="auto"/>
          <w:kern w:val="2"/>
          <w:sz w:val="32"/>
          <w:szCs w:val="32"/>
          <w:lang w:val="en-US" w:eastAsia="zh-CN" w:bidi="ar-SA"/>
        </w:rPr>
        <w:t>，每笔开支都</w:t>
      </w:r>
      <w:r>
        <w:rPr>
          <w:rFonts w:hint="eastAsia" w:ascii="仿宋_GB2312" w:hAnsi="Calibri" w:eastAsia="仿宋_GB2312" w:cs="Times New Roman"/>
          <w:kern w:val="2"/>
          <w:sz w:val="32"/>
          <w:szCs w:val="32"/>
          <w:lang w:val="en-US" w:eastAsia="zh-CN" w:bidi="ar-SA"/>
        </w:rPr>
        <w:t>有相关经办人员签字，做到程序规范，开支合理，勤俭节约，最大限度的提高项目经费的使用效率，保证了项目的顺利进行；二是我单位通过对绩效的进展和效果进行持续的监控，发现并纠正绩效目标实现过程中的各种偏差，以确保本单位绩效目标实现。对单位年初所确定的整体绩效指标、年度预期目标进行3个不同时期，3个不同阶段地监控，对部门整体前期、中期、后期都有清晰地了解</w:t>
      </w:r>
      <w:r>
        <w:rPr>
          <w:rFonts w:hint="eastAsia" w:ascii="仿宋_GB2312" w:eastAsia="仿宋_GB2312" w:hAnsiTheme="minorHAnsi" w:cstheme="minorBidi"/>
          <w:b w:val="0"/>
          <w:sz w:val="32"/>
          <w:szCs w:val="32"/>
          <w:highlight w:val="none"/>
        </w:rPr>
        <w:t>。</w:t>
      </w:r>
      <w:r>
        <w:rPr>
          <w:rFonts w:hint="eastAsia" w:ascii="仿宋_GB2312" w:eastAsia="仿宋_GB2312" w:hAnsiTheme="minorHAnsi" w:cstheme="minorBidi"/>
          <w:b w:val="0"/>
          <w:sz w:val="32"/>
          <w:szCs w:val="32"/>
        </w:rPr>
        <w:t>发现的问题及原因：</w:t>
      </w:r>
      <w:r>
        <w:rPr>
          <w:rFonts w:hint="eastAsia" w:ascii="仿宋_GB2312" w:eastAsia="仿宋_GB2312" w:hAnsiTheme="minorHAnsi" w:cstheme="minorBidi"/>
          <w:b w:val="0"/>
          <w:sz w:val="32"/>
          <w:szCs w:val="32"/>
          <w:lang w:val="en-US" w:eastAsia="zh-CN"/>
        </w:rPr>
        <w:t>一是项目绩效目标完成情况与项目资金支出进度存在脱节情况；二是填报内容过于简单，对绩效目标偏差问题缺乏有效分析，无法监控绩效目标的实现程度，还有待进一步提升预算单位整体绩效管理理念</w:t>
      </w:r>
      <w:r>
        <w:rPr>
          <w:rFonts w:hint="eastAsia" w:ascii="仿宋_GB2312" w:eastAsia="仿宋_GB2312" w:hAnsiTheme="minorHAnsi" w:cstheme="minorBidi"/>
          <w:b w:val="0"/>
          <w:sz w:val="32"/>
          <w:szCs w:val="32"/>
        </w:rPr>
        <w:t>。下一步改进措施：</w:t>
      </w:r>
      <w:r>
        <w:rPr>
          <w:rFonts w:hint="eastAsia" w:ascii="仿宋_GB2312" w:eastAsia="仿宋_GB2312" w:hAnsiTheme="minorHAnsi" w:cstheme="minorBidi"/>
          <w:b w:val="0"/>
          <w:sz w:val="32"/>
          <w:szCs w:val="32"/>
          <w:lang w:val="en-US" w:eastAsia="zh-CN"/>
        </w:rPr>
        <w:t>一是强化项目单位对资金绩效实现情况的责任约束，对专项资金偏离预算绩效目标的支出，及时采取有效措施予以纠正，让资金管理人、使用人皆知“自家的钱怎么花的，花得怎么样，存在什么责任，进一步规范专项资金使用绩效；二是加强财政资金使用效益跟踪“回头看”，针对资金绩效运行状况，及时预控、查找资金使用和管理过程中的薄弱环节，提出纠偏措施；通过预算绩效监控管理，根据每季度的预算绩效监控结果，及时调整项目预算，收回闲置资金，尽量减少财政资金沉淀闲置。进一步加强财政资金统筹安排，提高财政资金使用效益，实现财政支出的科学化精细化管理，</w:t>
      </w:r>
      <w:r>
        <w:rPr>
          <w:rFonts w:hint="eastAsia" w:ascii="仿宋_GB2312" w:eastAsia="仿宋_GB2312" w:hAnsiTheme="minorHAnsi" w:cstheme="minorBidi"/>
          <w:b w:val="0"/>
          <w:sz w:val="32"/>
          <w:szCs w:val="32"/>
        </w:rPr>
        <w:t>具体项目自评情况附项目支出绩效自评表。</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具体附部门整体支出绩效自评表，项目支出绩效自评表和部门评价报告。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本单位无其他需说明事项。</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hAnsiTheme="minorHAnsi" w:cstheme="minorBidi"/>
          <w:b w:val="0"/>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第三部分</w:t>
      </w:r>
      <w:r>
        <w:rPr>
          <w:rFonts w:hint="eastAsia" w:ascii="黑体" w:eastAsia="黑体"/>
          <w:b w:val="0"/>
          <w:sz w:val="32"/>
          <w:szCs w:val="32"/>
          <w:lang w:val="en-US" w:eastAsia="zh-CN"/>
        </w:rPr>
        <w:t xml:space="preserve"> </w:t>
      </w:r>
      <w:r>
        <w:rPr>
          <w:rFonts w:ascii="黑体" w:eastAsia="黑体"/>
          <w:b w:val="0"/>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eastAsia="仿宋_GB2312" w:hAnsiTheme="minorHAnsi" w:cstheme="minorBidi"/>
          <w:b w:val="0"/>
          <w:sz w:val="32"/>
          <w:szCs w:val="32"/>
          <w:lang w:val="en-US" w:eastAsia="zh-CN"/>
        </w:rPr>
      </w:pPr>
      <w:r>
        <w:rPr>
          <w:rFonts w:ascii="仿宋_GB2312" w:eastAsia="仿宋_GB2312"/>
          <w:b/>
          <w:sz w:val="32"/>
          <w:szCs w:val="32"/>
        </w:rPr>
        <w:t>一、财政拨款收入：</w:t>
      </w:r>
      <w:r>
        <w:rPr>
          <w:rFonts w:hint="eastAsia" w:ascii="仿宋_GB2312" w:eastAsia="仿宋_GB2312" w:hAnsiTheme="minorHAnsi" w:cstheme="minorBidi"/>
          <w:b w:val="0"/>
          <w:sz w:val="32"/>
          <w:szCs w:val="32"/>
          <w:lang w:val="en-US" w:eastAsia="zh-CN"/>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hint="eastAsia" w:ascii="仿宋_GB2312" w:eastAsia="仿宋_GB2312" w:hAnsiTheme="minorHAnsi" w:cstheme="minorBidi"/>
          <w:b w:val="0"/>
          <w:sz w:val="32"/>
          <w:szCs w:val="32"/>
          <w:lang w:val="en-US" w:eastAsia="zh-CN"/>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eastAsia="仿宋_GB2312" w:hAnsiTheme="minorHAnsi" w:cstheme="minorBidi"/>
          <w:b w:val="0"/>
          <w:sz w:val="32"/>
          <w:szCs w:val="32"/>
          <w:lang w:val="en-US" w:eastAsia="zh-CN"/>
        </w:rPr>
      </w:pPr>
      <w:r>
        <w:rPr>
          <w:rFonts w:ascii="仿宋_GB2312" w:eastAsia="仿宋_GB2312"/>
          <w:b/>
          <w:sz w:val="32"/>
          <w:szCs w:val="32"/>
        </w:rPr>
        <w:t>三、事业收入：</w:t>
      </w:r>
      <w:r>
        <w:rPr>
          <w:rFonts w:hint="eastAsia" w:ascii="仿宋_GB2312" w:eastAsia="仿宋_GB2312" w:hAnsiTheme="minorHAnsi" w:cstheme="minorBidi"/>
          <w:b w:val="0"/>
          <w:sz w:val="32"/>
          <w:szCs w:val="32"/>
          <w:lang w:val="en-US" w:eastAsia="zh-CN"/>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eastAsia="仿宋_GB2312" w:hAnsiTheme="minorHAnsi" w:cstheme="minorBidi"/>
          <w:b w:val="0"/>
          <w:sz w:val="32"/>
          <w:szCs w:val="32"/>
          <w:lang w:val="en-US" w:eastAsia="zh-CN"/>
        </w:rPr>
      </w:pPr>
      <w:r>
        <w:rPr>
          <w:rFonts w:ascii="仿宋_GB2312" w:eastAsia="仿宋_GB2312"/>
          <w:b/>
          <w:sz w:val="32"/>
          <w:szCs w:val="32"/>
        </w:rPr>
        <w:t>四、经营收入</w:t>
      </w:r>
      <w:r>
        <w:rPr>
          <w:rFonts w:hint="eastAsia" w:ascii="仿宋_GB2312" w:eastAsia="仿宋_GB2312" w:hAnsiTheme="minorHAnsi" w:cstheme="minorBidi"/>
          <w:b w:val="0"/>
          <w:sz w:val="32"/>
          <w:szCs w:val="32"/>
          <w:lang w:val="en-US" w:eastAsia="zh-CN"/>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eastAsia="仿宋_GB2312" w:hAnsiTheme="minorHAnsi" w:cstheme="minorBidi"/>
          <w:b w:val="0"/>
          <w:sz w:val="32"/>
          <w:szCs w:val="32"/>
          <w:lang w:val="en-US" w:eastAsia="zh-CN"/>
        </w:rPr>
      </w:pPr>
      <w:r>
        <w:rPr>
          <w:rFonts w:ascii="仿宋_GB2312" w:eastAsia="仿宋_GB2312"/>
          <w:b/>
          <w:sz w:val="32"/>
          <w:szCs w:val="32"/>
        </w:rPr>
        <w:t>五、附属单位上缴收入：</w:t>
      </w:r>
      <w:r>
        <w:rPr>
          <w:rFonts w:hint="eastAsia" w:ascii="仿宋_GB2312" w:eastAsia="仿宋_GB2312" w:hAnsiTheme="minorHAnsi" w:cstheme="minorBidi"/>
          <w:b w:val="0"/>
          <w:sz w:val="32"/>
          <w:szCs w:val="32"/>
          <w:lang w:val="en-US" w:eastAsia="zh-CN"/>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hint="eastAsia" w:ascii="仿宋_GB2312" w:eastAsia="仿宋_GB2312" w:hAnsiTheme="minorHAnsi" w:cstheme="minorBidi"/>
          <w:b w:val="0"/>
          <w:sz w:val="32"/>
          <w:szCs w:val="32"/>
          <w:lang w:val="en-US" w:eastAsia="zh-CN"/>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eastAsia="仿宋_GB2312" w:hAnsiTheme="minorHAnsi" w:cstheme="minorBidi"/>
          <w:b w:val="0"/>
          <w:sz w:val="32"/>
          <w:szCs w:val="32"/>
          <w:lang w:val="en-US" w:eastAsia="zh-CN"/>
        </w:rPr>
      </w:pPr>
      <w:r>
        <w:rPr>
          <w:rFonts w:ascii="仿宋_GB2312" w:eastAsia="仿宋_GB2312"/>
          <w:b/>
          <w:sz w:val="32"/>
          <w:szCs w:val="32"/>
        </w:rPr>
        <w:t>七、年初结转和结余：</w:t>
      </w:r>
      <w:r>
        <w:rPr>
          <w:rFonts w:hint="eastAsia" w:ascii="仿宋_GB2312" w:eastAsia="仿宋_GB2312" w:hAnsiTheme="minorHAnsi" w:cstheme="minorBidi"/>
          <w:b w:val="0"/>
          <w:sz w:val="32"/>
          <w:szCs w:val="32"/>
          <w:lang w:val="en-US" w:eastAsia="zh-CN"/>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eastAsia="仿宋_GB2312" w:hAnsiTheme="minorHAnsi" w:cstheme="minorBidi"/>
          <w:b w:val="0"/>
          <w:sz w:val="32"/>
          <w:szCs w:val="32"/>
          <w:lang w:val="en-US" w:eastAsia="zh-CN"/>
        </w:rPr>
      </w:pPr>
      <w:r>
        <w:rPr>
          <w:rFonts w:ascii="仿宋_GB2312" w:eastAsia="仿宋_GB2312"/>
          <w:b/>
          <w:sz w:val="32"/>
          <w:szCs w:val="32"/>
        </w:rPr>
        <w:t>八、年末结转和结余：</w:t>
      </w:r>
      <w:r>
        <w:rPr>
          <w:rFonts w:hint="eastAsia" w:ascii="仿宋_GB2312" w:eastAsia="仿宋_GB2312" w:hAnsiTheme="minorHAnsi" w:cstheme="minorBidi"/>
          <w:b w:val="0"/>
          <w:sz w:val="32"/>
          <w:szCs w:val="32"/>
          <w:lang w:val="en-US"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hint="eastAsia" w:ascii="仿宋_GB2312" w:eastAsia="仿宋_GB2312" w:hAnsiTheme="minorHAnsi" w:cstheme="minorBidi"/>
          <w:b w:val="0"/>
          <w:sz w:val="32"/>
          <w:szCs w:val="32"/>
          <w:lang w:val="en-US" w:eastAsia="zh-CN"/>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hint="eastAsia" w:ascii="仿宋_GB2312" w:eastAsia="仿宋_GB2312" w:hAnsiTheme="minorHAnsi" w:cstheme="minorBidi"/>
          <w:b w:val="0"/>
          <w:sz w:val="32"/>
          <w:szCs w:val="32"/>
          <w:lang w:val="en-US" w:eastAsia="zh-CN"/>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eastAsia="仿宋_GB2312" w:hAnsiTheme="minorHAnsi" w:cstheme="minorBidi"/>
          <w:b w:val="0"/>
          <w:sz w:val="32"/>
          <w:szCs w:val="32"/>
          <w:lang w:val="en-US" w:eastAsia="zh-CN"/>
        </w:rPr>
      </w:pPr>
      <w:r>
        <w:rPr>
          <w:rFonts w:ascii="仿宋_GB2312" w:eastAsia="仿宋_GB2312"/>
          <w:b/>
          <w:sz w:val="32"/>
          <w:szCs w:val="32"/>
        </w:rPr>
        <w:t>十一、经营支出：</w:t>
      </w:r>
      <w:r>
        <w:rPr>
          <w:rFonts w:hint="eastAsia" w:ascii="仿宋_GB2312" w:eastAsia="仿宋_GB2312" w:hAnsiTheme="minorHAnsi" w:cstheme="minorBidi"/>
          <w:b w:val="0"/>
          <w:sz w:val="32"/>
          <w:szCs w:val="32"/>
          <w:lang w:val="en-US" w:eastAsia="zh-CN"/>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hint="eastAsia" w:ascii="仿宋_GB2312" w:eastAsia="仿宋_GB2312" w:hAnsiTheme="minorHAnsi" w:cstheme="minorBidi"/>
          <w:b w:val="0"/>
          <w:sz w:val="32"/>
          <w:szCs w:val="32"/>
          <w:lang w:val="en-US" w:eastAsia="zh-CN"/>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eastAsia="仿宋_GB2312" w:hAnsiTheme="minorHAnsi" w:cstheme="minorBidi"/>
          <w:b w:val="0"/>
          <w:sz w:val="32"/>
          <w:szCs w:val="32"/>
          <w:lang w:val="en-US" w:eastAsia="zh-CN"/>
        </w:rPr>
      </w:pPr>
      <w:r>
        <w:rPr>
          <w:rFonts w:ascii="仿宋_GB2312" w:eastAsia="仿宋_GB2312"/>
          <w:b/>
          <w:sz w:val="32"/>
          <w:szCs w:val="32"/>
        </w:rPr>
        <w:t>十三、“三公”经费：</w:t>
      </w:r>
      <w:r>
        <w:rPr>
          <w:rFonts w:hint="eastAsia" w:ascii="仿宋_GB2312" w:eastAsia="仿宋_GB2312" w:hAnsiTheme="minorHAnsi" w:cstheme="minorBidi"/>
          <w:b w:val="0"/>
          <w:sz w:val="32"/>
          <w:szCs w:val="32"/>
          <w:lang w:val="en-US"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eastAsia" w:ascii="仿宋_GB2312" w:eastAsia="仿宋_GB2312" w:hAnsiTheme="minorHAnsi" w:cstheme="minorBidi"/>
          <w:b w:val="0"/>
          <w:sz w:val="32"/>
          <w:szCs w:val="32"/>
          <w:lang w:val="en-US" w:eastAsia="zh-CN"/>
        </w:rPr>
      </w:pPr>
      <w:r>
        <w:rPr>
          <w:rFonts w:ascii="仿宋_GB2312" w:eastAsia="仿宋_GB2312"/>
          <w:b/>
          <w:sz w:val="32"/>
          <w:szCs w:val="32"/>
        </w:rPr>
        <w:t>十四、机关运行经费：</w:t>
      </w:r>
      <w:r>
        <w:rPr>
          <w:rFonts w:hint="eastAsia" w:ascii="仿宋_GB2312" w:eastAsia="仿宋_GB2312" w:hAnsiTheme="minorHAnsi" w:cstheme="minorBidi"/>
          <w:b w:val="0"/>
          <w:sz w:val="32"/>
          <w:szCs w:val="32"/>
          <w:lang w:val="en-US" w:eastAsia="zh-CN"/>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第四部分</w:t>
      </w:r>
      <w:r>
        <w:rPr>
          <w:rFonts w:hint="eastAsia" w:ascii="黑体" w:eastAsia="黑体"/>
          <w:b w:val="0"/>
          <w:sz w:val="32"/>
          <w:szCs w:val="32"/>
          <w:lang w:val="en-US" w:eastAsia="zh-CN"/>
        </w:rPr>
        <w:t xml:space="preserve"> </w:t>
      </w:r>
      <w:r>
        <w:rPr>
          <w:rFonts w:ascii="黑体" w:eastAsia="黑体"/>
          <w:b w:val="0"/>
          <w:sz w:val="32"/>
          <w:szCs w:val="32"/>
        </w:rPr>
        <w:t>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b w:val="0"/>
          <w:sz w:val="32"/>
          <w:szCs w:val="32"/>
        </w:rPr>
      </w:pPr>
      <w:r>
        <w:rPr>
          <w:rFonts w:ascii="仿宋_GB2312" w:eastAsia="仿宋_GB2312"/>
          <w:b w:val="0"/>
          <w:sz w:val="32"/>
          <w:szCs w:val="32"/>
        </w:rPr>
        <w:t>九、《财政拨款“三公”经费支出决算表》</w:t>
      </w:r>
    </w:p>
    <w:p>
      <w:pPr>
        <w:pStyle w:val="3"/>
        <w:numPr>
          <w:ilvl w:val="0"/>
          <w:numId w:val="0"/>
        </w:numPr>
      </w:pPr>
    </w:p>
    <w:p/>
    <w:p>
      <w:pPr>
        <w:pStyle w:val="3"/>
        <w:numPr>
          <w:ilvl w:val="0"/>
          <w:numId w:val="0"/>
        </w:numPr>
        <w:tabs>
          <w:tab w:val="clear" w:pos="851"/>
        </w:tabs>
        <w:ind w:left="11" w:leftChars="0" w:hanging="11" w:firstLineChars="0"/>
      </w:pPr>
    </w:p>
    <w:p/>
    <w:p>
      <w:pPr>
        <w:rPr>
          <w:rFonts w:hint="eastAsia"/>
          <w:lang w:val="en-US" w:eastAsia="zh-CN"/>
        </w:rPr>
        <w:sectPr>
          <w:pgSz w:w="12240" w:h="15840"/>
          <w:pgMar w:top="1440" w:right="1800" w:bottom="1440" w:left="1800" w:header="720" w:footer="720" w:gutter="0"/>
          <w:cols w:space="720" w:num="1"/>
        </w:sectPr>
      </w:pPr>
    </w:p>
    <w:p>
      <w:pPr>
        <w:pStyle w:val="3"/>
        <w:rPr>
          <w:rFonts w:hint="eastAsia"/>
          <w:lang w:val="en-US" w:eastAsia="zh-CN"/>
        </w:rPr>
        <w:sectPr>
          <w:pgSz w:w="12240" w:h="15840"/>
          <w:pgMar w:top="1440" w:right="1800" w:bottom="1440" w:left="1800" w:header="720" w:footer="720" w:gutter="0"/>
          <w:cols w:space="720" w:num="1"/>
        </w:sectPr>
      </w:pPr>
      <w:r>
        <w:drawing>
          <wp:anchor distT="0" distB="0" distL="114300" distR="114300" simplePos="0" relativeHeight="251659264" behindDoc="0" locked="0" layoutInCell="1" allowOverlap="1">
            <wp:simplePos x="0" y="0"/>
            <wp:positionH relativeFrom="column">
              <wp:posOffset>102870</wp:posOffset>
            </wp:positionH>
            <wp:positionV relativeFrom="page">
              <wp:posOffset>1066800</wp:posOffset>
            </wp:positionV>
            <wp:extent cx="5479415" cy="4796790"/>
            <wp:effectExtent l="0" t="0" r="6985" b="381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479415" cy="4796790"/>
                    </a:xfrm>
                    <a:prstGeom prst="rect">
                      <a:avLst/>
                    </a:prstGeom>
                    <a:noFill/>
                    <a:ln>
                      <a:noFill/>
                    </a:ln>
                  </pic:spPr>
                </pic:pic>
              </a:graphicData>
            </a:graphic>
          </wp:anchor>
        </w:drawing>
      </w:r>
    </w:p>
    <w:p>
      <w:pPr>
        <w:rPr>
          <w:rFonts w:hint="eastAsia"/>
          <w:lang w:val="en-US" w:eastAsia="zh-CN"/>
        </w:rPr>
        <w:sectPr>
          <w:pgSz w:w="12240" w:h="15840"/>
          <w:pgMar w:top="1440" w:right="1800" w:bottom="1440" w:left="1800" w:header="720" w:footer="720" w:gutter="0"/>
          <w:cols w:space="720" w:num="1"/>
        </w:sectPr>
      </w:pPr>
      <w:r>
        <w:drawing>
          <wp:anchor distT="0" distB="0" distL="114300" distR="114300" simplePos="0" relativeHeight="251660288" behindDoc="0" locked="0" layoutInCell="1" allowOverlap="1">
            <wp:simplePos x="0" y="0"/>
            <wp:positionH relativeFrom="column">
              <wp:posOffset>0</wp:posOffset>
            </wp:positionH>
            <wp:positionV relativeFrom="page">
              <wp:posOffset>914400</wp:posOffset>
            </wp:positionV>
            <wp:extent cx="5475605" cy="6325235"/>
            <wp:effectExtent l="0" t="0" r="10795" b="1841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475605" cy="6325235"/>
                    </a:xfrm>
                    <a:prstGeom prst="rect">
                      <a:avLst/>
                    </a:prstGeom>
                    <a:noFill/>
                    <a:ln>
                      <a:noFill/>
                    </a:ln>
                  </pic:spPr>
                </pic:pic>
              </a:graphicData>
            </a:graphic>
          </wp:anchor>
        </w:drawing>
      </w:r>
    </w:p>
    <w:p>
      <w:pPr>
        <w:pStyle w:val="3"/>
        <w:rPr>
          <w:rFonts w:hint="eastAsia"/>
          <w:lang w:val="en-US" w:eastAsia="zh-CN"/>
        </w:rPr>
        <w:sectPr>
          <w:pgSz w:w="12240" w:h="15840"/>
          <w:pgMar w:top="1440" w:right="1800" w:bottom="1440" w:left="1800" w:header="720" w:footer="720" w:gutter="0"/>
          <w:cols w:space="720" w:num="1"/>
        </w:sectPr>
      </w:pPr>
      <w:r>
        <w:drawing>
          <wp:anchor distT="0" distB="0" distL="114300" distR="114300" simplePos="0" relativeHeight="251661312" behindDoc="0" locked="0" layoutInCell="1" allowOverlap="1">
            <wp:simplePos x="0" y="0"/>
            <wp:positionH relativeFrom="column">
              <wp:posOffset>-67945</wp:posOffset>
            </wp:positionH>
            <wp:positionV relativeFrom="page">
              <wp:posOffset>966470</wp:posOffset>
            </wp:positionV>
            <wp:extent cx="5483225" cy="7616190"/>
            <wp:effectExtent l="0" t="0" r="3175" b="381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483225" cy="7616190"/>
                    </a:xfrm>
                    <a:prstGeom prst="rect">
                      <a:avLst/>
                    </a:prstGeom>
                    <a:noFill/>
                    <a:ln>
                      <a:noFill/>
                    </a:ln>
                  </pic:spPr>
                </pic:pic>
              </a:graphicData>
            </a:graphic>
          </wp:anchor>
        </w:drawing>
      </w:r>
    </w:p>
    <w:p>
      <w:pPr>
        <w:rPr>
          <w:rFonts w:hint="eastAsia"/>
          <w:lang w:val="en-US" w:eastAsia="zh-CN"/>
        </w:rPr>
        <w:sectPr>
          <w:pgSz w:w="12240" w:h="15840"/>
          <w:pgMar w:top="1440" w:right="1800" w:bottom="1440" w:left="1800" w:header="720" w:footer="720" w:gutter="0"/>
          <w:cols w:space="720" w:num="1"/>
        </w:sectPr>
      </w:pPr>
      <w:r>
        <w:drawing>
          <wp:anchor distT="0" distB="0" distL="114300" distR="114300" simplePos="0" relativeHeight="251662336" behindDoc="0" locked="0" layoutInCell="1" allowOverlap="1">
            <wp:simplePos x="0" y="0"/>
            <wp:positionH relativeFrom="column">
              <wp:posOffset>0</wp:posOffset>
            </wp:positionH>
            <wp:positionV relativeFrom="page">
              <wp:posOffset>914400</wp:posOffset>
            </wp:positionV>
            <wp:extent cx="5485130" cy="6038850"/>
            <wp:effectExtent l="0" t="0" r="1270" b="1143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485130" cy="6038850"/>
                    </a:xfrm>
                    <a:prstGeom prst="rect">
                      <a:avLst/>
                    </a:prstGeom>
                    <a:noFill/>
                    <a:ln>
                      <a:noFill/>
                    </a:ln>
                  </pic:spPr>
                </pic:pic>
              </a:graphicData>
            </a:graphic>
          </wp:anchor>
        </w:drawing>
      </w:r>
    </w:p>
    <w:p>
      <w:pPr>
        <w:pStyle w:val="3"/>
        <w:numPr>
          <w:ilvl w:val="0"/>
          <w:numId w:val="0"/>
        </w:numPr>
        <w:ind w:left="1260" w:leftChars="0"/>
        <w:rPr>
          <w:rFonts w:hint="eastAsia"/>
          <w:lang w:val="en-US" w:eastAsia="zh-CN"/>
        </w:rPr>
        <w:sectPr>
          <w:pgSz w:w="12240" w:h="15840"/>
          <w:pgMar w:top="1440" w:right="1800" w:bottom="1440" w:left="1800" w:header="720" w:footer="720" w:gutter="0"/>
          <w:cols w:space="720" w:num="1"/>
        </w:sectPr>
      </w:pPr>
      <w:r>
        <w:drawing>
          <wp:anchor distT="0" distB="0" distL="114300" distR="114300" simplePos="0" relativeHeight="251663360" behindDoc="0" locked="0" layoutInCell="1" allowOverlap="1">
            <wp:simplePos x="0" y="0"/>
            <wp:positionH relativeFrom="column">
              <wp:posOffset>-14605</wp:posOffset>
            </wp:positionH>
            <wp:positionV relativeFrom="page">
              <wp:posOffset>1105535</wp:posOffset>
            </wp:positionV>
            <wp:extent cx="5479415" cy="8487410"/>
            <wp:effectExtent l="0" t="0" r="6985" b="889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479415" cy="8487410"/>
                    </a:xfrm>
                    <a:prstGeom prst="rect">
                      <a:avLst/>
                    </a:prstGeom>
                    <a:noFill/>
                    <a:ln>
                      <a:noFill/>
                    </a:ln>
                  </pic:spPr>
                </pic:pic>
              </a:graphicData>
            </a:graphic>
          </wp:anchor>
        </w:drawing>
      </w:r>
    </w:p>
    <w:p>
      <w:pPr>
        <w:rPr>
          <w:rFonts w:hint="eastAsia"/>
          <w:lang w:val="en-US" w:eastAsia="zh-CN"/>
        </w:rPr>
        <w:sectPr>
          <w:pgSz w:w="12240" w:h="15840"/>
          <w:pgMar w:top="1440" w:right="1800" w:bottom="1440" w:left="1800" w:header="720" w:footer="720" w:gutter="0"/>
          <w:cols w:space="720" w:num="1"/>
        </w:sectPr>
      </w:pPr>
      <w:r>
        <w:drawing>
          <wp:anchor distT="0" distB="0" distL="114300" distR="114300" simplePos="0" relativeHeight="251664384" behindDoc="0" locked="0" layoutInCell="1" allowOverlap="1">
            <wp:simplePos x="0" y="0"/>
            <wp:positionH relativeFrom="column">
              <wp:posOffset>0</wp:posOffset>
            </wp:positionH>
            <wp:positionV relativeFrom="page">
              <wp:posOffset>914400</wp:posOffset>
            </wp:positionV>
            <wp:extent cx="5479415" cy="5486400"/>
            <wp:effectExtent l="0" t="0" r="6985"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479415" cy="5486400"/>
                    </a:xfrm>
                    <a:prstGeom prst="rect">
                      <a:avLst/>
                    </a:prstGeom>
                    <a:noFill/>
                    <a:ln>
                      <a:noFill/>
                    </a:ln>
                  </pic:spPr>
                </pic:pic>
              </a:graphicData>
            </a:graphic>
          </wp:anchor>
        </w:drawing>
      </w:r>
    </w:p>
    <w:p>
      <w:pPr>
        <w:pStyle w:val="3"/>
        <w:numPr>
          <w:ilvl w:val="0"/>
          <w:numId w:val="0"/>
        </w:numPr>
        <w:ind w:left="1260" w:leftChars="0"/>
        <w:rPr>
          <w:rFonts w:hint="eastAsia"/>
          <w:lang w:val="en-US" w:eastAsia="zh-CN"/>
        </w:rPr>
        <w:sectPr>
          <w:pgSz w:w="12240" w:h="15840"/>
          <w:pgMar w:top="1440" w:right="1800" w:bottom="1440" w:left="1800" w:header="720" w:footer="720" w:gutter="0"/>
          <w:cols w:space="720" w:num="1"/>
        </w:sectPr>
      </w:pPr>
      <w:r>
        <w:drawing>
          <wp:anchor distT="0" distB="0" distL="114300" distR="114300" simplePos="0" relativeHeight="251665408" behindDoc="0" locked="0" layoutInCell="1" allowOverlap="1">
            <wp:simplePos x="0" y="0"/>
            <wp:positionH relativeFrom="column">
              <wp:posOffset>112395</wp:posOffset>
            </wp:positionH>
            <wp:positionV relativeFrom="page">
              <wp:posOffset>1443355</wp:posOffset>
            </wp:positionV>
            <wp:extent cx="5480050" cy="2590165"/>
            <wp:effectExtent l="0" t="0" r="6350" b="63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480050" cy="2590165"/>
                    </a:xfrm>
                    <a:prstGeom prst="rect">
                      <a:avLst/>
                    </a:prstGeom>
                    <a:noFill/>
                    <a:ln>
                      <a:noFill/>
                    </a:ln>
                  </pic:spPr>
                </pic:pic>
              </a:graphicData>
            </a:graphic>
          </wp:anchor>
        </w:drawing>
      </w:r>
    </w:p>
    <w:p>
      <w:pPr>
        <w:rPr>
          <w:rFonts w:hint="eastAsia"/>
          <w:lang w:val="en-US" w:eastAsia="zh-CN"/>
        </w:rPr>
        <w:sectPr>
          <w:pgSz w:w="12240" w:h="15840"/>
          <w:pgMar w:top="1440" w:right="1800" w:bottom="1440" w:left="1800" w:header="720" w:footer="720" w:gutter="0"/>
          <w:cols w:space="720" w:num="1"/>
        </w:sectPr>
      </w:pPr>
      <w:r>
        <w:drawing>
          <wp:inline distT="0" distB="0" distL="114300" distR="114300">
            <wp:extent cx="5478145" cy="1699260"/>
            <wp:effectExtent l="0" t="0" r="8255" b="152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478145" cy="1699260"/>
                    </a:xfrm>
                    <a:prstGeom prst="rect">
                      <a:avLst/>
                    </a:prstGeom>
                    <a:noFill/>
                    <a:ln>
                      <a:noFill/>
                    </a:ln>
                  </pic:spPr>
                </pic:pic>
              </a:graphicData>
            </a:graphic>
          </wp:inline>
        </w:drawing>
      </w:r>
    </w:p>
    <w:p>
      <w:pPr>
        <w:pStyle w:val="3"/>
        <w:numPr>
          <w:ilvl w:val="0"/>
          <w:numId w:val="0"/>
        </w:numPr>
        <w:ind w:left="1260" w:leftChars="0"/>
        <w:rPr>
          <w:rFonts w:hint="eastAsia"/>
          <w:lang w:val="en-US" w:eastAsia="zh-CN"/>
        </w:rPr>
      </w:pPr>
      <w:r>
        <w:drawing>
          <wp:anchor distT="0" distB="0" distL="114300" distR="114300" simplePos="0" relativeHeight="251666432" behindDoc="0" locked="0" layoutInCell="1" allowOverlap="1">
            <wp:simplePos x="0" y="0"/>
            <wp:positionH relativeFrom="column">
              <wp:posOffset>48260</wp:posOffset>
            </wp:positionH>
            <wp:positionV relativeFrom="page">
              <wp:posOffset>1411605</wp:posOffset>
            </wp:positionV>
            <wp:extent cx="5476240" cy="1541780"/>
            <wp:effectExtent l="0" t="0" r="10160" b="127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476240" cy="1541780"/>
                    </a:xfrm>
                    <a:prstGeom prst="rect">
                      <a:avLst/>
                    </a:prstGeom>
                    <a:noFill/>
                    <a:ln>
                      <a:noFill/>
                    </a:ln>
                  </pic:spPr>
                </pic:pic>
              </a:graphicData>
            </a:graphic>
          </wp:anchor>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left="20" w:firstLine="640" w:firstLineChars="200"/>
      </w:pPr>
      <w:rPr>
        <w:rFonts w:hint="default"/>
        <w:b w:val="0"/>
        <w:bCs w:val="0"/>
        <w:sz w:val="28"/>
        <w:szCs w:val="28"/>
      </w:r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abstractNum w:abstractNumId="1">
    <w:nsid w:val="69E77EF5"/>
    <w:multiLevelType w:val="multilevel"/>
    <w:tmpl w:val="69E77EF5"/>
    <w:lvl w:ilvl="0" w:tentative="0">
      <w:start w:val="1"/>
      <w:numFmt w:val="chineseCounting"/>
      <w:pStyle w:val="3"/>
      <w:suff w:val="nothing"/>
      <w:lvlText w:val="%1、"/>
      <w:lvlJc w:val="left"/>
      <w:pPr>
        <w:tabs>
          <w:tab w:val="left" w:pos="851"/>
        </w:tabs>
        <w:ind w:left="1260" w:firstLine="0"/>
      </w:pPr>
      <w:rPr>
        <w:rFonts w:hint="eastAsia" w:eastAsia="黑体"/>
        <w:sz w:val="32"/>
        <w:lang w:val="en-US"/>
      </w:rPr>
    </w:lvl>
    <w:lvl w:ilvl="1" w:tentative="0">
      <w:start w:val="1"/>
      <w:numFmt w:val="chineseCounting"/>
      <w:suff w:val="nothing"/>
      <w:lvlText w:val="（%2）"/>
      <w:lvlJc w:val="left"/>
      <w:pPr>
        <w:ind w:left="1260" w:firstLine="0"/>
      </w:pPr>
      <w:rPr>
        <w:rFonts w:hint="eastAsia"/>
      </w:rPr>
    </w:lvl>
    <w:lvl w:ilvl="2" w:tentative="0">
      <w:start w:val="1"/>
      <w:numFmt w:val="decimal"/>
      <w:suff w:val="nothing"/>
      <w:lvlText w:val="%3．"/>
      <w:lvlJc w:val="left"/>
      <w:pPr>
        <w:ind w:left="1260" w:firstLine="400"/>
      </w:pPr>
      <w:rPr>
        <w:rFonts w:hint="eastAsia"/>
      </w:rPr>
    </w:lvl>
    <w:lvl w:ilvl="3" w:tentative="0">
      <w:start w:val="1"/>
      <w:numFmt w:val="decimal"/>
      <w:suff w:val="nothing"/>
      <w:lvlText w:val="（%4）"/>
      <w:lvlJc w:val="left"/>
      <w:pPr>
        <w:ind w:left="1260" w:firstLine="402"/>
      </w:pPr>
      <w:rPr>
        <w:rFonts w:hint="eastAsia"/>
      </w:rPr>
    </w:lvl>
    <w:lvl w:ilvl="4" w:tentative="0">
      <w:start w:val="1"/>
      <w:numFmt w:val="decimalEnclosedCircleChinese"/>
      <w:suff w:val="nothing"/>
      <w:lvlText w:val="%5"/>
      <w:lvlJc w:val="left"/>
      <w:pPr>
        <w:ind w:left="1260" w:firstLine="402"/>
      </w:pPr>
      <w:rPr>
        <w:rFonts w:hint="eastAsia"/>
      </w:rPr>
    </w:lvl>
    <w:lvl w:ilvl="5" w:tentative="0">
      <w:start w:val="1"/>
      <w:numFmt w:val="decimal"/>
      <w:suff w:val="nothing"/>
      <w:lvlText w:val="%6）"/>
      <w:lvlJc w:val="left"/>
      <w:pPr>
        <w:ind w:left="1260" w:firstLine="402"/>
      </w:pPr>
      <w:rPr>
        <w:rFonts w:hint="eastAsia"/>
      </w:rPr>
    </w:lvl>
    <w:lvl w:ilvl="6" w:tentative="0">
      <w:start w:val="1"/>
      <w:numFmt w:val="lowerLetter"/>
      <w:suff w:val="nothing"/>
      <w:lvlText w:val="%7．"/>
      <w:lvlJc w:val="left"/>
      <w:pPr>
        <w:ind w:left="1260" w:firstLine="402"/>
      </w:pPr>
      <w:rPr>
        <w:rFonts w:hint="eastAsia"/>
      </w:rPr>
    </w:lvl>
    <w:lvl w:ilvl="7" w:tentative="0">
      <w:start w:val="1"/>
      <w:numFmt w:val="lowerLetter"/>
      <w:suff w:val="nothing"/>
      <w:lvlText w:val="%8）"/>
      <w:lvlJc w:val="left"/>
      <w:pPr>
        <w:ind w:left="1260" w:firstLine="402"/>
      </w:pPr>
      <w:rPr>
        <w:rFonts w:hint="eastAsia"/>
      </w:rPr>
    </w:lvl>
    <w:lvl w:ilvl="8" w:tentative="0">
      <w:start w:val="1"/>
      <w:numFmt w:val="lowerRoman"/>
      <w:suff w:val="nothing"/>
      <w:lvlText w:val="%9 "/>
      <w:lvlJc w:val="left"/>
      <w:pPr>
        <w:ind w:left="126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B2B2D"/>
    <w:rsid w:val="00F00F24"/>
    <w:rsid w:val="00F7048E"/>
    <w:rsid w:val="010A225C"/>
    <w:rsid w:val="02140356"/>
    <w:rsid w:val="02B82690"/>
    <w:rsid w:val="03BB5103"/>
    <w:rsid w:val="06212547"/>
    <w:rsid w:val="0966379B"/>
    <w:rsid w:val="09D30E29"/>
    <w:rsid w:val="0C0018ED"/>
    <w:rsid w:val="0D172651"/>
    <w:rsid w:val="0D64646B"/>
    <w:rsid w:val="10D153AA"/>
    <w:rsid w:val="13C52EF3"/>
    <w:rsid w:val="1543198F"/>
    <w:rsid w:val="157A21F8"/>
    <w:rsid w:val="16392173"/>
    <w:rsid w:val="174E54A9"/>
    <w:rsid w:val="17B74DD3"/>
    <w:rsid w:val="18642C64"/>
    <w:rsid w:val="19A03254"/>
    <w:rsid w:val="1DA36FEC"/>
    <w:rsid w:val="1ED32ABB"/>
    <w:rsid w:val="207E0EE8"/>
    <w:rsid w:val="233144D7"/>
    <w:rsid w:val="265615BE"/>
    <w:rsid w:val="28474A0E"/>
    <w:rsid w:val="28D978C7"/>
    <w:rsid w:val="296E26E4"/>
    <w:rsid w:val="2ACA464F"/>
    <w:rsid w:val="2E472E3E"/>
    <w:rsid w:val="304C54D3"/>
    <w:rsid w:val="312F1500"/>
    <w:rsid w:val="331404B6"/>
    <w:rsid w:val="33CC0B51"/>
    <w:rsid w:val="367941EA"/>
    <w:rsid w:val="3D9D0CCB"/>
    <w:rsid w:val="3EFA3CF4"/>
    <w:rsid w:val="40454A4C"/>
    <w:rsid w:val="463E40A3"/>
    <w:rsid w:val="470115AB"/>
    <w:rsid w:val="481D7FE6"/>
    <w:rsid w:val="4A1F3543"/>
    <w:rsid w:val="4BD941D2"/>
    <w:rsid w:val="4EB06368"/>
    <w:rsid w:val="4ECE7BD3"/>
    <w:rsid w:val="50472573"/>
    <w:rsid w:val="50EA33BE"/>
    <w:rsid w:val="528479A0"/>
    <w:rsid w:val="528F5471"/>
    <w:rsid w:val="55141220"/>
    <w:rsid w:val="55AD3606"/>
    <w:rsid w:val="563437E7"/>
    <w:rsid w:val="57275DF6"/>
    <w:rsid w:val="5824592A"/>
    <w:rsid w:val="5AF97013"/>
    <w:rsid w:val="5B453392"/>
    <w:rsid w:val="5D601E64"/>
    <w:rsid w:val="60461863"/>
    <w:rsid w:val="63481815"/>
    <w:rsid w:val="63B61627"/>
    <w:rsid w:val="641448C8"/>
    <w:rsid w:val="67584DCE"/>
    <w:rsid w:val="69952142"/>
    <w:rsid w:val="69CC7A33"/>
    <w:rsid w:val="6C8A4338"/>
    <w:rsid w:val="6CAC47F5"/>
    <w:rsid w:val="6D0D17E9"/>
    <w:rsid w:val="6EDC6062"/>
    <w:rsid w:val="6FCB1D04"/>
    <w:rsid w:val="72A20DF3"/>
    <w:rsid w:val="733E7239"/>
    <w:rsid w:val="74422088"/>
    <w:rsid w:val="7460159D"/>
    <w:rsid w:val="752858E1"/>
    <w:rsid w:val="75A00C3A"/>
    <w:rsid w:val="7A910421"/>
    <w:rsid w:val="7CF035DF"/>
    <w:rsid w:val="7FA11B43"/>
    <w:rsid w:val="7FF477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3">
    <w:name w:val="heading 1"/>
    <w:basedOn w:val="1"/>
    <w:next w:val="1"/>
    <w:qFormat/>
    <w:uiPriority w:val="9"/>
    <w:pPr>
      <w:keepNext/>
      <w:keepLines/>
      <w:numPr>
        <w:ilvl w:val="0"/>
        <w:numId w:val="1"/>
      </w:numPr>
      <w:tabs>
        <w:tab w:val="left" w:pos="0"/>
      </w:tabs>
      <w:spacing w:line="576" w:lineRule="auto"/>
      <w:outlineLvl w:val="0"/>
    </w:pPr>
    <w:rPr>
      <w:b/>
      <w:kern w:val="44"/>
      <w:sz w:val="44"/>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6">
    <w:name w:val="List Paragraph"/>
    <w:basedOn w:val="1"/>
    <w:qFormat/>
    <w:uiPriority w:val="0"/>
    <w:pPr>
      <w:ind w:firstLine="420" w:firstLineChars="200"/>
    </w:pPr>
  </w:style>
  <w:style w:type="paragraph" w:customStyle="1" w:styleId="7">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32</Pages>
  <Words>6428</Words>
  <Characters>7571</Characters>
  <TotalTime>0</TotalTime>
  <ScaleCrop>false</ScaleCrop>
  <LinksUpToDate>false</LinksUpToDate>
  <CharactersWithSpaces>7573</CharactersWithSpaces>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2025-08-13T08:35:00Z</dcterms:created>
  <dc:creator>Administrator</dc:creator>
  <cp:lastModifiedBy>Administrator</cp:lastModifiedBy>
  <dcterms:modified xsi:type="dcterms:W3CDTF">2025-11-18T08:21:15Z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F6F66279DF67401E83EC4668FBE189DD</vt:lpwstr>
  </property>
  <property fmtid="{D5CDD505-2E9C-101B-9397-08002B2CF9AE}" pid="4" name="KSOTemplateDocerSaveRecord">
    <vt:lpwstr>eyJoZGlkIjoiYWM5MDE2NGYwMGE1YjY5YWVjYTgwN2E3N2ViNDAyMWIiLCJ1c2VySWQiOiI3MzQ0NTk1NzcifQ==</vt:lpwstr>
  </property>
</Properties>
</file>