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line="560" w:lineRule="exact"/>
        <w:jc w:val="left"/>
        <w:textAlignment w:val="auto"/>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keepNext w:val="0"/>
        <w:keepLines w:val="0"/>
        <w:pageBreakBefore w:val="0"/>
        <w:kinsoku/>
        <w:wordWrap/>
        <w:overflowPunct/>
        <w:topLinePunct w:val="0"/>
        <w:autoSpaceDE/>
        <w:autoSpaceDN/>
        <w:bidi w:val="0"/>
        <w:adjustRightIn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pacing w:line="560" w:lineRule="exact"/>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w:t>
      </w:r>
      <w:r>
        <w:rPr>
          <w:rFonts w:hint="eastAsia" w:ascii="仿宋_GB2312" w:hAnsi="宋体" w:eastAsia="仿宋_GB2312"/>
          <w:b/>
          <w:sz w:val="32"/>
          <w:szCs w:val="32"/>
          <w:lang w:val="en-US" w:eastAsia="zh-CN"/>
        </w:rPr>
        <w:t>4</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textAlignment w:val="auto"/>
        <w:rPr>
          <w:rFonts w:hint="eastAsia" w:ascii="方正仿宋_GBK" w:hAnsi="方正仿宋_GBK" w:eastAsia="方正仿宋_GBK" w:cs="方正仿宋_GBK"/>
          <w:kern w:val="0"/>
          <w:sz w:val="36"/>
          <w:szCs w:val="31"/>
        </w:rPr>
      </w:pPr>
    </w:p>
    <w:p>
      <w:pPr>
        <w:keepNext w:val="0"/>
        <w:keepLines w:val="0"/>
        <w:pageBreakBefore w:val="0"/>
        <w:kinsoku/>
        <w:wordWrap/>
        <w:overflowPunct/>
        <w:topLinePunct w:val="0"/>
        <w:autoSpaceDE/>
        <w:autoSpaceDN/>
        <w:bidi w:val="0"/>
        <w:adjustRightInd/>
        <w:spacing w:line="560" w:lineRule="exact"/>
        <w:ind w:firstLine="720" w:firstLineChars="200"/>
        <w:textAlignment w:val="auto"/>
        <w:rPr>
          <w:rFonts w:hint="eastAsia" w:ascii="方正仿宋_GBK" w:hAnsi="方正仿宋_GBK" w:eastAsia="方正仿宋_GBK" w:cs="方正仿宋_GBK"/>
          <w:kern w:val="0"/>
          <w:sz w:val="36"/>
          <w:szCs w:val="31"/>
        </w:rPr>
      </w:pPr>
      <w:r>
        <w:rPr>
          <w:rFonts w:hint="eastAsia" w:ascii="方正仿宋_GBK" w:hAnsi="方正仿宋_GBK" w:eastAsia="方正仿宋_GBK" w:cs="方正仿宋_GBK"/>
          <w:kern w:val="0"/>
          <w:sz w:val="36"/>
          <w:szCs w:val="31"/>
        </w:rPr>
        <w:t>部门单位名称（公章）：库尔勒市哈拉玉宫乡人民政府</w:t>
      </w:r>
    </w:p>
    <w:p>
      <w:pPr>
        <w:keepNext w:val="0"/>
        <w:keepLines w:val="0"/>
        <w:pageBreakBefore w:val="0"/>
        <w:kinsoku/>
        <w:wordWrap/>
        <w:overflowPunct/>
        <w:topLinePunct w:val="0"/>
        <w:autoSpaceDE/>
        <w:autoSpaceDN/>
        <w:bidi w:val="0"/>
        <w:adjustRightInd/>
        <w:spacing w:line="560" w:lineRule="exact"/>
        <w:ind w:firstLine="720" w:firstLineChars="200"/>
        <w:textAlignment w:val="auto"/>
        <w:rPr>
          <w:rFonts w:hint="eastAsia" w:ascii="方正仿宋_GBK" w:hAnsi="方正仿宋_GBK" w:eastAsia="方正仿宋_GBK" w:cs="方正仿宋_GBK"/>
          <w:kern w:val="0"/>
          <w:sz w:val="36"/>
          <w:szCs w:val="31"/>
        </w:rPr>
      </w:pPr>
      <w:r>
        <w:rPr>
          <w:rFonts w:hint="eastAsia" w:ascii="方正仿宋_GBK" w:hAnsi="方正仿宋_GBK" w:eastAsia="方正仿宋_GBK" w:cs="方正仿宋_GBK"/>
          <w:kern w:val="0"/>
          <w:sz w:val="36"/>
          <w:szCs w:val="31"/>
        </w:rPr>
        <w:t>填报时间：202</w:t>
      </w:r>
      <w:r>
        <w:rPr>
          <w:rFonts w:hint="eastAsia" w:ascii="方正仿宋_GBK" w:hAnsi="方正仿宋_GBK" w:eastAsia="方正仿宋_GBK" w:cs="方正仿宋_GBK"/>
          <w:kern w:val="0"/>
          <w:sz w:val="36"/>
          <w:szCs w:val="31"/>
          <w:lang w:val="en-US" w:eastAsia="zh-CN"/>
        </w:rPr>
        <w:t>5</w:t>
      </w:r>
      <w:r>
        <w:rPr>
          <w:rFonts w:hint="eastAsia" w:ascii="方正仿宋_GBK" w:hAnsi="方正仿宋_GBK" w:eastAsia="方正仿宋_GBK" w:cs="方正仿宋_GBK"/>
          <w:kern w:val="0"/>
          <w:sz w:val="36"/>
          <w:szCs w:val="31"/>
        </w:rPr>
        <w:t>年04月22日</w:t>
      </w: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numPr>
          <w:ilvl w:val="0"/>
          <w:numId w:val="0"/>
        </w:numPr>
        <w:kinsoku/>
        <w:wordWrap/>
        <w:overflowPunct/>
        <w:topLinePunct w:val="0"/>
        <w:autoSpaceDE/>
        <w:autoSpaceDN/>
        <w:bidi w:val="0"/>
        <w:adjustRightInd/>
        <w:snapToGrid w:val="0"/>
        <w:spacing w:line="560" w:lineRule="exact"/>
        <w:textAlignment w:val="auto"/>
        <w:rPr>
          <w:rFonts w:hint="eastAsia" w:ascii="黑体" w:hAnsi="黑体" w:eastAsia="黑体" w:cs="宋体"/>
          <w:b/>
          <w:color w:val="000000" w:themeColor="text1"/>
          <w:sz w:val="32"/>
          <w:szCs w:val="32"/>
          <w:lang w:bidi="ar"/>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val="0"/>
        <w:spacing w:line="560" w:lineRule="exact"/>
        <w:textAlignment w:val="auto"/>
        <w:rPr>
          <w:rFonts w:hint="eastAsia" w:ascii="黑体" w:hAnsi="黑体" w:eastAsia="黑体" w:cs="宋体"/>
          <w:b/>
          <w:color w:val="000000" w:themeColor="text1"/>
          <w:sz w:val="32"/>
          <w:szCs w:val="32"/>
          <w:lang w:val="en-US" w:eastAsia="zh-CN" w:bidi="ar"/>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一、</w:t>
      </w:r>
      <w:r>
        <w:rPr>
          <w:rFonts w:hint="eastAsia" w:ascii="黑体" w:hAnsi="黑体" w:eastAsia="黑体" w:cs="宋体"/>
          <w:b/>
          <w:color w:val="000000" w:themeColor="text1"/>
          <w:sz w:val="32"/>
          <w:szCs w:val="32"/>
          <w:lang w:bidi="ar"/>
          <w14:textFill>
            <w14:solidFill>
              <w14:schemeClr w14:val="tx1"/>
            </w14:solidFill>
          </w14:textFill>
        </w:rPr>
        <w:t>基本概况：</w:t>
      </w:r>
    </w:p>
    <w:p>
      <w:pPr>
        <w:keepNext w:val="0"/>
        <w:keepLines w:val="0"/>
        <w:pageBreakBefore w:val="0"/>
        <w:kinsoku/>
        <w:wordWrap/>
        <w:overflowPunct/>
        <w:topLinePunct w:val="0"/>
        <w:autoSpaceDE/>
        <w:autoSpaceDN/>
        <w:bidi w:val="0"/>
        <w:adjustRightInd/>
        <w:spacing w:line="560" w:lineRule="exact"/>
        <w:jc w:val="left"/>
        <w:textAlignment w:val="auto"/>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哈拉玉宫镇党委、政府在市委领导下，负责贯彻落实新时代党的组织路线和以习近平同志为核心的党中央</w:t>
      </w:r>
      <w:bookmarkStart w:id="1" w:name="_GoBack"/>
      <w:bookmarkEnd w:id="1"/>
      <w:r>
        <w:rPr>
          <w:rFonts w:hint="eastAsia" w:ascii="仿宋_GB2312" w:hAnsi="宋体" w:eastAsia="仿宋_GB2312"/>
          <w:bCs/>
          <w:sz w:val="32"/>
          <w:szCs w:val="32"/>
        </w:rPr>
        <w:t>治疆方略、聚焦服务社会稳定和长治久安总目标，落实党中央、自治区党委、州委和县市委关于组织体系、领导班子建设，领导干部队伍、公务员队伍、人才队伍、离退休干部建设的方针政策和决策部署。主要职责是：1、执行本级人民代表大会的决议和上级国家行政机关的决定和命令，发布决定和命令。2、执行本行政区域内的经济和社会发展计划、预算，管理本行政区域内的经济、教育、科学、文化、卫生、体育事业、财政、民政、司法行政、计划生育等行政工作。3、保护社会主义的全民所有的财产和劳动群众集体所有的财产，保护公民私人所有的合法财产，维护社会秩序，保障公民的人身权利、民主权利和其他权利。4、保护各种经济组织的合法权益。5、保障少数民族的权利和尊重少数民族的风俗习惯。6、办理上级人民政府交办的其他事项。</w:t>
      </w:r>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2.部门机构人员构成情况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哈拉玉宫镇人民政府编制数117人，实有人数103人，其中：在职82人；退休21人；离休0人。</w:t>
      </w:r>
      <w:bookmarkStart w:id="0" w:name="_Hlk43849111"/>
      <w:bookmarkEnd w:id="0"/>
    </w:p>
    <w:p>
      <w:pPr>
        <w:keepNext w:val="0"/>
        <w:keepLines w:val="0"/>
        <w:pageBreakBefore w:val="0"/>
        <w:kinsoku/>
        <w:wordWrap/>
        <w:overflowPunct/>
        <w:topLinePunct w:val="0"/>
        <w:autoSpaceDE/>
        <w:autoSpaceDN/>
        <w:bidi w:val="0"/>
        <w:adjustRightInd/>
        <w:spacing w:line="560" w:lineRule="exact"/>
        <w:jc w:val="left"/>
        <w:textAlignment w:val="auto"/>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keepNext w:val="0"/>
        <w:keepLines w:val="0"/>
        <w:pageBreakBefore w:val="0"/>
        <w:kinsoku/>
        <w:wordWrap/>
        <w:overflowPunct/>
        <w:topLinePunct w:val="0"/>
        <w:autoSpaceDE/>
        <w:autoSpaceDN/>
        <w:bidi w:val="0"/>
        <w:adjustRightIn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1.2023年度工作计划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哈拉玉宫镇人民政府2023年坚持把学习习近平新时代中国特色社会主义思想作为主线，坚定坚决贯彻落实以习近平同志为核心的党中央治疆方略，特别是社会稳定和长治久安总目标，在市党委、市政府的坚强领导下，扎实落实中央第三次新疆工作座谈会的总体工作部署，以饱满的热情和更加有力的举措推动各项工作落实。具体如下：</w:t>
      </w:r>
      <w:r>
        <w:rPr>
          <w:rFonts w:hint="eastAsia" w:ascii="仿宋_GB2312" w:hAnsi="宋体" w:eastAsia="仿宋_GB2312"/>
          <w:bCs/>
          <w:sz w:val="32"/>
          <w:szCs w:val="32"/>
        </w:rPr>
        <w:br w:type="textWrapping"/>
      </w:r>
      <w:r>
        <w:rPr>
          <w:rFonts w:hint="eastAsia" w:ascii="仿宋_GB2312" w:hAnsi="宋体" w:eastAsia="仿宋_GB2312"/>
          <w:bCs/>
          <w:sz w:val="32"/>
          <w:szCs w:val="32"/>
        </w:rPr>
        <w:t>一、基层党的建设不断加强，战斗力、凝聚力明显提升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深入开展学习习近平新时代中国特色社会主义思想和党的十九大精神活动，把坚定理想信念作为根本目标、把培育先进典型作为重要举措、把党群共建作为重要内容、把创建活动作为重要载体，开展好每月主题党日和每周政治学习。</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规范党内生活，加强党的政治建设。</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发挥领导核心作用，提高基层治理水平。</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履行党委主体责任，促干部作风转变。</w:t>
      </w:r>
      <w:r>
        <w:rPr>
          <w:rFonts w:hint="eastAsia" w:ascii="仿宋_GB2312" w:hAnsi="宋体" w:eastAsia="仿宋_GB2312"/>
          <w:bCs/>
          <w:sz w:val="32"/>
          <w:szCs w:val="32"/>
        </w:rPr>
        <w:cr/>
      </w:r>
      <w:r>
        <w:rPr>
          <w:rFonts w:hint="eastAsia" w:ascii="仿宋_GB2312" w:hAnsi="宋体" w:eastAsia="仿宋_GB2312"/>
          <w:bCs/>
          <w:sz w:val="32"/>
          <w:szCs w:val="32"/>
        </w:rPr>
        <w:t>二、坚定不移维护社会和谐稳定、推进长治久安</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638" w:leftChars="304" w:firstLine="0" w:firstLineChars="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多管齐下，保持大局稳定。</w:t>
      </w:r>
      <w:r>
        <w:rPr>
          <w:rFonts w:hint="eastAsia" w:ascii="仿宋_GB2312" w:hAnsi="宋体" w:eastAsia="仿宋_GB2312"/>
          <w:bCs/>
          <w:sz w:val="32"/>
          <w:szCs w:val="32"/>
        </w:rPr>
        <w:br w:type="textWrapping"/>
      </w:r>
      <w:r>
        <w:rPr>
          <w:rFonts w:hint="eastAsia" w:ascii="仿宋_GB2312" w:hAnsi="宋体" w:eastAsia="仿宋_GB2312"/>
          <w:bCs/>
          <w:sz w:val="32"/>
          <w:szCs w:val="32"/>
        </w:rPr>
        <w:t>2、狠抓扫黑除恶，净化社会环境。</w:t>
      </w:r>
      <w:r>
        <w:rPr>
          <w:rFonts w:hint="eastAsia" w:ascii="仿宋_GB2312" w:hAnsi="宋体" w:eastAsia="仿宋_GB2312"/>
          <w:bCs/>
          <w:sz w:val="32"/>
          <w:szCs w:val="32"/>
        </w:rPr>
        <w:br w:type="textWrapping"/>
      </w:r>
      <w:r>
        <w:rPr>
          <w:rFonts w:hint="eastAsia" w:ascii="仿宋_GB2312" w:hAnsi="宋体" w:eastAsia="仿宋_GB2312"/>
          <w:bCs/>
          <w:sz w:val="32"/>
          <w:szCs w:val="32"/>
        </w:rPr>
        <w:t>3、树牢安全发展理念，推动形势稳定向好。</w:t>
      </w:r>
      <w:r>
        <w:rPr>
          <w:rFonts w:hint="eastAsia" w:ascii="仿宋_GB2312" w:hAnsi="宋体" w:eastAsia="仿宋_GB2312"/>
          <w:bCs/>
          <w:sz w:val="32"/>
          <w:szCs w:val="32"/>
        </w:rPr>
        <w:br w:type="textWrapping"/>
      </w:r>
      <w:r>
        <w:rPr>
          <w:rFonts w:hint="eastAsia" w:ascii="仿宋_GB2312" w:hAnsi="宋体" w:eastAsia="仿宋_GB2312"/>
          <w:bCs/>
          <w:sz w:val="32"/>
          <w:szCs w:val="32"/>
        </w:rPr>
        <w:t>4、发挥调解职能，增强普法成效。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lang w:val="en-US" w:eastAsia="zh-CN"/>
        </w:rPr>
        <w:t>2.</w:t>
      </w:r>
      <w:r>
        <w:rPr>
          <w:rFonts w:hint="eastAsia" w:ascii="仿宋_GB2312" w:hAnsi="宋体" w:eastAsia="仿宋_GB2312"/>
          <w:bCs/>
          <w:sz w:val="32"/>
          <w:szCs w:val="32"/>
        </w:rPr>
        <w:t>机构人员保障情况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哈拉玉宫镇人民政府2023年通过本部门预算支出，确保了82名在职人员的工资、津贴、补贴、社保、绩效、公积金等21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kinsoku/>
        <w:wordWrap/>
        <w:overflowPunct/>
        <w:topLinePunct w:val="0"/>
        <w:autoSpaceDE/>
        <w:autoSpaceDN/>
        <w:bidi w:val="0"/>
        <w:adjustRightInd/>
        <w:spacing w:line="560" w:lineRule="exact"/>
        <w:jc w:val="left"/>
        <w:textAlignment w:val="auto"/>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keepNext w:val="0"/>
        <w:keepLines w:val="0"/>
        <w:pageBreakBefore w:val="0"/>
        <w:kinsoku/>
        <w:wordWrap/>
        <w:overflowPunct/>
        <w:topLinePunct w:val="0"/>
        <w:autoSpaceDE/>
        <w:autoSpaceDN/>
        <w:bidi w:val="0"/>
        <w:adjustRightIn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1.年初预算安排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2023年我部门年初安排预算数为2207.14万元，其中:上级安排0万元,本级安排2207.14万元，其他资金0万元。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综上所述，部门预算安排与本单位职能关联度较高，预算安排结构清晰明了，能够直观展示各项费用的分配情况，预算规模合理，为单位的稳健发展和高效运行提供了有力保障。</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2.预算年中调整情况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我部门年初安排预算数2207.14万元，年中调整数+10718.2万元，调整后全年预算数12925.34万元，预算调整率485.61%。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r>
        <w:rPr>
          <w:rFonts w:hint="eastAsia" w:ascii="仿宋_GB2312" w:hAnsi="宋体" w:eastAsia="仿宋_GB2312"/>
          <w:bCs/>
          <w:sz w:val="32"/>
          <w:szCs w:val="32"/>
        </w:rPr>
        <w:br w:type="textWrapping"/>
      </w:r>
      <w:r>
        <w:rPr>
          <w:rFonts w:hint="eastAsia" w:ascii="仿宋_GB2312" w:hAnsi="宋体" w:eastAsia="仿宋_GB2312"/>
          <w:bCs/>
          <w:sz w:val="32"/>
          <w:szCs w:val="32"/>
        </w:rPr>
        <w:t>3.资金使用主要内容、涉及的范围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我单位2023年度部门整体支出为12925.34万元，其中：</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基本支出2192.92万元，主要用于：基本工资、津贴补贴、奖金、机关事业单位基本养老保险缴费、职业年金缴费、职工基本医疗保险缴费、办公费、差旅费、维修（护）费、福利费、退休费，抚恤金，生活补助，其他个人补助支出等。</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项目支出10732.42万元，主要用于2022年基层组织建设项目（哈乡五小场所基础设施建设）项目62.8万元、哈乡巴格吉代村村级组织活动场所基础设施建设项目资金项目52.48万元、哈乡偿还下多尕村科普馆基础设施工程项目资金项目116.07万元、纪检监察转移支付资金办公设备购置费项目资金项目0.52万元、哈乡2022年基层组织建设项目（中兴社区）基础设施建设项目资金项目46.88万元、哈拉玉宫乡乡村建设项目资金项目57.5万元、哈拉玉宫乡春节前农民工工资项目资金17.55万元、哈乡援疆项目（许可农牧民养殖合作社提供发展扶持资金）资金项目30万元、哈乡中多尕村人居环境整治项目资金项目1000万元、哈乡肉牛养殖基地建设项目基础设施工程项目资金项目650万元、哈拉玉宫乡哈拉玉宫村人居环境整治项目资金项目106.55万元、哈乡智慧农业数字中心基础设施建设项目资金项目91.42万元、哈拉玉宫乡废旧物资回收产业园项目资金项目337.4万元、哈乡2020年中央美丽乡村建设项目（巴格吉代村绿化官网改造项目）15.88万元、哈拉玉宫乡2023年度棉花目标价格补贴项目资金8147.37万元。</w:t>
      </w:r>
    </w:p>
    <w:p>
      <w:pPr>
        <w:keepNext w:val="0"/>
        <w:keepLines w:val="0"/>
        <w:pageBreakBefore w:val="0"/>
        <w:numPr>
          <w:ilvl w:val="0"/>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二、</w:t>
      </w: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（一）基本支出投入、管理和使用情况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2023年我部门基本支出年初预算安排2137.44万元，全年预算2192.91万元，全年实际支出数2192.91万元，其中：人员经费2048.33万元，公用经费144.58万元。全年预算执行率100.00%。</w:t>
      </w:r>
      <w:r>
        <w:rPr>
          <w:rFonts w:hint="eastAsia" w:ascii="仿宋_GB2312" w:hAnsi="宋体" w:eastAsia="仿宋_GB2312"/>
          <w:bCs/>
          <w:sz w:val="32"/>
          <w:szCs w:val="32"/>
        </w:rPr>
        <w:br w:type="textWrapping"/>
      </w:r>
      <w:r>
        <w:rPr>
          <w:rFonts w:hint="eastAsia" w:ascii="仿宋_GB2312" w:hAnsi="宋体" w:eastAsia="仿宋_GB2312"/>
          <w:bCs/>
          <w:sz w:val="32"/>
          <w:szCs w:val="32"/>
        </w:rPr>
        <w:t>2.基本支出管理情况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（二）项目支出投入、管理和使用情况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1.项目支出投入和使用情况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2023年本单位共安排15个项目，全年预算数为10732.42万元，全年实际支出数10732.42万元，执行率100.00%。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其中:上级安排项目12个10541.3万元，本级安排项目3个191.12万元,其他资金安排项目0个0万元。</w:t>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2.项目支出管理情况</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执行预决算管理。严格按预算管理要求使用资金，严格按进度和合同拨付资金，严格执行政府采购制度；严格执行国库集中支付制度，严防截留、挪用资金。</w:t>
      </w:r>
    </w:p>
    <w:p>
      <w:pPr>
        <w:keepNext w:val="0"/>
        <w:keepLines w:val="0"/>
        <w:pageBreakBefore w:val="0"/>
        <w:numPr>
          <w:ilvl w:val="0"/>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三、</w:t>
      </w: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我单位将部门单位整体绩效目标细化分解为具体的绩效指标，一级指标共1条，二级指标共1条，三级指标共4条，其中量化指标条数共4条，所有绩效指标均通过清晰、可衡量的指标值予以体现。</w:t>
      </w:r>
      <w:r>
        <w:rPr>
          <w:rFonts w:hint="eastAsia" w:ascii="仿宋_GB2312" w:hAnsi="宋体" w:eastAsia="仿宋_GB2312"/>
          <w:bCs/>
          <w:sz w:val="32"/>
          <w:szCs w:val="32"/>
        </w:rPr>
        <w:br w:type="textWrapping"/>
      </w:r>
      <w:r>
        <w:rPr>
          <w:rFonts w:hint="eastAsia" w:ascii="仿宋_GB2312" w:hAnsi="宋体" w:eastAsia="仿宋_GB2312"/>
          <w:bCs/>
          <w:sz w:val="32"/>
          <w:szCs w:val="32"/>
        </w:rPr>
        <w:t>（一）指标一：运行成本</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（二）指标二：管理效率</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t>（三）指标三：履职效能</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数量指标1：覆盖基层组织个数,预期指标值为：&gt;=6个；监控节点完成值：=6个；评价实际完成值：=6个；指标完成率：100.00%；成效分析：通过单位正常运转，提高了工作效率，改善了工作质量及服务水平。</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数量指标2：工作队在职人数,预期指标值为：&gt;=24人；监控节点完成值：=24人；评价实际完成值：=24人；指标完成率：100.00%；成效分析：通过单位正常运转，提高了工作效率，改善了工作质量及服务水平。</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数量指标3：农牧民实用技能培训场次数,预期指标值为：&gt;=10次；监控节点完成值：=5次；评价实际完成值：=10次；指标完成率：100.00%；成效分析：通过单位正常运转，提高了工作效率，改善了工作质量及服务水平。</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数量指标4：为民办实事件数量,预期指标值为：&gt;=10件；监控节点完成值：=5件；评价实际完成值：=12件；指标完成率：100.00%；成效分析：通过单位正常运转，提高了工作效率，改善了工作质量及服务水平。</w:t>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（四）指标四：社会效益</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t>（五）指标五：可持续发展能力</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t>（六）指标六：服务对象满意度</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ascii="仿宋_GB2312" w:hAnsi="宋体" w:eastAsia="仿宋_GB2312"/>
          <w:b/>
          <w:sz w:val="32"/>
          <w:szCs w:val="32"/>
        </w:rPr>
      </w:pPr>
      <w:r>
        <w:rPr>
          <w:rFonts w:hint="eastAsia" w:ascii="仿宋_GB2312" w:hAnsi="宋体" w:eastAsia="仿宋_GB2312"/>
          <w:bCs/>
          <w:sz w:val="32"/>
          <w:szCs w:val="32"/>
        </w:rPr>
        <w:t>无此项指标。</w:t>
      </w:r>
    </w:p>
    <w:p>
      <w:pPr>
        <w:keepNext w:val="0"/>
        <w:keepLines w:val="0"/>
        <w:pageBreakBefore w:val="0"/>
        <w:numPr>
          <w:ilvl w:val="0"/>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四、</w:t>
      </w:r>
      <w:r>
        <w:rPr>
          <w:rFonts w:hint="eastAsia" w:ascii="黑体" w:hAnsi="黑体" w:eastAsia="黑体" w:cs="宋体"/>
          <w:b/>
          <w:color w:val="000000" w:themeColor="text1"/>
          <w:sz w:val="32"/>
          <w:szCs w:val="32"/>
          <w:lang w:bidi="ar"/>
          <w14:textFill>
            <w14:solidFill>
              <w14:schemeClr w14:val="tx1"/>
            </w14:solidFill>
          </w14:textFill>
        </w:rPr>
        <w:t>评价结论：</w:t>
      </w:r>
    </w:p>
    <w:p>
      <w:pPr>
        <w:keepNext w:val="0"/>
        <w:keepLines w:val="0"/>
        <w:pageBreakBefore w:val="0"/>
        <w:kinsoku/>
        <w:wordWrap/>
        <w:overflowPunct/>
        <w:topLinePunct w:val="0"/>
        <w:autoSpaceDE/>
        <w:autoSpaceDN/>
        <w:bidi w:val="0"/>
        <w:adjustRightInd/>
        <w:spacing w:line="560" w:lineRule="exact"/>
        <w:ind w:firstLine="960" w:firstLineChars="3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p>
    <w:p>
      <w:pPr>
        <w:keepNext w:val="0"/>
        <w:keepLines w:val="0"/>
        <w:pageBreakBefore w:val="0"/>
        <w:kinsoku/>
        <w:wordWrap/>
        <w:overflowPunct/>
        <w:topLinePunct w:val="0"/>
        <w:autoSpaceDE/>
        <w:autoSpaceDN/>
        <w:bidi w:val="0"/>
        <w:adjustRightInd/>
        <w:spacing w:line="560" w:lineRule="exact"/>
        <w:ind w:firstLine="960" w:firstLineChars="300"/>
        <w:jc w:val="left"/>
        <w:textAlignment w:val="auto"/>
        <w:rPr>
          <w:rFonts w:ascii="仿宋_GB2312" w:hAnsi="宋体" w:eastAsia="仿宋_GB2312"/>
          <w:bCs/>
          <w:sz w:val="32"/>
          <w:szCs w:val="32"/>
        </w:rPr>
      </w:pPr>
      <w:r>
        <w:rPr>
          <w:rFonts w:hint="eastAsia" w:ascii="仿宋_GB2312" w:hAnsi="宋体" w:eastAsia="仿宋_GB2312"/>
          <w:bCs/>
          <w:sz w:val="32"/>
          <w:szCs w:val="32"/>
        </w:rPr>
        <w:t>2023年度部门整体支出绩效自评综合得分100分，评价结果为“优”。</w:t>
      </w:r>
    </w:p>
    <w:p>
      <w:pPr>
        <w:keepNext w:val="0"/>
        <w:keepLines w:val="0"/>
        <w:pageBreakBefore w:val="0"/>
        <w:numPr>
          <w:ilvl w:val="0"/>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五、</w:t>
      </w: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keepNext w:val="0"/>
        <w:keepLines w:val="0"/>
        <w:pageBreakBefore w:val="0"/>
        <w:kinsoku/>
        <w:wordWrap/>
        <w:overflowPunct/>
        <w:topLinePunct w:val="0"/>
        <w:autoSpaceDE/>
        <w:autoSpaceDN/>
        <w:bidi w:val="0"/>
        <w:adjustRightInd/>
        <w:spacing w:line="560" w:lineRule="exact"/>
        <w:ind w:firstLine="960" w:firstLineChars="3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2023年本单位基本支出绩效目标全部完成，不存在未完成绩效目标情况。但在资金管理等方面仍存在部分问题，具体如下：</w:t>
      </w:r>
    </w:p>
    <w:p>
      <w:pPr>
        <w:keepNext w:val="0"/>
        <w:keepLines w:val="0"/>
        <w:pageBreakBefore w:val="0"/>
        <w:kinsoku/>
        <w:wordWrap/>
        <w:overflowPunct/>
        <w:topLinePunct w:val="0"/>
        <w:autoSpaceDE/>
        <w:autoSpaceDN/>
        <w:bidi w:val="0"/>
        <w:adjustRightInd/>
        <w:spacing w:line="560" w:lineRule="exact"/>
        <w:ind w:firstLine="960" w:firstLineChars="300"/>
        <w:jc w:val="left"/>
        <w:textAlignment w:val="auto"/>
        <w:rPr>
          <w:rFonts w:hint="eastAsia" w:ascii="仿宋_GB2312" w:hAnsi="宋体" w:eastAsia="仿宋_GB2312"/>
          <w:bCs/>
          <w:sz w:val="32"/>
          <w:szCs w:val="32"/>
          <w:lang w:val="en-US" w:eastAsia="zh-CN"/>
        </w:rPr>
      </w:pPr>
      <w:r>
        <w:rPr>
          <w:rFonts w:hint="eastAsia" w:ascii="仿宋_GB2312" w:hAnsi="宋体" w:eastAsia="仿宋_GB2312"/>
          <w:bCs/>
          <w:sz w:val="32"/>
          <w:szCs w:val="32"/>
        </w:rPr>
        <w:t>一是对预算绩效的认识还不够深入，相关知识了解还不够、掌握还不够多，把绩效管理简单等同于工作目标、工作考核和业务</w:t>
      </w:r>
      <w:r>
        <w:rPr>
          <w:rFonts w:hint="eastAsia" w:ascii="仿宋_GB2312" w:hAnsi="宋体" w:eastAsia="仿宋_GB2312"/>
          <w:bCs/>
          <w:sz w:val="32"/>
          <w:szCs w:val="32"/>
          <w:lang w:val="en-US" w:eastAsia="zh-CN"/>
        </w:rPr>
        <w:t>管理。</w:t>
      </w:r>
    </w:p>
    <w:p>
      <w:pPr>
        <w:keepNext w:val="0"/>
        <w:keepLines w:val="0"/>
        <w:pageBreakBefore w:val="0"/>
        <w:kinsoku/>
        <w:wordWrap/>
        <w:overflowPunct/>
        <w:topLinePunct w:val="0"/>
        <w:autoSpaceDE/>
        <w:autoSpaceDN/>
        <w:bidi w:val="0"/>
        <w:adjustRightInd/>
        <w:spacing w:line="560" w:lineRule="exact"/>
        <w:ind w:firstLine="960" w:firstLineChars="300"/>
        <w:jc w:val="left"/>
        <w:textAlignment w:val="auto"/>
        <w:rPr>
          <w:rFonts w:ascii="仿宋_GB2312" w:hAnsi="宋体" w:eastAsia="仿宋_GB2312"/>
          <w:bCs/>
          <w:sz w:val="32"/>
          <w:szCs w:val="32"/>
        </w:rPr>
      </w:pPr>
      <w:r>
        <w:rPr>
          <w:rFonts w:hint="eastAsia" w:ascii="仿宋_GB2312" w:hAnsi="宋体" w:eastAsia="仿宋_GB2312"/>
          <w:bCs/>
          <w:sz w:val="32"/>
          <w:szCs w:val="32"/>
        </w:rPr>
        <w:t>二是资金管理水平有待进一步提高，财务审核还需进一步加强。</w:t>
      </w:r>
    </w:p>
    <w:p>
      <w:pPr>
        <w:keepNext w:val="0"/>
        <w:keepLines w:val="0"/>
        <w:pageBreakBefore w:val="0"/>
        <w:numPr>
          <w:ilvl w:val="0"/>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六、</w:t>
      </w:r>
      <w:r>
        <w:rPr>
          <w:rFonts w:hint="eastAsia" w:ascii="黑体" w:hAnsi="黑体" w:eastAsia="黑体" w:cs="宋体"/>
          <w:b/>
          <w:color w:val="000000" w:themeColor="text1"/>
          <w:sz w:val="32"/>
          <w:szCs w:val="32"/>
          <w:lang w:bidi="ar"/>
          <w14:textFill>
            <w14:solidFill>
              <w14:schemeClr w14:val="tx1"/>
            </w14:solidFill>
          </w14:textFill>
        </w:rPr>
        <w:t>改进措施和建议：</w:t>
      </w:r>
    </w:p>
    <w:p>
      <w:pPr>
        <w:keepNext w:val="0"/>
        <w:keepLines w:val="0"/>
        <w:pageBreakBefore w:val="0"/>
        <w:kinsoku/>
        <w:wordWrap/>
        <w:overflowPunct/>
        <w:topLinePunct w:val="0"/>
        <w:autoSpaceDE/>
        <w:autoSpaceDN/>
        <w:bidi w:val="0"/>
        <w:adjustRightIn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（1）预算绩效观念不深入。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（2）预算绩效规范管理有盲点。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keepNext w:val="0"/>
        <w:keepLines w:val="0"/>
        <w:pageBreakBefore w:val="0"/>
        <w:kinsoku/>
        <w:wordWrap/>
        <w:overflowPunct/>
        <w:topLinePunct w:val="0"/>
        <w:autoSpaceDE/>
        <w:autoSpaceDN/>
        <w:bidi w:val="0"/>
        <w:adjustRightInd/>
        <w:spacing w:line="560" w:lineRule="exact"/>
        <w:textAlignment w:val="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25069"/>
    <w:multiLevelType w:val="singleLevel"/>
    <w:tmpl w:val="8B125069"/>
    <w:lvl w:ilvl="0" w:tentative="0">
      <w:start w:val="1"/>
      <w:numFmt w:val="decimal"/>
      <w:suff w:val="nothing"/>
      <w:lvlText w:val="（%1）"/>
      <w:lvlJc w:val="left"/>
    </w:lvl>
  </w:abstractNum>
  <w:abstractNum w:abstractNumId="1">
    <w:nsid w:val="A0CAD79A"/>
    <w:multiLevelType w:val="singleLevel"/>
    <w:tmpl w:val="A0CAD79A"/>
    <w:lvl w:ilvl="0" w:tentative="0">
      <w:start w:val="1"/>
      <w:numFmt w:val="decimal"/>
      <w:suff w:val="nothing"/>
      <w:lvlText w:val="%1、"/>
      <w:lvlJc w:val="left"/>
    </w:lvl>
  </w:abstractNum>
  <w:abstractNum w:abstractNumId="2">
    <w:nsid w:val="F4F7D22D"/>
    <w:multiLevelType w:val="singleLevel"/>
    <w:tmpl w:val="F4F7D22D"/>
    <w:lvl w:ilvl="0" w:tentative="0">
      <w:start w:val="1"/>
      <w:numFmt w:val="decimal"/>
      <w:suff w:val="nothing"/>
      <w:lvlText w:val="%1、"/>
      <w:lvlJc w:val="left"/>
    </w:lvl>
  </w:abstractNum>
  <w:abstractNum w:abstractNumId="3">
    <w:nsid w:val="07C0A41B"/>
    <w:multiLevelType w:val="singleLevel"/>
    <w:tmpl w:val="07C0A41B"/>
    <w:lvl w:ilvl="0" w:tentative="0">
      <w:start w:val="1"/>
      <w:numFmt w:val="decimal"/>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2B5A4607"/>
    <w:rsid w:val="303F7287"/>
    <w:rsid w:val="51C70EA9"/>
    <w:rsid w:val="54F842B6"/>
    <w:rsid w:val="624C4891"/>
    <w:rsid w:val="62DA5E83"/>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7</TotalTime>
  <ScaleCrop>false</ScaleCrop>
  <LinksUpToDate>false</LinksUpToDate>
  <CharactersWithSpaces>384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2025-09-02T05:30:33Z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ies>
</file>