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jc w:val="center"/>
        <w:rPr>
          <w:rFonts w:ascii="方正小标宋_GBK" w:hAnsi="宋体" w:eastAsia="方正小标宋_GBK" w:cs="Times New Roman"/>
          <w:kern w:val="2"/>
          <w:sz w:val="44"/>
          <w:szCs w:val="44"/>
          <w:lang w:val="en-US" w:eastAsia="zh-CN" w:bidi="ar-SA"/>
        </w:rPr>
      </w:pPr>
    </w:p>
    <w:p>
      <w:pPr>
        <w:jc w:val="center"/>
        <w:rPr>
          <w:rFonts w:ascii="方正小标宋_GBK" w:hAnsi="宋体" w:eastAsia="方正小标宋_GBK" w:cs="Times New Roman"/>
          <w:kern w:val="2"/>
          <w:sz w:val="44"/>
          <w:szCs w:val="44"/>
          <w:lang w:val="en-US" w:eastAsia="zh-CN" w:bidi="ar-SA"/>
        </w:rPr>
      </w:pPr>
      <w:r>
        <w:rPr>
          <w:rFonts w:ascii="方正小标宋_GBK" w:hAnsi="宋体" w:eastAsia="方正小标宋_GBK" w:cs="Times New Roman"/>
          <w:kern w:val="2"/>
          <w:sz w:val="44"/>
          <w:szCs w:val="44"/>
          <w:lang w:val="en-US" w:eastAsia="zh-CN" w:bidi="ar-SA"/>
        </w:rPr>
        <w:t>库尔勒市哈拉玉宫镇人民政府</w:t>
      </w:r>
    </w:p>
    <w:p>
      <w:pPr>
        <w:jc w:val="center"/>
        <w:rPr>
          <w:rFonts w:ascii="方正小标宋_GBK" w:hAnsi="宋体" w:eastAsia="方正小标宋_GBK" w:cs="Times New Roman"/>
          <w:kern w:val="2"/>
          <w:sz w:val="44"/>
          <w:szCs w:val="44"/>
          <w:lang w:val="en-US" w:eastAsia="zh-CN" w:bidi="ar-SA"/>
        </w:rPr>
      </w:pPr>
      <w:r>
        <w:rPr>
          <w:rFonts w:ascii="方正小标宋_GBK" w:hAnsi="宋体" w:eastAsia="方正小标宋_GBK" w:cs="Times New Roman"/>
          <w:kern w:val="2"/>
          <w:sz w:val="44"/>
          <w:szCs w:val="44"/>
          <w:lang w:val="en-US" w:eastAsia="zh-CN" w:bidi="ar-SA"/>
        </w:rPr>
        <w:t>2024年度部门决算</w:t>
      </w:r>
    </w:p>
    <w:p>
      <w:pPr>
        <w:jc w:val="center"/>
        <w:rPr>
          <w:rFonts w:ascii="方正小标宋_GBK" w:hAnsi="宋体" w:eastAsia="方正小标宋_GBK" w:cs="Times New Roman"/>
          <w:kern w:val="2"/>
          <w:sz w:val="44"/>
          <w:szCs w:val="44"/>
          <w:lang w:val="en-US" w:eastAsia="zh-CN" w:bidi="ar-SA"/>
        </w:rPr>
      </w:pPr>
      <w:r>
        <w:rPr>
          <w:rFonts w:ascii="方正小标宋_GBK" w:hAnsi="宋体" w:eastAsia="方正小标宋_GBK" w:cs="Times New Roman"/>
          <w:kern w:val="2"/>
          <w:sz w:val="44"/>
          <w:szCs w:val="44"/>
          <w:lang w:val="en-US" w:eastAsia="zh-CN" w:bidi="ar-SA"/>
        </w:rPr>
        <w:t>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rPr>
      </w:pPr>
      <w:r>
        <w:rPr>
          <w:rFonts w:ascii="黑体" w:eastAsia="黑体"/>
          <w:b/>
          <w:sz w:val="32"/>
          <w:szCs w:val="32"/>
        </w:rPr>
        <w:t>目录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pStyle w:val="5"/>
        <w:keepNext w:val="0"/>
        <w:keepLines w:val="0"/>
        <w:pageBreakBefore w:val="0"/>
        <w:kinsoku/>
        <w:wordWrap/>
        <w:overflowPunct/>
        <w:topLinePunct w:val="0"/>
        <w:autoSpaceDE/>
        <w:autoSpaceDN/>
        <w:bidi w:val="0"/>
        <w:adjustRightInd/>
        <w:snapToGrid/>
        <w:spacing w:line="560" w:lineRule="exact"/>
        <w:ind w:firstLine="56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1、执行本级人民代表大会的决议和上级国家行政机关的决定和命令，发布决定和命令；</w:t>
      </w:r>
    </w:p>
    <w:p>
      <w:pPr>
        <w:pStyle w:val="5"/>
        <w:keepNext w:val="0"/>
        <w:keepLines w:val="0"/>
        <w:pageBreakBefore w:val="0"/>
        <w:kinsoku/>
        <w:wordWrap/>
        <w:overflowPunct/>
        <w:topLinePunct w:val="0"/>
        <w:autoSpaceDE/>
        <w:autoSpaceDN/>
        <w:bidi w:val="0"/>
        <w:adjustRightInd/>
        <w:snapToGrid/>
        <w:spacing w:line="560" w:lineRule="exact"/>
        <w:ind w:firstLine="56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2、执行本行政区域内的经济和社会发展计划、预算，管理本行政区域内的经济、教育、科学、文化、卫生、体育事业和财政、民政、公安、司法行政、计划生育等行政工作；</w:t>
      </w:r>
    </w:p>
    <w:p>
      <w:pPr>
        <w:pStyle w:val="5"/>
        <w:keepNext w:val="0"/>
        <w:keepLines w:val="0"/>
        <w:pageBreakBefore w:val="0"/>
        <w:kinsoku/>
        <w:wordWrap/>
        <w:overflowPunct/>
        <w:topLinePunct w:val="0"/>
        <w:autoSpaceDE/>
        <w:autoSpaceDN/>
        <w:bidi w:val="0"/>
        <w:adjustRightInd/>
        <w:snapToGrid/>
        <w:spacing w:line="560" w:lineRule="exact"/>
        <w:ind w:firstLine="56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3、保护社会主义的全民所有的财产和劳动群众集体所有财产，保护公民私有的合法财产，维护社会秩序，保障公民的人身权利、民主权利和其他权利；</w:t>
      </w:r>
    </w:p>
    <w:p>
      <w:pPr>
        <w:pStyle w:val="5"/>
        <w:keepNext w:val="0"/>
        <w:keepLines w:val="0"/>
        <w:pageBreakBefore w:val="0"/>
        <w:kinsoku/>
        <w:wordWrap/>
        <w:overflowPunct/>
        <w:topLinePunct w:val="0"/>
        <w:autoSpaceDE/>
        <w:autoSpaceDN/>
        <w:bidi w:val="0"/>
        <w:adjustRightInd/>
        <w:snapToGrid/>
        <w:spacing w:line="560" w:lineRule="exact"/>
        <w:ind w:firstLine="56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4、保障农村集体经济组织应有的自主权；</w:t>
      </w:r>
    </w:p>
    <w:p>
      <w:pPr>
        <w:pStyle w:val="5"/>
        <w:keepNext w:val="0"/>
        <w:keepLines w:val="0"/>
        <w:pageBreakBefore w:val="0"/>
        <w:kinsoku/>
        <w:wordWrap/>
        <w:overflowPunct/>
        <w:topLinePunct w:val="0"/>
        <w:autoSpaceDE/>
        <w:autoSpaceDN/>
        <w:bidi w:val="0"/>
        <w:adjustRightInd/>
        <w:snapToGrid/>
        <w:spacing w:line="560" w:lineRule="exact"/>
        <w:ind w:firstLine="56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5、保障少数民族的权利和尊重少数民族的风俗习惯；</w:t>
      </w:r>
    </w:p>
    <w:p>
      <w:pPr>
        <w:pStyle w:val="5"/>
        <w:keepNext w:val="0"/>
        <w:keepLines w:val="0"/>
        <w:pageBreakBefore w:val="0"/>
        <w:kinsoku/>
        <w:wordWrap/>
        <w:overflowPunct/>
        <w:topLinePunct w:val="0"/>
        <w:autoSpaceDE/>
        <w:autoSpaceDN/>
        <w:bidi w:val="0"/>
        <w:adjustRightInd/>
        <w:snapToGrid/>
        <w:spacing w:line="560" w:lineRule="exact"/>
        <w:ind w:firstLine="56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6、保障宪法和法律赋予妇女的男女平等、同工同酬和婚姻自由等各项权利；</w:t>
      </w:r>
    </w:p>
    <w:p>
      <w:pPr>
        <w:pStyle w:val="5"/>
        <w:keepNext w:val="0"/>
        <w:keepLines w:val="0"/>
        <w:pageBreakBefore w:val="0"/>
        <w:kinsoku/>
        <w:wordWrap/>
        <w:overflowPunct/>
        <w:topLinePunct w:val="0"/>
        <w:autoSpaceDE/>
        <w:autoSpaceDN/>
        <w:bidi w:val="0"/>
        <w:adjustRightInd/>
        <w:snapToGrid/>
        <w:spacing w:line="560" w:lineRule="exact"/>
        <w:ind w:firstLine="56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7、办理上级人民政府交办的其它事项。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库尔勒市哈拉玉宫镇人民政府2024年度，实有人数110人，其中：在职人员86人，增加4人；离休人员0人，较上年无变化；退休人员24人，增加3人。</w:t>
      </w:r>
    </w:p>
    <w:p>
      <w:pPr>
        <w:pStyle w:val="5"/>
        <w:keepNext w:val="0"/>
        <w:keepLines w:val="0"/>
        <w:pageBreakBefore w:val="0"/>
        <w:kinsoku/>
        <w:wordWrap/>
        <w:overflowPunct/>
        <w:topLinePunct w:val="0"/>
        <w:autoSpaceDE/>
        <w:autoSpaceDN/>
        <w:bidi w:val="0"/>
        <w:adjustRightInd/>
        <w:snapToGrid/>
        <w:spacing w:line="560" w:lineRule="exact"/>
        <w:ind w:firstLine="560"/>
        <w:textAlignment w:val="auto"/>
        <w:rPr>
          <w:rFonts w:hint="eastAsia" w:ascii="仿宋_GB2312" w:eastAsia="仿宋_GB2312" w:hAnsiTheme="minorHAnsi" w:cstheme="minorBidi"/>
          <w:b w:val="0"/>
          <w:sz w:val="32"/>
          <w:szCs w:val="32"/>
        </w:rPr>
      </w:pPr>
      <w:r>
        <w:rPr>
          <w:rFonts w:ascii="仿宋_GB2312" w:eastAsia="仿宋_GB2312" w:hAnsiTheme="minorHAnsi" w:cstheme="minorBidi"/>
          <w:b w:val="0"/>
          <w:sz w:val="32"/>
          <w:szCs w:val="32"/>
        </w:rPr>
        <w:t>库尔勒市哈拉玉宫镇人民政府无下属预算单位，下设个</w:t>
      </w:r>
      <w:r>
        <w:rPr>
          <w:rFonts w:hint="eastAsia" w:ascii="仿宋_GB2312" w:eastAsia="仿宋_GB2312" w:hAnsiTheme="minorHAnsi" w:cstheme="minorBidi"/>
          <w:b w:val="0"/>
          <w:sz w:val="32"/>
          <w:szCs w:val="32"/>
          <w:lang w:val="en-US" w:eastAsia="zh-CN"/>
        </w:rPr>
        <w:t>5办5中心</w:t>
      </w:r>
      <w:r>
        <w:rPr>
          <w:rFonts w:ascii="仿宋_GB2312" w:eastAsia="仿宋_GB2312" w:hAnsiTheme="minorHAnsi" w:cstheme="minorBidi"/>
          <w:b w:val="0"/>
          <w:sz w:val="32"/>
          <w:szCs w:val="32"/>
        </w:rPr>
        <w:t>，</w:t>
      </w:r>
      <w:r>
        <w:rPr>
          <w:rFonts w:hint="eastAsia" w:ascii="仿宋_GB2312" w:eastAsia="仿宋_GB2312" w:hAnsiTheme="minorHAnsi" w:cstheme="minorBidi"/>
          <w:b w:val="0"/>
          <w:sz w:val="32"/>
          <w:szCs w:val="32"/>
        </w:rPr>
        <w:t>分别是：库尔勒市哈拉玉宫镇人民政府无下属预算单位，下设5办，5中心，分别是：党政综合办公室，党建工作办公室，经济发展和财政办公室，社会事务办公室（退役军人服务站），综合执法办公室，农业发展中心，公共文化服务中心，村镇建设发展中心，综治和网格化服务中心，便民服务中心。</w:t>
      </w:r>
    </w:p>
    <w:p>
      <w:r>
        <w:rPr>
          <w:rFonts w:ascii="仿宋_GB2312" w:eastAsia="仿宋_GB2312" w:hAnsiTheme="minorHAnsi" w:cstheme="minorBidi"/>
          <w:b w:val="0"/>
          <w:sz w:val="32"/>
          <w:szCs w:val="32"/>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w:t>
      </w:r>
      <w:r>
        <w:rPr>
          <w:rFonts w:hint="eastAsia" w:ascii="黑体" w:eastAsia="黑体"/>
          <w:b w:val="0"/>
          <w:sz w:val="32"/>
          <w:szCs w:val="32"/>
          <w:lang w:val="en-US" w:eastAsia="zh-CN"/>
        </w:rPr>
        <w:t xml:space="preserve"> </w:t>
      </w:r>
      <w:r>
        <w:rPr>
          <w:rFonts w:ascii="黑体" w:eastAsia="黑体"/>
          <w:b w:val="0"/>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2024年度收入总计5,453.47万元，其中：本年收入合计5,453.47万元，使用非财政拨款结余（含专用结余）0.00万元，年初结转和结余0.00万元。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2024年度支出总计5,453.47万元，其中：本年支出合计5,453.47万元，结余分配0.00万元，年末结转和结余0.00万元。</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收入支出总体与上年相比，减少7,471.87万元，下降57.81%，主要原因是：</w:t>
      </w:r>
      <w:r>
        <w:rPr>
          <w:rFonts w:hint="eastAsia" w:ascii="仿宋_GB2312" w:eastAsia="仿宋_GB2312" w:hAnsiTheme="minorHAnsi" w:cstheme="minorBidi"/>
          <w:b w:val="0"/>
          <w:sz w:val="32"/>
          <w:szCs w:val="32"/>
          <w:lang w:val="en-US" w:eastAsia="zh-CN"/>
        </w:rPr>
        <w:t>2024年本镇减少中央财政衔接推进镇村振兴补助资金产业发展项目投资并棉花目标价格改革补贴资金。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本年收入5,453.47万元，其中：财政拨款收入5,451.47万元,占99.96%；上级补助收入0.00万元,占0.00%；事业收入0.00万元，占0.00%；经营收入0.00万元,占0.00%；附属单位上缴收入0.00万元，占0.00%；其他收入2.00万元，占0.04%。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本年支出5,453.47万元，其中：基本支出1,965.23万元，占36.04%；项目支出3,488.25万元，占63.96%；上缴上级支出0.00万元，占0.00%；经营支出0.00万元，占0.00%；对附属单位补助支出0.00万元，占0.00%。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2024年度财政拨款收入总计5,451.47万元，其中：年初财政拨款结转和结余0.00万元，本年财政拨款收入5,451.47万元。财政拨款支出总计5,451.47万元，其中：年末财政拨款结转和结余0.00万元，本年财政拨款支出5,451.47万元。</w:t>
      </w:r>
    </w:p>
    <w:p>
      <w:pPr>
        <w:keepNext w:val="0"/>
        <w:keepLines w:val="0"/>
        <w:pageBreakBefore w:val="0"/>
        <w:kinsoku/>
        <w:wordWrap/>
        <w:overflowPunct/>
        <w:topLinePunct w:val="0"/>
        <w:autoSpaceDE/>
        <w:autoSpaceDN/>
        <w:bidi w:val="0"/>
        <w:adjustRightInd/>
        <w:snapToGrid/>
        <w:spacing w:after="0" w:line="560" w:lineRule="exact"/>
        <w:jc w:val="both"/>
        <w:textAlignment w:val="auto"/>
        <w:rPr>
          <w:rFonts w:hint="eastAsia"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财政拨款收入支出总体与上年相比</w:t>
      </w:r>
      <w:r>
        <w:rPr>
          <w:rFonts w:hint="eastAsia" w:ascii="仿宋_GB2312" w:eastAsia="仿宋_GB2312" w:hAnsiTheme="minorHAnsi" w:cstheme="minorBidi"/>
          <w:b w:val="0"/>
          <w:sz w:val="32"/>
          <w:szCs w:val="32"/>
          <w:lang w:eastAsia="zh-CN"/>
        </w:rPr>
        <w:t>，</w:t>
      </w:r>
      <w:r>
        <w:rPr>
          <w:rFonts w:hint="eastAsia" w:ascii="仿宋_GB2312" w:eastAsia="仿宋_GB2312" w:hAnsiTheme="minorHAnsi" w:cstheme="minorBidi"/>
          <w:b w:val="0"/>
          <w:sz w:val="32"/>
          <w:szCs w:val="32"/>
        </w:rPr>
        <w:t>减少7,443.87万元，下降57.73%，主要原因是：</w:t>
      </w:r>
      <w:r>
        <w:rPr>
          <w:rFonts w:hint="eastAsia" w:ascii="仿宋_GB2312" w:eastAsia="仿宋_GB2312" w:hAnsiTheme="minorHAnsi" w:cstheme="minorBidi"/>
          <w:b w:val="0"/>
          <w:sz w:val="32"/>
          <w:szCs w:val="32"/>
          <w:lang w:val="en-US" w:eastAsia="zh-CN"/>
        </w:rPr>
        <w:t>2024年本镇减少中央财政衔接推进镇村振兴补助资金产业发展项目投资并棉花目标价格改革补贴资金。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与年初预算相比，年初预算数2,562.68万元，决算数5,451.47万元，预决算差异率112.73%，主要原因是：</w:t>
      </w:r>
      <w:r>
        <w:rPr>
          <w:rFonts w:hint="eastAsia" w:ascii="仿宋_GB2312" w:eastAsia="仿宋_GB2312" w:hAnsiTheme="minorHAnsi" w:cstheme="minorBidi"/>
          <w:b w:val="0"/>
          <w:sz w:val="32"/>
          <w:szCs w:val="32"/>
          <w:lang w:val="en-US" w:eastAsia="zh-CN"/>
        </w:rPr>
        <w:t>本镇2024年施行中央财政衔接推进镇村振兴补助资金(巴格吉代村人居环境整治项目，辣椒加工厂项目，巴格吉代村排水工程，巴格吉代村旅游观光配套基础设施建设项目，巴格吉代村硬化路面建设项目)投入资金2890.79万元</w:t>
      </w:r>
      <w:r>
        <w:rPr>
          <w:rFonts w:hint="eastAsia" w:ascii="仿宋_GB2312" w:eastAsia="仿宋_GB2312" w:hAnsiTheme="minorHAnsi" w:cstheme="minorBidi"/>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2024年度一般公共预算财政拨款支出5,237.37万元，占本年支出合计的96.04%。与上年相比，减少7,582.91万元，下降59.15%，主要原因是：</w:t>
      </w:r>
      <w:r>
        <w:rPr>
          <w:rFonts w:hint="eastAsia" w:ascii="仿宋_GB2312" w:eastAsia="仿宋_GB2312" w:hAnsiTheme="minorHAnsi" w:cstheme="minorBidi"/>
          <w:b w:val="0"/>
          <w:sz w:val="32"/>
          <w:szCs w:val="32"/>
          <w:lang w:val="en-US" w:eastAsia="zh-CN"/>
        </w:rPr>
        <w:t>2024年本镇减少中央财政衔接推进镇村振兴补助资金产业发展项目投资并棉花目标价格改革补贴资金。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与年初预算相比，年初预算数2,370.02万元，决算数5,237.37万元，预决算差异率120.98%，主要原因是：</w:t>
      </w:r>
      <w:r>
        <w:rPr>
          <w:rFonts w:hint="eastAsia" w:ascii="仿宋_GB2312" w:eastAsia="仿宋_GB2312" w:hAnsiTheme="minorHAnsi" w:cstheme="minorBidi"/>
          <w:b w:val="0"/>
          <w:sz w:val="32"/>
          <w:szCs w:val="32"/>
          <w:lang w:val="en-US" w:eastAsia="zh-CN"/>
        </w:rPr>
        <w:t>2024年增加中央财政衔接推进镇村振兴补助资金产业发展项目投资</w:t>
      </w:r>
      <w:r>
        <w:rPr>
          <w:rFonts w:hint="eastAsia" w:ascii="仿宋_GB2312" w:eastAsia="仿宋_GB2312" w:hAnsiTheme="minorHAnsi" w:cstheme="minorBidi"/>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一般公共服务支出（类）1,482.28万元，占28.30%。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教育支出（类）6.95万元，占0.13%。</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科学技术支出（类）0.10万元，占0.00%。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文化旅游体育与传媒支出（类）4.60万元，占0.09%。</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社会保障和就业支出（类）185.38万元，占3.54%。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卫生健康支出（类）75.99万元，占1.45%。</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农林水支出（类）3,359.29万元，占64.14%。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住房保障支出（类）117.35万元，占2.24%。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其他支出（类）5.43万元，占0.10%。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一般公共服务支出（类）人大事务（款）代表工作（项）：支出决算数为8.55万元，比上年决算增加5.68万元，增长197.91%，主要原因是：</w:t>
      </w:r>
      <w:r>
        <w:rPr>
          <w:rFonts w:hint="eastAsia" w:ascii="仿宋_GB2312" w:eastAsia="仿宋_GB2312" w:hAnsiTheme="minorHAnsi" w:cstheme="minorBidi"/>
          <w:b w:val="0"/>
          <w:sz w:val="32"/>
          <w:szCs w:val="32"/>
          <w:lang w:val="en-US" w:eastAsia="zh-CN"/>
        </w:rPr>
        <w:t>2024年发放人大代表履职补助并支付人大代表工作经费。</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lang w:eastAsia="zh-CN"/>
        </w:rPr>
      </w:pPr>
      <w:r>
        <w:rPr>
          <w:rFonts w:hint="eastAsia" w:ascii="仿宋_GB2312" w:eastAsia="仿宋_GB2312" w:hAnsiTheme="minorHAnsi" w:cstheme="minorBidi"/>
          <w:b w:val="0"/>
          <w:sz w:val="32"/>
          <w:szCs w:val="32"/>
        </w:rPr>
        <w:t>一般公共服务支出（类）政府办公厅（室）及相关机构事务（款）行政运行（项）：支出决算数为1,271.83万元，比上年决算减少114.39万元，下降8.25%，主要原因是：</w:t>
      </w:r>
      <w:r>
        <w:rPr>
          <w:rFonts w:hint="eastAsia" w:ascii="仿宋_GB2312" w:eastAsia="仿宋_GB2312" w:hAnsiTheme="minorHAnsi" w:cstheme="minorBidi"/>
          <w:b w:val="0"/>
          <w:sz w:val="32"/>
          <w:szCs w:val="32"/>
          <w:lang w:eastAsia="zh-CN"/>
        </w:rPr>
        <w:t>勤俭节约（</w:t>
      </w:r>
      <w:r>
        <w:rPr>
          <w:rFonts w:hint="eastAsia" w:ascii="仿宋_GB2312" w:eastAsia="仿宋_GB2312" w:hAnsiTheme="minorHAnsi" w:cstheme="minorBidi"/>
          <w:b w:val="0"/>
          <w:sz w:val="32"/>
          <w:szCs w:val="32"/>
        </w:rPr>
        <w:t>压缩</w:t>
      </w:r>
      <w:r>
        <w:rPr>
          <w:rFonts w:hint="eastAsia" w:ascii="仿宋_GB2312" w:eastAsia="仿宋_GB2312" w:hAnsiTheme="minorHAnsi" w:cstheme="minorBidi"/>
          <w:b w:val="0"/>
          <w:sz w:val="32"/>
          <w:szCs w:val="32"/>
          <w:lang w:val="en-US" w:eastAsia="zh-CN"/>
        </w:rPr>
        <w:t>公用经费</w:t>
      </w:r>
      <w:r>
        <w:rPr>
          <w:rFonts w:hint="eastAsia" w:ascii="仿宋_GB2312" w:eastAsia="仿宋_GB2312" w:hAnsiTheme="minorHAnsi" w:cstheme="minorBidi"/>
          <w:b w:val="0"/>
          <w:sz w:val="32"/>
          <w:szCs w:val="32"/>
        </w:rPr>
        <w:t>开支</w:t>
      </w:r>
      <w:r>
        <w:rPr>
          <w:rFonts w:hint="eastAsia" w:ascii="仿宋_GB2312" w:eastAsia="仿宋_GB2312" w:hAnsiTheme="minorHAnsi" w:cstheme="minorBidi"/>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lang w:eastAsia="zh-CN"/>
        </w:rPr>
      </w:pPr>
      <w:r>
        <w:rPr>
          <w:rFonts w:hint="eastAsia" w:ascii="仿宋_GB2312" w:eastAsia="仿宋_GB2312" w:hAnsiTheme="minorHAnsi" w:cstheme="minorBidi"/>
          <w:b w:val="0"/>
          <w:sz w:val="32"/>
          <w:szCs w:val="32"/>
        </w:rPr>
        <w:t>一般公共服务支出（类）政府办公厅（室）及相关机构事务（款）其他政府办公厅（室）及相关机构事务支出（项）：支出决算数为138.92万元，比上年决算减少101.70万元，下降42.27%，主要原因是：</w:t>
      </w:r>
      <w:r>
        <w:rPr>
          <w:rFonts w:hint="eastAsia" w:ascii="仿宋_GB2312" w:eastAsia="仿宋_GB2312" w:cstheme="minorBidi"/>
          <w:b w:val="0"/>
          <w:sz w:val="32"/>
          <w:szCs w:val="32"/>
          <w:lang w:val="en-US" w:eastAsia="zh-CN"/>
        </w:rPr>
        <w:t>减少</w:t>
      </w:r>
      <w:r>
        <w:rPr>
          <w:rFonts w:hint="eastAsia" w:ascii="仿宋_GB2312" w:eastAsia="仿宋_GB2312" w:hAnsiTheme="minorHAnsi" w:cstheme="minorBidi"/>
          <w:b w:val="0"/>
          <w:sz w:val="32"/>
          <w:szCs w:val="32"/>
          <w:lang w:eastAsia="zh-CN"/>
        </w:rPr>
        <w:t>基层组织建设项目及基层政权项目建设。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一般公共服务支出（类）纪检监察事务（款）其他纪检监察事务支出（项）：支出决算数为3.00万元，比上年决算增加1.50万元，增长100.00%，主要原因是：</w:t>
      </w:r>
      <w:r>
        <w:rPr>
          <w:rFonts w:hint="eastAsia" w:ascii="仿宋_GB2312" w:eastAsia="仿宋_GB2312" w:hAnsiTheme="minorHAnsi" w:cstheme="minorBidi"/>
          <w:b w:val="0"/>
          <w:sz w:val="32"/>
          <w:szCs w:val="32"/>
          <w:lang w:val="en-US" w:eastAsia="zh-CN"/>
        </w:rPr>
        <w:t>2024年增加纪检项目</w:t>
      </w:r>
      <w:r>
        <w:rPr>
          <w:rFonts w:hint="eastAsia" w:ascii="仿宋_GB2312" w:eastAsia="仿宋_GB2312" w:hAnsiTheme="minorHAnsi" w:cstheme="minorBidi"/>
          <w:b w:val="0"/>
          <w:sz w:val="32"/>
          <w:szCs w:val="32"/>
          <w:lang w:val="zh-CN"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一般公共服务支出（类）组织事务（款）其他组织事务支出（项）：支出决算数为59.98万元，比上年决算增加7.88万元，增长15.12%，主要原因是：</w:t>
      </w:r>
      <w:r>
        <w:rPr>
          <w:rFonts w:hint="eastAsia" w:ascii="仿宋_GB2312" w:eastAsia="仿宋_GB2312" w:hAnsiTheme="minorHAnsi" w:cstheme="minorBidi"/>
          <w:b w:val="0"/>
          <w:sz w:val="32"/>
          <w:szCs w:val="32"/>
          <w:lang w:val="en-US" w:eastAsia="zh-CN"/>
        </w:rPr>
        <w:t>2024年增加村</w:t>
      </w:r>
      <w:r>
        <w:rPr>
          <w:rFonts w:hint="eastAsia" w:ascii="仿宋_GB2312" w:eastAsia="仿宋_GB2312" w:hAnsiTheme="minorHAnsi" w:cstheme="minorBidi"/>
          <w:b w:val="0"/>
          <w:sz w:val="32"/>
          <w:szCs w:val="32"/>
          <w:lang w:val="zh-CN" w:eastAsia="zh-CN"/>
        </w:rPr>
        <w:t>级活动场所建设项目。</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一般公共服务支出（类）宣传事务（款）其他宣传事务支出（项）：支出决算数为0.00万元，比上年决算减少1.00万元，下降100.00%，主要原因是：</w:t>
      </w:r>
      <w:r>
        <w:rPr>
          <w:rFonts w:hint="eastAsia" w:ascii="仿宋_GB2312" w:eastAsia="仿宋_GB2312" w:hAnsiTheme="minorHAnsi" w:cstheme="minorBidi"/>
          <w:b w:val="0"/>
          <w:sz w:val="32"/>
          <w:szCs w:val="32"/>
          <w:lang w:val="en-US" w:eastAsia="zh-CN"/>
        </w:rPr>
        <w:t>2024年未安排此项目。</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一般公共服务支出（类）统战事务（款）宗教事务（项）：支出决算数为0.00万元，比上年决算减少2.00万元，下降100.00%，主要原因是：</w:t>
      </w:r>
      <w:r>
        <w:rPr>
          <w:rFonts w:hint="eastAsia" w:ascii="仿宋_GB2312" w:eastAsia="仿宋_GB2312" w:hAnsiTheme="minorHAnsi" w:cstheme="minorBidi"/>
          <w:b w:val="0"/>
          <w:sz w:val="32"/>
          <w:szCs w:val="32"/>
          <w:lang w:val="en-US" w:eastAsia="zh-CN"/>
        </w:rPr>
        <w:t>2024年未安排此项目。</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一般公共服务支出（类）统战事务（款）其他统战事务支出（项）：支出决算数为0.00万元，比上年决算减少2.67万元，下降100.00%，主要原因是：</w:t>
      </w:r>
      <w:r>
        <w:rPr>
          <w:rFonts w:hint="eastAsia" w:ascii="仿宋_GB2312" w:eastAsia="仿宋_GB2312" w:hAnsiTheme="minorHAnsi" w:cstheme="minorBidi"/>
          <w:b w:val="0"/>
          <w:sz w:val="32"/>
          <w:szCs w:val="32"/>
          <w:lang w:val="en-US" w:eastAsia="zh-CN"/>
        </w:rPr>
        <w:t>2024年未安排此项目。</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教育支出（类）进修及培训（款）培训支出（项）：支出决算数为6.95万元，比上年决算增加2.39万元，增长52.41%，主要原因是：</w:t>
      </w:r>
      <w:r>
        <w:rPr>
          <w:rFonts w:hint="eastAsia" w:ascii="仿宋_GB2312" w:eastAsia="仿宋_GB2312" w:hAnsiTheme="minorHAnsi" w:cstheme="minorBidi"/>
          <w:b w:val="0"/>
          <w:sz w:val="32"/>
          <w:szCs w:val="32"/>
          <w:lang w:val="en-US" w:eastAsia="zh-CN"/>
        </w:rPr>
        <w:t>2024年参加培训人员次数多。</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科学技术支出（类）科学技术普及（款）科普活动（项）：支出决算数为0.10万元，比上年决算减少0.30万元，下降75.00%，主要原因是：</w:t>
      </w:r>
      <w:r>
        <w:rPr>
          <w:rFonts w:hint="eastAsia" w:ascii="仿宋_GB2312" w:eastAsia="仿宋_GB2312" w:hAnsiTheme="minorHAnsi" w:cstheme="minorBidi"/>
          <w:b w:val="0"/>
          <w:sz w:val="32"/>
          <w:szCs w:val="32"/>
          <w:lang w:val="en-US" w:eastAsia="zh-CN"/>
        </w:rPr>
        <w:t>2024年减少科普馆费用。</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文化旅游体育与传媒支出（类）文化和旅游（款）群众文化（项）：支出决算数为0.30万元，比上年决算增加0.30万元，增长100.00%，主要原因是：</w:t>
      </w:r>
      <w:r>
        <w:rPr>
          <w:rFonts w:hint="eastAsia" w:ascii="仿宋_GB2312" w:eastAsia="仿宋_GB2312" w:hAnsiTheme="minorHAnsi" w:cstheme="minorBidi"/>
          <w:b w:val="0"/>
          <w:sz w:val="32"/>
          <w:szCs w:val="32"/>
          <w:lang w:val="en-US" w:eastAsia="zh-CN"/>
        </w:rPr>
        <w:t>2024年财政预算安排</w:t>
      </w:r>
      <w:r>
        <w:rPr>
          <w:rFonts w:hint="eastAsia" w:ascii="仿宋_GB2312" w:eastAsia="仿宋_GB2312" w:hAnsiTheme="minorHAnsi" w:cstheme="minorBidi"/>
          <w:b w:val="0"/>
          <w:sz w:val="32"/>
          <w:szCs w:val="32"/>
        </w:rPr>
        <w:t>群众文化</w:t>
      </w:r>
      <w:r>
        <w:rPr>
          <w:rFonts w:hint="eastAsia" w:ascii="仿宋_GB2312" w:eastAsia="仿宋_GB2312" w:hAnsiTheme="minorHAnsi" w:cstheme="minorBidi"/>
          <w:b w:val="0"/>
          <w:sz w:val="32"/>
          <w:szCs w:val="32"/>
          <w:lang w:eastAsia="zh-CN"/>
        </w:rPr>
        <w:t>项目资金。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文化旅游体育与传媒支出（类）文化和旅游（款）其他文化和旅游支出（项）：支出决算数为4.30万元，比上年决算增加0.30万元，增长7.50%，主要原因是：</w:t>
      </w:r>
      <w:r>
        <w:rPr>
          <w:rFonts w:hint="eastAsia" w:ascii="仿宋_GB2312" w:eastAsia="仿宋_GB2312" w:hAnsiTheme="minorHAnsi" w:cstheme="minorBidi"/>
          <w:b w:val="0"/>
          <w:sz w:val="32"/>
          <w:szCs w:val="32"/>
          <w:lang w:val="en-US" w:eastAsia="zh-CN"/>
        </w:rPr>
        <w:t>2024年本单位比上年开展文化活动次数多。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b w:val="0"/>
          <w:sz w:val="32"/>
          <w:szCs w:val="32"/>
          <w:lang w:val="zh-CN" w:eastAsia="zh-CN"/>
        </w:rPr>
      </w:pPr>
      <w:r>
        <w:rPr>
          <w:rFonts w:hint="eastAsia" w:ascii="仿宋_GB2312" w:eastAsia="仿宋_GB2312" w:hAnsiTheme="minorHAnsi" w:cstheme="minorBidi"/>
          <w:b w:val="0"/>
          <w:sz w:val="32"/>
          <w:szCs w:val="32"/>
        </w:rPr>
        <w:t>文化旅游体育与传媒支出（类）其他文化旅游体育与传媒支出（款）其他文化旅游体育与传媒支出（项）：支出决算数为0.00万元，比上年决算减少6.34万元，下降100.00%，主要原因是：</w:t>
      </w:r>
      <w:r>
        <w:rPr>
          <w:rFonts w:hint="eastAsia" w:ascii="仿宋_GB2312" w:eastAsia="仿宋_GB2312" w:hAnsiTheme="minorHAnsi" w:cstheme="minorBidi"/>
          <w:b w:val="0"/>
          <w:sz w:val="32"/>
          <w:szCs w:val="32"/>
          <w:lang w:val="en-US" w:eastAsia="zh-CN"/>
        </w:rPr>
        <w:t>2024年未支付</w:t>
      </w:r>
      <w:r>
        <w:rPr>
          <w:rFonts w:hint="eastAsia" w:ascii="仿宋_GB2312" w:eastAsia="仿宋_GB2312" w:hAnsiTheme="minorHAnsi" w:cstheme="minorBidi"/>
          <w:b w:val="0"/>
          <w:sz w:val="32"/>
          <w:szCs w:val="32"/>
        </w:rPr>
        <w:t>文化旅游体育与传媒支出</w:t>
      </w:r>
      <w:r>
        <w:rPr>
          <w:rFonts w:hint="eastAsia" w:ascii="仿宋_GB2312" w:eastAsia="仿宋_GB2312" w:hAnsiTheme="minorHAnsi" w:cstheme="minorBidi"/>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社会保障和就业支出（类）行政事业单位养老支出（款）行政单位离退休（项）：支出决算数为15.98万元，比上年决算增加2.78万元，增长21.06%，主要原因是：</w:t>
      </w:r>
      <w:r>
        <w:rPr>
          <w:rFonts w:hint="eastAsia" w:ascii="仿宋_GB2312" w:eastAsia="仿宋_GB2312" w:hAnsiTheme="minorHAnsi" w:cstheme="minorBidi"/>
          <w:b w:val="0"/>
          <w:sz w:val="32"/>
          <w:szCs w:val="32"/>
          <w:lang w:val="en-US" w:eastAsia="zh-CN"/>
        </w:rPr>
        <w:t>2024年因人员</w:t>
      </w:r>
      <w:r>
        <w:rPr>
          <w:rFonts w:hint="eastAsia" w:ascii="仿宋_GB2312" w:eastAsia="仿宋_GB2312" w:cstheme="minorBidi"/>
          <w:b w:val="0"/>
          <w:sz w:val="32"/>
          <w:szCs w:val="32"/>
          <w:lang w:val="en-US" w:eastAsia="zh-CN"/>
        </w:rPr>
        <w:t>退休人员比上年增加。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社会保障和就业支出（类）行政事业单位养老支出（款）机关事业单位基本养老保险缴费支出（项）：支出决算数为146.65万元，比上年决算增加16.44万元，增长12.63%，主要原因是</w:t>
      </w:r>
      <w:r>
        <w:rPr>
          <w:rFonts w:hint="eastAsia" w:ascii="仿宋_GB2312" w:eastAsia="仿宋_GB2312" w:hAnsiTheme="minorHAnsi" w:cstheme="minorBidi"/>
          <w:b w:val="0"/>
          <w:sz w:val="32"/>
          <w:szCs w:val="32"/>
          <w:lang w:eastAsia="zh-CN"/>
        </w:rPr>
        <w:t>：</w:t>
      </w:r>
      <w:r>
        <w:rPr>
          <w:rFonts w:hint="eastAsia" w:ascii="仿宋_GB2312" w:eastAsia="仿宋_GB2312" w:hAnsiTheme="minorHAnsi" w:cstheme="minorBidi"/>
          <w:b w:val="0"/>
          <w:sz w:val="32"/>
          <w:szCs w:val="32"/>
          <w:lang w:val="en-US" w:eastAsia="zh-CN"/>
        </w:rPr>
        <w:t>本年度退休人员增加</w:t>
      </w:r>
      <w:r>
        <w:rPr>
          <w:rFonts w:hint="eastAsia" w:ascii="仿宋_GB2312" w:eastAsia="仿宋_GB2312" w:cstheme="minorBidi"/>
          <w:b w:val="0"/>
          <w:sz w:val="32"/>
          <w:szCs w:val="32"/>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社会保障和就业支出（类）行政事业单位养老支出（款）机关事业单位职业年金缴费支出（项）：支出决算数为14.84万元，比上年决算减少14.77万元，下降49.88%，主要原因是：202</w:t>
      </w:r>
      <w:r>
        <w:rPr>
          <w:rFonts w:hint="eastAsia" w:ascii="仿宋_GB2312" w:eastAsia="仿宋_GB2312" w:hAnsiTheme="minorHAnsi" w:cstheme="minorBidi"/>
          <w:b w:val="0"/>
          <w:sz w:val="32"/>
          <w:szCs w:val="32"/>
          <w:lang w:val="en-US" w:eastAsia="zh-CN"/>
        </w:rPr>
        <w:t>4</w:t>
      </w:r>
      <w:r>
        <w:rPr>
          <w:rFonts w:hint="eastAsia" w:ascii="仿宋_GB2312" w:eastAsia="仿宋_GB2312" w:hAnsiTheme="minorHAnsi" w:cstheme="minorBidi"/>
          <w:b w:val="0"/>
          <w:sz w:val="32"/>
          <w:szCs w:val="32"/>
        </w:rPr>
        <w:t>年将由部门预算编制的职业年金预算统一调整为由财政统一编制预算，所以较上年下降。</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社会保障和就业支出（类）就业补助（款）公益性岗位补贴（项）：支出决算数为0.00万元，比上年决算减少22.65万元，下降100.00%，主要原因是：</w:t>
      </w:r>
      <w:r>
        <w:rPr>
          <w:rFonts w:hint="eastAsia" w:ascii="仿宋_GB2312" w:eastAsia="仿宋_GB2312" w:hAnsiTheme="minorHAnsi" w:cstheme="minorBidi"/>
          <w:b w:val="0"/>
          <w:sz w:val="32"/>
          <w:szCs w:val="32"/>
          <w:lang w:val="en-US" w:eastAsia="zh-CN"/>
        </w:rPr>
        <w:t>本年度未安排</w:t>
      </w:r>
      <w:r>
        <w:rPr>
          <w:rFonts w:hint="eastAsia" w:ascii="仿宋_GB2312" w:eastAsia="仿宋_GB2312" w:hAnsiTheme="minorHAnsi" w:cstheme="minorBidi"/>
          <w:b w:val="0"/>
          <w:sz w:val="32"/>
          <w:szCs w:val="32"/>
        </w:rPr>
        <w:t>公益性岗位补贴</w:t>
      </w:r>
      <w:r>
        <w:rPr>
          <w:rFonts w:hint="eastAsia" w:ascii="仿宋_GB2312" w:eastAsia="仿宋_GB2312" w:hAnsiTheme="minorHAnsi" w:cstheme="minorBidi"/>
          <w:b w:val="0"/>
          <w:sz w:val="32"/>
          <w:szCs w:val="32"/>
          <w:lang w:val="en-US" w:eastAsia="zh-CN"/>
        </w:rPr>
        <w:t>预算，所以较上年</w:t>
      </w:r>
      <w:r>
        <w:rPr>
          <w:rFonts w:hint="eastAsia" w:ascii="仿宋_GB2312" w:eastAsia="仿宋_GB2312" w:hAnsiTheme="minorHAnsi" w:cstheme="minorBidi"/>
          <w:b w:val="0"/>
          <w:sz w:val="32"/>
          <w:szCs w:val="32"/>
        </w:rPr>
        <w:t>下降100.00%。</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社会保障和就业支出（类）社会福利（款）其他社会福利支出（项）：支出决算数为0.00万元，比上年决算减少3.00万元，下降100.00%，主要原因是：</w:t>
      </w:r>
      <w:r>
        <w:rPr>
          <w:rFonts w:hint="eastAsia" w:ascii="仿宋_GB2312" w:eastAsia="仿宋_GB2312" w:hAnsiTheme="minorHAnsi" w:cstheme="minorBidi"/>
          <w:b w:val="0"/>
          <w:sz w:val="32"/>
          <w:szCs w:val="32"/>
          <w:lang w:val="en-US" w:eastAsia="zh-CN"/>
        </w:rPr>
        <w:t>2024年未安排此项目。</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社会保障和就业支出（类）其他生活救助（款）其他农村生活救助（项）：支出决算数为7.90万元，比上年决算增加7.90万元，增长100.00%，主要原因是：</w:t>
      </w:r>
      <w:r>
        <w:rPr>
          <w:rFonts w:hint="eastAsia" w:ascii="仿宋_GB2312" w:eastAsia="仿宋_GB2312" w:hAnsiTheme="minorHAnsi" w:cstheme="minorBidi"/>
          <w:b w:val="0"/>
          <w:sz w:val="32"/>
          <w:szCs w:val="32"/>
          <w:lang w:val="en-US" w:eastAsia="zh-CN"/>
        </w:rPr>
        <w:t>2024年发放城乡困难家庭冬季采暖生活补助。</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lang w:eastAsia="zh-CN"/>
        </w:rPr>
      </w:pPr>
      <w:r>
        <w:rPr>
          <w:rFonts w:hint="eastAsia" w:ascii="仿宋_GB2312" w:eastAsia="仿宋_GB2312" w:hAnsiTheme="minorHAnsi" w:cstheme="minorBidi"/>
          <w:b w:val="0"/>
          <w:sz w:val="32"/>
          <w:szCs w:val="32"/>
        </w:rPr>
        <w:t>卫生健康支出（类）行政事业单位医疗（款）行政单位医疗（项）：支出决算数为67.12万元，比上年决算增加6.85万元，增长11.37%，主要原因是：</w:t>
      </w:r>
      <w:r>
        <w:rPr>
          <w:rFonts w:hint="eastAsia" w:ascii="仿宋_GB2312" w:eastAsia="仿宋_GB2312" w:hAnsiTheme="minorHAnsi" w:cstheme="minorBidi"/>
          <w:b w:val="0"/>
          <w:sz w:val="32"/>
          <w:szCs w:val="32"/>
          <w:lang w:val="en-US" w:eastAsia="zh-CN"/>
        </w:rPr>
        <w:t>本年度在职人员</w:t>
      </w:r>
      <w:r>
        <w:rPr>
          <w:rFonts w:hint="eastAsia" w:ascii="仿宋_GB2312" w:eastAsia="仿宋_GB2312" w:hAnsiTheme="minorHAnsi" w:cstheme="minorBidi"/>
          <w:b w:val="0"/>
          <w:sz w:val="32"/>
          <w:szCs w:val="32"/>
        </w:rPr>
        <w:t>工资</w:t>
      </w:r>
      <w:r>
        <w:rPr>
          <w:rFonts w:hint="eastAsia" w:ascii="仿宋_GB2312" w:eastAsia="仿宋_GB2312" w:hAnsiTheme="minorHAnsi" w:cstheme="minorBidi"/>
          <w:b w:val="0"/>
          <w:sz w:val="32"/>
          <w:szCs w:val="32"/>
          <w:lang w:val="en-US" w:eastAsia="zh-CN"/>
        </w:rPr>
        <w:t>及医疗基数</w:t>
      </w:r>
      <w:r>
        <w:rPr>
          <w:rFonts w:hint="eastAsia" w:ascii="仿宋_GB2312" w:eastAsia="仿宋_GB2312" w:hAnsiTheme="minorHAnsi" w:cstheme="minorBidi"/>
          <w:b w:val="0"/>
          <w:sz w:val="32"/>
          <w:szCs w:val="32"/>
        </w:rPr>
        <w:t>调增</w:t>
      </w:r>
      <w:r>
        <w:rPr>
          <w:rFonts w:hint="eastAsia" w:ascii="仿宋_GB2312" w:eastAsia="仿宋_GB2312" w:hAnsiTheme="minorHAnsi" w:cstheme="minorBidi"/>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卫生健康支出（类）行政事业单位医疗（款）公务员医疗补助（项）：支出决算数为8.87万元，比上年决算增加1.59万元，增长21.84%，主要原因是：</w:t>
      </w:r>
      <w:r>
        <w:rPr>
          <w:rFonts w:hint="eastAsia" w:ascii="仿宋_GB2312" w:eastAsia="仿宋_GB2312" w:hAnsiTheme="minorHAnsi" w:cstheme="minorBidi"/>
          <w:b w:val="0"/>
          <w:sz w:val="32"/>
          <w:szCs w:val="32"/>
          <w:lang w:val="en-US" w:eastAsia="zh-CN"/>
        </w:rPr>
        <w:t>2024年因公务人</w:t>
      </w:r>
      <w:r>
        <w:rPr>
          <w:rFonts w:hint="eastAsia" w:ascii="仿宋_GB2312" w:eastAsia="仿宋_GB2312" w:cstheme="minorBidi"/>
          <w:b w:val="0"/>
          <w:sz w:val="32"/>
          <w:szCs w:val="32"/>
          <w:lang w:val="en-US" w:eastAsia="zh-CN"/>
        </w:rPr>
        <w:t>数增加</w:t>
      </w:r>
      <w:r>
        <w:rPr>
          <w:rFonts w:hint="eastAsia" w:ascii="仿宋_GB2312" w:eastAsia="仿宋_GB2312" w:hAnsiTheme="minorHAnsi" w:cstheme="minorBidi"/>
          <w:b w:val="0"/>
          <w:sz w:val="32"/>
          <w:szCs w:val="32"/>
          <w:lang w:val="en-US" w:eastAsia="zh-CN"/>
        </w:rPr>
        <w:t>，公务员医疗补助增加。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农林水支出（类）巩固脱贫攻坚成果衔接乡村振兴（款）农村基础设施建设（项）：支出决算数为0.00万元，比上年决算减少1,000.00万元，下降100.00%，主要原因是：</w:t>
      </w:r>
      <w:r>
        <w:rPr>
          <w:rFonts w:hint="eastAsia" w:ascii="仿宋_GB2312" w:eastAsia="仿宋_GB2312" w:hAnsiTheme="minorHAnsi" w:cstheme="minorBidi"/>
          <w:b w:val="0"/>
          <w:sz w:val="32"/>
          <w:szCs w:val="32"/>
          <w:lang w:val="en-US" w:eastAsia="zh-CN"/>
        </w:rPr>
        <w:t>2024年未实施农村</w:t>
      </w:r>
      <w:r>
        <w:rPr>
          <w:rFonts w:hint="eastAsia" w:ascii="仿宋_GB2312" w:eastAsia="仿宋_GB2312" w:hAnsiTheme="minorHAnsi" w:cstheme="minorBidi"/>
          <w:b w:val="0"/>
          <w:sz w:val="32"/>
          <w:szCs w:val="32"/>
        </w:rPr>
        <w:t>础设施建设</w:t>
      </w:r>
      <w:r>
        <w:rPr>
          <w:rFonts w:hint="eastAsia" w:ascii="仿宋_GB2312" w:eastAsia="仿宋_GB2312" w:hAnsiTheme="minorHAnsi" w:cstheme="minorBidi"/>
          <w:b w:val="0"/>
          <w:sz w:val="32"/>
          <w:szCs w:val="32"/>
          <w:lang w:eastAsia="zh-CN"/>
        </w:rPr>
        <w:t>项目。</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农林水支出（类）巩固脱贫攻坚成果衔接乡村振兴（款）生产发展（项）：支出决算数为3,188.04万元，比上年决算增加2,002.68万元，增长168.95%，主要原因是：</w:t>
      </w:r>
      <w:r>
        <w:rPr>
          <w:rFonts w:hint="eastAsia" w:ascii="仿宋_GB2312" w:eastAsia="仿宋_GB2312" w:hAnsiTheme="minorHAnsi" w:cstheme="minorBidi"/>
          <w:b w:val="0"/>
          <w:sz w:val="32"/>
          <w:szCs w:val="32"/>
          <w:lang w:val="en-US" w:eastAsia="zh-CN"/>
        </w:rPr>
        <w:t>2024年新增乡村振兴项目（巴格吉代村示范村）。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农林水支出（类）巩固脱贫攻坚成果衔接乡村振兴（款）其他巩固脱贫攻坚成果衔接乡村振兴支出（项）：支出决算数为60.07万元，比上年决算增加13.19万元，增长28.14%，主要原因是：</w:t>
      </w:r>
      <w:r>
        <w:rPr>
          <w:rFonts w:hint="eastAsia" w:ascii="仿宋_GB2312" w:eastAsia="仿宋_GB2312" w:hAnsiTheme="minorHAnsi" w:cstheme="minorBidi"/>
          <w:b w:val="0"/>
          <w:sz w:val="32"/>
          <w:szCs w:val="32"/>
          <w:lang w:val="en-US" w:eastAsia="zh-CN"/>
        </w:rPr>
        <w:t>2024年新增乡村振兴项目（巴格吉代村示范村项目）。</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农林水支出（类）农村综合改革（款）对村级公益事业建设的补助（项）：支出决算数为41.71万元，比上年决算增加25.82万元，增长162.49%，主要原因是：</w:t>
      </w:r>
      <w:r>
        <w:rPr>
          <w:rFonts w:hint="eastAsia" w:ascii="仿宋_GB2312" w:eastAsia="仿宋_GB2312" w:hAnsiTheme="minorHAnsi" w:cstheme="minorBidi"/>
          <w:b w:val="0"/>
          <w:sz w:val="32"/>
          <w:szCs w:val="32"/>
          <w:lang w:val="en-US" w:eastAsia="zh-CN"/>
        </w:rPr>
        <w:t>2024年支付2020年美丽乡村建设资金工程尾款。</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lang w:eastAsia="zh-CN"/>
        </w:rPr>
      </w:pPr>
      <w:r>
        <w:rPr>
          <w:rFonts w:hint="eastAsia" w:ascii="仿宋_GB2312" w:eastAsia="仿宋_GB2312" w:hAnsiTheme="minorHAnsi" w:cstheme="minorBidi"/>
          <w:b w:val="0"/>
          <w:sz w:val="32"/>
          <w:szCs w:val="32"/>
        </w:rPr>
        <w:t>农林水支出（类）农村综合改革（款）对村民委员会和村党支部的补助（项）：支出决算数为69.47万元，比上年决算减少280.50万元，下降80.15%，主要原因是：厉行节俭，压缩村级运转经费</w:t>
      </w:r>
      <w:r>
        <w:rPr>
          <w:rFonts w:hint="eastAsia" w:ascii="仿宋_GB2312" w:eastAsia="仿宋_GB2312" w:hAnsiTheme="minorHAnsi" w:cstheme="minorBidi"/>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农林水支出（类）目标价格补贴（款）棉花目标价格补贴（项）：支出决算数为0.00万元，比上年决算减少8,147.37万元，下降100.00%，主要原因是：</w:t>
      </w:r>
      <w:r>
        <w:rPr>
          <w:rFonts w:hint="eastAsia" w:ascii="仿宋_GB2312" w:eastAsia="仿宋_GB2312" w:hAnsiTheme="minorHAnsi" w:cstheme="minorBidi"/>
          <w:b w:val="0"/>
          <w:sz w:val="32"/>
          <w:szCs w:val="32"/>
          <w:lang w:val="en-US" w:eastAsia="zh-CN"/>
        </w:rPr>
        <w:t>2024年未通过财政大平台发放</w:t>
      </w:r>
      <w:r>
        <w:rPr>
          <w:rFonts w:hint="eastAsia" w:ascii="仿宋_GB2312" w:eastAsia="仿宋_GB2312" w:hAnsiTheme="minorHAnsi" w:cstheme="minorBidi"/>
          <w:b w:val="0"/>
          <w:sz w:val="32"/>
          <w:szCs w:val="32"/>
        </w:rPr>
        <w:t>棉花目标价格补贴</w:t>
      </w:r>
      <w:r>
        <w:rPr>
          <w:rFonts w:hint="eastAsia" w:ascii="仿宋_GB2312" w:eastAsia="仿宋_GB2312" w:hAnsiTheme="minorHAnsi" w:cstheme="minorBidi"/>
          <w:b w:val="0"/>
          <w:sz w:val="32"/>
          <w:szCs w:val="32"/>
          <w:lang w:eastAsia="zh-CN"/>
        </w:rPr>
        <w:t>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住房保障支出（类）住房改革支出（款）住房公积金（项）：支出决算数为117.35万元，比上年决算增加13.01万元，增长12.47%，主要原因是：</w:t>
      </w:r>
      <w:r>
        <w:rPr>
          <w:rFonts w:hint="eastAsia" w:ascii="仿宋_GB2312" w:eastAsia="仿宋_GB2312" w:hAnsiTheme="minorHAnsi" w:cstheme="minorBidi"/>
          <w:b w:val="0"/>
          <w:sz w:val="32"/>
          <w:szCs w:val="32"/>
          <w:lang w:val="en-US" w:eastAsia="zh-CN"/>
        </w:rPr>
        <w:t>住房公积金基数调整原因比上年决算增加</w:t>
      </w:r>
      <w:r>
        <w:rPr>
          <w:rFonts w:hint="eastAsia" w:ascii="仿宋_GB2312" w:eastAsia="仿宋_GB2312" w:hAnsiTheme="minorHAnsi" w:cstheme="minorBidi"/>
          <w:b w:val="0"/>
          <w:sz w:val="32"/>
          <w:szCs w:val="32"/>
          <w:lang w:val="zh-CN"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其他支出（类）其他支出（款）其他支出（项）：支出决算数为5.43万元，比上年决算增加5.43万元，增长100.00%，主要原因是：</w:t>
      </w:r>
      <w:r>
        <w:rPr>
          <w:rFonts w:hint="eastAsia" w:ascii="仿宋_GB2312" w:eastAsia="仿宋_GB2312" w:hAnsiTheme="minorHAnsi" w:cstheme="minorBidi"/>
          <w:b w:val="0"/>
          <w:sz w:val="32"/>
          <w:szCs w:val="32"/>
          <w:lang w:val="en-US" w:eastAsia="zh-CN"/>
        </w:rPr>
        <w:t>2024年发放纾困救助资金。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2024年度一般公共预算财政拨款基本支出1,963.23万元，其中：人员经费1,602.74万元，包括：基本工资、津贴补贴、奖金、机关事业单位基本养老保险缴费、职业年金缴费、职工基本医疗保险缴费、公务员医疗补助缴费、其他社会保障缴费、住房公积金、医疗费、其他工资福利支出、退休费、生活补助、救济费和其他对个人和家庭的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公用经费360.49万元，包括：办公费、印刷费、水费、电费、邮电费、取暖费、维修（护）费、培训费、劳务费、工会经费、福利费、公务用车运行维护费和其他商品和服务支出。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2024年度政府性基金预算财政拨款收入总计214.10万元，其中：年初结转和结余0.00万元，本年收入214.10万元。政府性基金预算财政拨款支出总计214.10万元，其中：年末结转和结余0.00万元，本年支出214.10万元。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政府性基金预算财政拨款收入支出总体与上年相比，增加139.05万元，增长185.28%</w:t>
      </w:r>
      <w:r>
        <w:rPr>
          <w:rFonts w:hint="eastAsia" w:ascii="仿宋_GB2312" w:eastAsia="仿宋_GB2312" w:hAnsiTheme="minorHAnsi" w:cstheme="minorBidi"/>
          <w:b w:val="0"/>
          <w:sz w:val="32"/>
          <w:szCs w:val="32"/>
          <w:highlight w:val="none"/>
        </w:rPr>
        <w:t>，主要原因是：</w:t>
      </w:r>
      <w:r>
        <w:rPr>
          <w:rFonts w:hint="eastAsia" w:ascii="仿宋_GB2312" w:eastAsia="仿宋_GB2312" w:cstheme="minorBidi"/>
          <w:b w:val="0"/>
          <w:sz w:val="32"/>
          <w:szCs w:val="32"/>
          <w:highlight w:val="none"/>
          <w:lang w:val="en-US" w:eastAsia="zh-CN"/>
        </w:rPr>
        <w:t>2024年财政安排征收经费</w:t>
      </w:r>
      <w:r>
        <w:rPr>
          <w:rFonts w:hint="eastAsia" w:ascii="仿宋_GB2312" w:eastAsia="仿宋_GB2312" w:hAnsiTheme="minorHAnsi" w:cstheme="minorBidi"/>
          <w:b w:val="0"/>
          <w:sz w:val="32"/>
          <w:szCs w:val="32"/>
          <w:highlight w:val="none"/>
        </w:rPr>
        <w:t>。与年初预算相比，年初预算数192.66万元，决算数214.10万元，预决算差异率11.13%，主要原因是：</w:t>
      </w:r>
      <w:r>
        <w:rPr>
          <w:rFonts w:hint="eastAsia" w:ascii="仿宋_GB2312" w:eastAsia="仿宋_GB2312" w:hAnsiTheme="minorHAnsi" w:cstheme="minorBidi"/>
          <w:b w:val="0"/>
          <w:sz w:val="32"/>
          <w:szCs w:val="32"/>
          <w:highlight w:val="none"/>
          <w:lang w:val="en-US" w:eastAsia="zh-CN"/>
        </w:rPr>
        <w:t>2</w:t>
      </w:r>
      <w:r>
        <w:rPr>
          <w:rFonts w:hint="eastAsia" w:ascii="仿宋_GB2312" w:eastAsia="仿宋_GB2312" w:hAnsiTheme="minorHAnsi" w:cstheme="minorBidi"/>
          <w:b w:val="0"/>
          <w:sz w:val="32"/>
          <w:szCs w:val="32"/>
          <w:lang w:val="en-US" w:eastAsia="zh-CN"/>
        </w:rPr>
        <w:t>024年新增项目征收经费资金。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政府性基金预算财政拨款支出214.10万元。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节能环保支出（类）超长期特别国债安排的支出（款）“三北”工程建设（项）：支出决算数为21.53万元，比上年决算增加21.53万元，增长100.00%，主要原因是：</w:t>
      </w:r>
      <w:r>
        <w:rPr>
          <w:rFonts w:hint="eastAsia" w:ascii="仿宋_GB2312" w:eastAsia="仿宋_GB2312" w:hAnsiTheme="minorHAnsi" w:cstheme="minorBidi"/>
          <w:b w:val="0"/>
          <w:sz w:val="32"/>
          <w:szCs w:val="32"/>
          <w:lang w:val="en-US" w:eastAsia="zh-CN"/>
        </w:rPr>
        <w:t>2024年新增项目</w:t>
      </w:r>
      <w:r>
        <w:rPr>
          <w:rFonts w:hint="eastAsia" w:ascii="仿宋_GB2312" w:eastAsia="仿宋_GB2312" w:hAnsiTheme="minorHAnsi" w:cstheme="minorBidi"/>
          <w:b w:val="0"/>
          <w:sz w:val="32"/>
          <w:szCs w:val="32"/>
        </w:rPr>
        <w:t>“三北”工程建设</w:t>
      </w:r>
      <w:r>
        <w:rPr>
          <w:rFonts w:hint="eastAsia" w:ascii="仿宋_GB2312" w:eastAsia="仿宋_GB2312" w:hAnsiTheme="minorHAnsi" w:cstheme="minorBidi"/>
          <w:b w:val="0"/>
          <w:sz w:val="32"/>
          <w:szCs w:val="32"/>
          <w:lang w:val="en-US" w:eastAsia="zh-CN"/>
        </w:rPr>
        <w:t>-塔里木河干流生态综合治理项目。</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城乡社区支出（类）国有土地使用权出让收入安排的支出（款）农村基础设施建设支出（项）：支出决算数为127.94万元，比上年决算增加70.44万元，增长122.50%，主要原因是：</w:t>
      </w:r>
      <w:r>
        <w:rPr>
          <w:rFonts w:hint="eastAsia" w:ascii="仿宋_GB2312" w:eastAsia="仿宋_GB2312" w:hAnsiTheme="minorHAnsi" w:cstheme="minorBidi"/>
          <w:b w:val="0"/>
          <w:sz w:val="32"/>
          <w:szCs w:val="32"/>
          <w:lang w:val="en-US" w:eastAsia="zh-CN"/>
        </w:rPr>
        <w:t>2024年支付2022年自治区基层组织建设资金（中兴社区建设设施）及2022年中央基建投资预算项目资金（五小工程，巴格吉代村村级活动场所建设项目工程）。</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城乡社区支出（类）国有土地使用权出让收入安排的支出（款）农村社会事业支出（项）：支出决算数为64.63万元，比上年决算增加64.63万元，增长100.00%，主要原因是：</w:t>
      </w:r>
      <w:r>
        <w:rPr>
          <w:rFonts w:hint="eastAsia" w:ascii="仿宋_GB2312" w:eastAsia="仿宋_GB2312" w:hAnsiTheme="minorHAnsi" w:cstheme="minorBidi"/>
          <w:b w:val="0"/>
          <w:sz w:val="32"/>
          <w:szCs w:val="32"/>
          <w:lang w:val="en-US" w:eastAsia="zh-CN"/>
        </w:rPr>
        <w:t>2024年新增项目乡村建设经费。</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城乡社区支出（类）国有土地使用权出让收入安排的支出（款）其他国有土地使用权出让收入安排的支出（项）：支出决算数为0.00万元，比上年决算减少17.55万元，下降100.00%，主要原因是：</w:t>
      </w:r>
      <w:r>
        <w:rPr>
          <w:rFonts w:hint="eastAsia" w:ascii="仿宋_GB2312" w:eastAsia="仿宋_GB2312" w:hAnsiTheme="minorHAnsi" w:cstheme="minorBidi"/>
          <w:b w:val="0"/>
          <w:sz w:val="32"/>
          <w:szCs w:val="32"/>
          <w:lang w:val="en-US" w:eastAsia="zh-CN"/>
        </w:rPr>
        <w:t>2024年未实施此项目</w:t>
      </w:r>
      <w:r>
        <w:rPr>
          <w:rFonts w:hint="eastAsia" w:ascii="仿宋_GB2312" w:eastAsia="仿宋_GB2312" w:cstheme="minorBidi"/>
          <w:b w:val="0"/>
          <w:sz w:val="32"/>
          <w:szCs w:val="32"/>
          <w:lang w:val="en-US"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2024年度财政拨款“三公”经费支出14.24万元，比上年减少4.95万元，下降25.79%，主要原因是：</w:t>
      </w:r>
      <w:r>
        <w:rPr>
          <w:rFonts w:hint="eastAsia" w:ascii="仿宋_GB2312" w:eastAsia="仿宋_GB2312" w:cstheme="minorBidi"/>
          <w:b w:val="0"/>
          <w:sz w:val="32"/>
          <w:szCs w:val="32"/>
          <w:lang w:val="en-US" w:eastAsia="zh-CN"/>
        </w:rPr>
        <w:t>我单位本年倡导过紧日子，厉行节约，三公经费下降</w:t>
      </w:r>
      <w:r>
        <w:rPr>
          <w:rFonts w:hint="eastAsia" w:ascii="仿宋_GB2312" w:eastAsia="仿宋_GB2312" w:hAnsiTheme="minorHAnsi" w:cstheme="minorBidi"/>
          <w:b w:val="0"/>
          <w:sz w:val="32"/>
          <w:szCs w:val="32"/>
        </w:rPr>
        <w:t>。其中：因公出国（境）费支出0.00万元,占0.00%，与上年相比无变化，主要原因是：</w:t>
      </w:r>
      <w:r>
        <w:rPr>
          <w:rFonts w:hint="eastAsia" w:ascii="仿宋_GB2312" w:eastAsia="仿宋_GB2312" w:cstheme="minorBidi"/>
          <w:b w:val="0"/>
          <w:sz w:val="32"/>
          <w:szCs w:val="32"/>
          <w:lang w:val="en-US" w:eastAsia="zh-CN"/>
        </w:rPr>
        <w:t>我单位本年未安排</w:t>
      </w:r>
      <w:r>
        <w:rPr>
          <w:rFonts w:hint="eastAsia" w:ascii="仿宋_GB2312" w:eastAsia="仿宋_GB2312" w:hAnsiTheme="minorHAnsi" w:cstheme="minorBidi"/>
          <w:b w:val="0"/>
          <w:sz w:val="32"/>
          <w:szCs w:val="32"/>
        </w:rPr>
        <w:t>因公出国（境）；公务用车购置及运行维护费支出14.24万元，占100.00%，比上年减少4.95万元，下降25.79%，主要原因是：</w:t>
      </w:r>
      <w:r>
        <w:rPr>
          <w:rFonts w:hint="eastAsia" w:ascii="仿宋_GB2312" w:eastAsia="仿宋_GB2312" w:cstheme="minorBidi"/>
          <w:b w:val="0"/>
          <w:sz w:val="32"/>
          <w:szCs w:val="32"/>
          <w:lang w:val="en-US" w:eastAsia="zh-CN"/>
        </w:rPr>
        <w:t>我单位本年倡导过紧日子，厉行节约，三公经费下降</w:t>
      </w:r>
      <w:r>
        <w:rPr>
          <w:rFonts w:hint="eastAsia" w:ascii="仿宋_GB2312" w:eastAsia="仿宋_GB2312" w:hAnsiTheme="minorHAnsi" w:cstheme="minorBidi"/>
          <w:b w:val="0"/>
          <w:sz w:val="32"/>
          <w:szCs w:val="32"/>
        </w:rPr>
        <w:t>；公务接待费支出0.00万元，占0.00%，与上年相比无变化，主要原因是：</w:t>
      </w:r>
      <w:r>
        <w:rPr>
          <w:rFonts w:hint="eastAsia" w:ascii="仿宋_GB2312" w:eastAsia="仿宋_GB2312" w:hAnsiTheme="minorHAnsi" w:cstheme="minorBidi"/>
          <w:b w:val="0"/>
          <w:sz w:val="32"/>
          <w:szCs w:val="32"/>
          <w:lang w:val="en-US" w:eastAsia="zh-CN"/>
        </w:rPr>
        <w:t>认真贯彻落实中央八项规定精神和厉行节约要求，从严控制“三公”经费开支，全年实际支出和预算比有所节约</w:t>
      </w:r>
      <w:r>
        <w:rPr>
          <w:rFonts w:hint="eastAsia" w:ascii="仿宋_GB2312" w:eastAsia="仿宋_GB2312" w:hAnsiTheme="minorHAnsi" w:cstheme="minorBidi"/>
          <w:b w:val="0"/>
          <w:sz w:val="32"/>
          <w:szCs w:val="32"/>
          <w:lang w:val="zh-CN" w:eastAsia="zh-CN"/>
        </w:rPr>
        <w:t>；公务接待费支出0.00万元，占0.00%，比上年增加0.00万元，增长0.00%，主要原因是：</w:t>
      </w:r>
      <w:r>
        <w:rPr>
          <w:rFonts w:hint="eastAsia" w:ascii="仿宋_GB2312" w:eastAsia="仿宋_GB2312" w:hAnsiTheme="minorHAnsi" w:cstheme="minorBidi"/>
          <w:b w:val="0"/>
          <w:sz w:val="32"/>
          <w:szCs w:val="32"/>
        </w:rPr>
        <w:t>公务接待费无变动。</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具体情况如下：</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因公出国（境）费支出0.00万元，开支内容包括。单位全年安排的因公出国（境）团组0个，因公出国（境）0人次。</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公务用车购置及运行维护费14.24万元，其中：公务用车购置费0.00万元，公务用车运行维护费14.24万元。公务用车运行维护费开支内容包括。公务用车购置数0辆，公务用车保有量8辆。国有资产占用情况中固定资产车辆8辆，与公务用车保有量差异原因是：</w:t>
      </w:r>
      <w:r>
        <w:rPr>
          <w:rFonts w:hint="eastAsia" w:ascii="仿宋_GB2312" w:eastAsia="仿宋_GB2312" w:hAnsiTheme="minorHAnsi" w:cstheme="minorBidi"/>
          <w:b w:val="0"/>
          <w:sz w:val="32"/>
          <w:szCs w:val="32"/>
          <w:lang w:val="zh-CN" w:eastAsia="zh-CN"/>
        </w:rPr>
        <w:t>本单位有</w:t>
      </w:r>
      <w:r>
        <w:rPr>
          <w:rFonts w:hint="eastAsia" w:ascii="仿宋_GB2312" w:eastAsia="仿宋_GB2312" w:hAnsiTheme="minorHAnsi" w:cstheme="minorBidi"/>
          <w:b w:val="0"/>
          <w:sz w:val="32"/>
          <w:szCs w:val="32"/>
          <w:lang w:val="en-US" w:eastAsia="zh-CN"/>
        </w:rPr>
        <w:t>8辆</w:t>
      </w:r>
      <w:r>
        <w:rPr>
          <w:rFonts w:hint="eastAsia" w:ascii="仿宋_GB2312" w:eastAsia="仿宋_GB2312" w:hAnsiTheme="minorHAnsi" w:cstheme="minorBidi"/>
          <w:b w:val="0"/>
          <w:sz w:val="32"/>
          <w:szCs w:val="32"/>
        </w:rPr>
        <w:t>公务用车。</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公务接待费0.00万元，开支内容包括。单位全年安排的国内公务接待0批次，0人次。</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与全年预算相比，财政拨款“三公”经费支出全年预算数14.24万元，决算数14.24万元，预决算差异率0.00%，主要原因是：</w:t>
      </w:r>
      <w:r>
        <w:rPr>
          <w:rFonts w:hint="eastAsia" w:ascii="仿宋_GB2312" w:eastAsia="仿宋_GB2312" w:hAnsiTheme="minorHAnsi" w:cstheme="minorBidi"/>
          <w:b w:val="0"/>
          <w:sz w:val="32"/>
          <w:szCs w:val="32"/>
          <w:lang w:val="en-US" w:eastAsia="zh-CN"/>
        </w:rPr>
        <w:t>认真贯彻落实中央八项规定</w:t>
      </w:r>
      <w:bookmarkStart w:id="0" w:name="_GoBack"/>
      <w:bookmarkEnd w:id="0"/>
      <w:r>
        <w:rPr>
          <w:rFonts w:hint="eastAsia" w:ascii="仿宋_GB2312" w:eastAsia="仿宋_GB2312" w:hAnsiTheme="minorHAnsi" w:cstheme="minorBidi"/>
          <w:b w:val="0"/>
          <w:sz w:val="32"/>
          <w:szCs w:val="32"/>
          <w:lang w:val="en-US" w:eastAsia="zh-CN"/>
        </w:rPr>
        <w:t>精神和厉行节约要求，从严控制“三公”经费开支，全年实际支出和预算比有所节约</w:t>
      </w:r>
      <w:r>
        <w:rPr>
          <w:rFonts w:hint="eastAsia" w:ascii="仿宋_GB2312" w:eastAsia="仿宋_GB2312" w:hAnsiTheme="minorHAnsi" w:cstheme="minorBidi"/>
          <w:b w:val="0"/>
          <w:sz w:val="32"/>
          <w:szCs w:val="32"/>
        </w:rPr>
        <w:t>。其中：因公出国（境）费全年预算数0.00万元，决算数0.00万元，预决算差异率0.00%，主要原因是：</w:t>
      </w:r>
      <w:r>
        <w:rPr>
          <w:rFonts w:hint="eastAsia" w:ascii="仿宋_GB2312" w:eastAsia="仿宋_GB2312" w:hAnsiTheme="minorHAnsi" w:cstheme="minorBidi"/>
          <w:b w:val="0"/>
          <w:sz w:val="32"/>
          <w:szCs w:val="32"/>
          <w:lang w:val="zh-CN" w:eastAsia="zh-CN"/>
        </w:rPr>
        <w:t>本单位无因公出国（境）费支出</w:t>
      </w:r>
      <w:r>
        <w:rPr>
          <w:rFonts w:hint="eastAsia" w:ascii="仿宋_GB2312" w:eastAsia="仿宋_GB2312" w:hAnsiTheme="minorHAnsi" w:cstheme="minorBidi"/>
          <w:b w:val="0"/>
          <w:sz w:val="32"/>
          <w:szCs w:val="32"/>
        </w:rPr>
        <w:t>。公务用车购置费全年预算数0.00万元，决算数0.00万元，预决算差异率0.00%，主要原因是：</w:t>
      </w:r>
      <w:r>
        <w:rPr>
          <w:rFonts w:hint="eastAsia" w:ascii="仿宋_GB2312" w:eastAsia="仿宋_GB2312" w:hAnsiTheme="minorHAnsi" w:cstheme="minorBidi"/>
          <w:b w:val="0"/>
          <w:sz w:val="32"/>
          <w:szCs w:val="32"/>
          <w:lang w:val="zh-CN" w:eastAsia="zh-CN"/>
        </w:rPr>
        <w:t>本单位无公务用车购置费支出</w:t>
      </w:r>
      <w:r>
        <w:rPr>
          <w:rFonts w:hint="eastAsia" w:ascii="仿宋_GB2312" w:eastAsia="仿宋_GB2312" w:hAnsiTheme="minorHAnsi" w:cstheme="minorBidi"/>
          <w:b w:val="0"/>
          <w:sz w:val="32"/>
          <w:szCs w:val="32"/>
        </w:rPr>
        <w:t>。公务用车运行维护费全年预算数14.24万元，决算数14.24万元，预决算差异率0.00%，主要原因是：</w:t>
      </w:r>
      <w:r>
        <w:rPr>
          <w:rFonts w:hint="eastAsia" w:ascii="仿宋_GB2312" w:eastAsia="仿宋_GB2312" w:hAnsiTheme="minorHAnsi" w:cstheme="minorBidi"/>
          <w:b w:val="0"/>
          <w:sz w:val="32"/>
          <w:szCs w:val="32"/>
          <w:lang w:val="zh-CN" w:eastAsia="zh-CN"/>
        </w:rPr>
        <w:t>本单位无公务用车运行费</w:t>
      </w:r>
      <w:r>
        <w:rPr>
          <w:rFonts w:hint="eastAsia" w:ascii="仿宋_GB2312" w:eastAsia="仿宋_GB2312" w:hAnsiTheme="minorHAnsi" w:cstheme="minorBidi"/>
          <w:b w:val="0"/>
          <w:sz w:val="32"/>
          <w:szCs w:val="32"/>
        </w:rPr>
        <w:t>预决算差异。公务接待费全年预算数0.00万元，决算数0.00万元，预决算差异率0.00%，主要原因是：</w:t>
      </w:r>
      <w:r>
        <w:rPr>
          <w:rFonts w:hint="eastAsia" w:ascii="仿宋_GB2312" w:eastAsia="仿宋_GB2312" w:hAnsiTheme="minorHAnsi" w:cstheme="minorBidi"/>
          <w:b w:val="0"/>
          <w:sz w:val="32"/>
          <w:szCs w:val="32"/>
          <w:lang w:eastAsia="zh-CN"/>
        </w:rPr>
        <w:t>本单位无</w:t>
      </w:r>
      <w:r>
        <w:rPr>
          <w:rFonts w:hint="eastAsia" w:ascii="仿宋_GB2312" w:eastAsia="仿宋_GB2312" w:hAnsiTheme="minorHAnsi" w:cstheme="minorBidi"/>
          <w:b w:val="0"/>
          <w:sz w:val="32"/>
          <w:szCs w:val="32"/>
          <w:lang w:val="zh-CN" w:eastAsia="zh-CN"/>
        </w:rPr>
        <w:t>公务接待费支出</w:t>
      </w:r>
      <w:r>
        <w:rPr>
          <w:rFonts w:hint="eastAsia" w:ascii="仿宋_GB2312" w:eastAsia="仿宋_GB2312" w:hAnsiTheme="minorHAnsi" w:cstheme="minorBidi"/>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lang w:eastAsia="zh-CN"/>
        </w:rPr>
      </w:pPr>
      <w:r>
        <w:rPr>
          <w:rFonts w:hint="eastAsia" w:ascii="仿宋_GB2312" w:eastAsia="仿宋_GB2312" w:hAnsiTheme="minorHAnsi" w:cstheme="minorBidi"/>
          <w:b w:val="0"/>
          <w:sz w:val="32"/>
          <w:szCs w:val="32"/>
        </w:rPr>
        <w:t>2024年度库尔勒市哈拉玉宫镇人民政府单位机关运行经费支出360.49万元，比上年增加215.90万元，增长149.32%，主要原因是：</w:t>
      </w:r>
      <w:r>
        <w:rPr>
          <w:rFonts w:hint="eastAsia" w:ascii="仿宋_GB2312" w:eastAsia="仿宋_GB2312" w:hAnsiTheme="minorHAnsi" w:cstheme="minorBidi"/>
          <w:b w:val="0"/>
          <w:sz w:val="32"/>
          <w:szCs w:val="32"/>
          <w:lang w:val="en-US" w:eastAsia="zh-CN"/>
        </w:rPr>
        <w:t>本年度在职人员</w:t>
      </w:r>
      <w:r>
        <w:rPr>
          <w:rFonts w:hint="eastAsia" w:ascii="仿宋_GB2312" w:eastAsia="仿宋_GB2312" w:hAnsiTheme="minorHAnsi" w:cstheme="minorBidi"/>
          <w:b w:val="0"/>
          <w:sz w:val="32"/>
          <w:szCs w:val="32"/>
        </w:rPr>
        <w:t>工资</w:t>
      </w:r>
      <w:r>
        <w:rPr>
          <w:rFonts w:hint="eastAsia" w:ascii="仿宋_GB2312" w:eastAsia="仿宋_GB2312" w:hAnsiTheme="minorHAnsi" w:cstheme="minorBidi"/>
          <w:b w:val="0"/>
          <w:sz w:val="32"/>
          <w:szCs w:val="32"/>
          <w:lang w:val="en-US" w:eastAsia="zh-CN"/>
        </w:rPr>
        <w:t>及医疗基数，奖金</w:t>
      </w:r>
      <w:r>
        <w:rPr>
          <w:rFonts w:hint="eastAsia" w:ascii="仿宋_GB2312" w:eastAsia="仿宋_GB2312" w:hAnsiTheme="minorHAnsi" w:cstheme="minorBidi"/>
          <w:b w:val="0"/>
          <w:sz w:val="32"/>
          <w:szCs w:val="32"/>
        </w:rPr>
        <w:t>调增</w:t>
      </w:r>
      <w:r>
        <w:rPr>
          <w:rFonts w:hint="eastAsia" w:ascii="仿宋_GB2312" w:eastAsia="仿宋_GB2312" w:hAnsiTheme="minorHAnsi" w:cstheme="minorBidi"/>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（二）政府采购情况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2024年度政府采购支出总额390.95万元，其中：政府采购货物支出9.35万元、政府采购工程支出374.04万元、政府采购服务支出7.55万元。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授予中小企业合同金额390.95万元，占政府采购支出总额的100.00%，其中：授予小微企业合同金额314.19万元，占政府采购支出总额的80.37%。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（三）国有资产占用情况说明</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截至2024年12月31日，房屋11,550.09平方米，价值1,538.13万元。车辆8辆，价值83.35万元，其中：副部（省）级及以上领导用车0辆、主要负责人用车0辆、机要通信用车0辆、应急保障用车0辆、执法执勤用车0辆、特种专业技术用车0辆、离退休干部服务用车0辆、其他用车8辆，其他用车主要是：</w:t>
      </w:r>
      <w:r>
        <w:rPr>
          <w:rFonts w:hint="eastAsia" w:ascii="仿宋_GB2312" w:eastAsia="仿宋_GB2312" w:hAnsiTheme="minorHAnsi" w:cstheme="minorBidi"/>
          <w:b w:val="0"/>
          <w:sz w:val="32"/>
          <w:szCs w:val="32"/>
          <w:lang w:eastAsia="zh-CN"/>
        </w:rPr>
        <w:t>党委、政府、综治中心、纪检等公务用车</w:t>
      </w:r>
      <w:r>
        <w:rPr>
          <w:rFonts w:hint="eastAsia" w:ascii="仿宋_GB2312" w:eastAsia="仿宋_GB2312" w:hAnsiTheme="minorHAnsi" w:cstheme="minorBidi"/>
          <w:b w:val="0"/>
          <w:sz w:val="32"/>
          <w:szCs w:val="32"/>
        </w:rPr>
        <w:t>;单价100万元（含）以上设备（不含车辆）0台（套）。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根据预算绩效管理要求，本单位2024年度预算绩效管理形成整体支出绩效自评表1个，</w:t>
      </w:r>
      <w:r>
        <w:rPr>
          <w:rFonts w:hint="eastAsia" w:ascii="仿宋_GB2312" w:eastAsia="仿宋_GB2312" w:hAnsiTheme="minorHAnsi" w:cstheme="minorBidi"/>
          <w:b w:val="0"/>
          <w:sz w:val="32"/>
          <w:szCs w:val="32"/>
          <w:highlight w:val="none"/>
        </w:rPr>
        <w:t>全年预算总额5454.37万元，实际执行总额5454.37万元；预算绩效评价项目</w:t>
      </w:r>
      <w:r>
        <w:rPr>
          <w:rFonts w:hint="eastAsia" w:ascii="仿宋_GB2312" w:eastAsia="仿宋_GB2312" w:cstheme="minorBidi"/>
          <w:b w:val="0"/>
          <w:sz w:val="32"/>
          <w:szCs w:val="32"/>
          <w:highlight w:val="none"/>
          <w:lang w:val="en-US" w:eastAsia="zh-CN"/>
        </w:rPr>
        <w:t>9</w:t>
      </w:r>
      <w:r>
        <w:rPr>
          <w:rFonts w:hint="eastAsia" w:ascii="仿宋_GB2312" w:eastAsia="仿宋_GB2312" w:hAnsiTheme="minorHAnsi" w:cstheme="minorBidi"/>
          <w:b w:val="0"/>
          <w:sz w:val="32"/>
          <w:szCs w:val="32"/>
          <w:highlight w:val="none"/>
        </w:rPr>
        <w:t>个，全年预算数</w:t>
      </w:r>
      <w:r>
        <w:rPr>
          <w:rFonts w:hint="eastAsia" w:ascii="仿宋_GB2312" w:eastAsia="仿宋_GB2312" w:cstheme="minorBidi"/>
          <w:b w:val="0"/>
          <w:sz w:val="32"/>
          <w:szCs w:val="32"/>
          <w:highlight w:val="none"/>
          <w:lang w:val="en-US" w:eastAsia="zh-CN"/>
        </w:rPr>
        <w:t>105.46</w:t>
      </w:r>
      <w:r>
        <w:rPr>
          <w:rFonts w:hint="eastAsia" w:ascii="仿宋_GB2312" w:eastAsia="仿宋_GB2312" w:hAnsiTheme="minorHAnsi" w:cstheme="minorBidi"/>
          <w:b w:val="0"/>
          <w:sz w:val="32"/>
          <w:szCs w:val="32"/>
          <w:highlight w:val="none"/>
        </w:rPr>
        <w:t>万元，全年执行数</w:t>
      </w:r>
      <w:r>
        <w:rPr>
          <w:rFonts w:hint="eastAsia" w:ascii="仿宋_GB2312" w:eastAsia="仿宋_GB2312" w:cstheme="minorBidi"/>
          <w:b w:val="0"/>
          <w:sz w:val="32"/>
          <w:szCs w:val="32"/>
          <w:highlight w:val="none"/>
          <w:lang w:val="en-US" w:eastAsia="zh-CN"/>
        </w:rPr>
        <w:t>86.5</w:t>
      </w:r>
      <w:r>
        <w:rPr>
          <w:rFonts w:hint="eastAsia" w:ascii="仿宋_GB2312" w:eastAsia="仿宋_GB2312" w:hAnsiTheme="minorHAnsi" w:cstheme="minorBidi"/>
          <w:b w:val="0"/>
          <w:sz w:val="32"/>
          <w:szCs w:val="32"/>
          <w:highlight w:val="none"/>
        </w:rPr>
        <w:t>万元。预算绩效管理取得的成效：</w:t>
      </w:r>
      <w:r>
        <w:rPr>
          <w:rFonts w:hint="eastAsia" w:ascii="仿宋_GB2312" w:hAnsi="Calibri" w:eastAsia="仿宋_GB2312" w:cs="Times New Roman"/>
          <w:kern w:val="2"/>
          <w:sz w:val="32"/>
          <w:szCs w:val="32"/>
          <w:lang w:val="en-US" w:eastAsia="zh-CN" w:bidi="ar-SA"/>
        </w:rPr>
        <w:t>一是我单位严格按照年初预算以及单位年度工作计划执行预算，严格按照相关规定进行资金管理，做到专款专用、科学管理</w:t>
      </w:r>
      <w:r>
        <w:rPr>
          <w:rFonts w:hint="eastAsia" w:ascii="仿宋_GB2312" w:hAnsi="Calibri" w:eastAsia="仿宋_GB2312" w:cs="Times New Roman"/>
          <w:color w:val="auto"/>
          <w:kern w:val="2"/>
          <w:sz w:val="32"/>
          <w:szCs w:val="32"/>
          <w:lang w:val="en-US" w:eastAsia="zh-CN" w:bidi="ar-SA"/>
        </w:rPr>
        <w:t>，每笔开支都</w:t>
      </w:r>
      <w:r>
        <w:rPr>
          <w:rFonts w:hint="eastAsia" w:ascii="仿宋_GB2312" w:hAnsi="Calibri" w:eastAsia="仿宋_GB2312" w:cs="Times New Roman"/>
          <w:kern w:val="2"/>
          <w:sz w:val="32"/>
          <w:szCs w:val="32"/>
          <w:lang w:val="en-US" w:eastAsia="zh-CN" w:bidi="ar-SA"/>
        </w:rPr>
        <w:t>有相关经办人员签字，做到程序规范，开支合理，勤俭节约，最大限度的提高项目经费的使用效率，保证了项目的顺利进行；二是我单位通过对绩效的进展和效果进行持续的监控，发现并纠正绩效目标实现过程中的各种偏差，以确保本单位绩效目标实现。对单位年初所确定的整体绩效指标、年度预期目标进行3个不同时期，3个不同阶段地监控，对部门整体前期、中期、后期都有清晰地了解</w:t>
      </w:r>
      <w:r>
        <w:rPr>
          <w:rFonts w:hint="eastAsia" w:ascii="仿宋_GB2312" w:eastAsia="仿宋_GB2312" w:hAnsiTheme="minorHAnsi" w:cstheme="minorBidi"/>
          <w:b w:val="0"/>
          <w:sz w:val="32"/>
          <w:szCs w:val="32"/>
          <w:highlight w:val="none"/>
        </w:rPr>
        <w:t>。</w:t>
      </w:r>
      <w:r>
        <w:rPr>
          <w:rFonts w:hint="eastAsia" w:ascii="仿宋_GB2312" w:eastAsia="仿宋_GB2312" w:hAnsiTheme="minorHAnsi" w:cstheme="minorBidi"/>
          <w:b w:val="0"/>
          <w:sz w:val="32"/>
          <w:szCs w:val="32"/>
        </w:rPr>
        <w:t>发现的问题及原因：</w:t>
      </w:r>
      <w:r>
        <w:rPr>
          <w:rFonts w:hint="eastAsia" w:ascii="仿宋_GB2312" w:eastAsia="仿宋_GB2312" w:hAnsiTheme="minorHAnsi" w:cstheme="minorBidi"/>
          <w:b w:val="0"/>
          <w:sz w:val="32"/>
          <w:szCs w:val="32"/>
          <w:lang w:val="en-US" w:eastAsia="zh-CN"/>
        </w:rPr>
        <w:t>一是项目绩效目标完成情况与项目资金支出进度存在脱节情况；二是填报内容过于简单，对绩效目标偏差问题缺乏有效分析，无法监控绩效目标的实现程度，还有待进一步提升预算单位整体绩效管理理念</w:t>
      </w:r>
      <w:r>
        <w:rPr>
          <w:rFonts w:hint="eastAsia" w:ascii="仿宋_GB2312" w:eastAsia="仿宋_GB2312" w:hAnsiTheme="minorHAnsi" w:cstheme="minorBidi"/>
          <w:b w:val="0"/>
          <w:sz w:val="32"/>
          <w:szCs w:val="32"/>
        </w:rPr>
        <w:t>。下一步改进措施：</w:t>
      </w:r>
      <w:r>
        <w:rPr>
          <w:rFonts w:hint="eastAsia" w:ascii="仿宋_GB2312" w:eastAsia="仿宋_GB2312" w:hAnsiTheme="minorHAnsi" w:cstheme="minorBidi"/>
          <w:b w:val="0"/>
          <w:sz w:val="32"/>
          <w:szCs w:val="32"/>
          <w:lang w:val="en-US" w:eastAsia="zh-CN"/>
        </w:rPr>
        <w:t>一是强化项目单位对资金绩效实现情况的责任约束，对专项资金偏离预算绩效目标的支出，及时采取有效措施予以纠正，让资金管理人、使用人皆知“自家的钱怎么花的，花得怎么样，存在什么责任，进一步规范专项资金使用绩效；二是加强财政资金使用效益跟踪“回头看”，针对资金绩效运行状况，及时预控、查找资金使用和管理过程中的薄弱环节，提出纠偏措施；通过预算绩效监控管理，根据每季度的预算绩效监控结果，及时调整项目预算，收回闲置资金，尽量减少财政资金沉淀闲置。进一步加强财政资金统筹安排，提高财政资金使用效益，实现财政支出的科学化精细化管理，</w:t>
      </w:r>
      <w:r>
        <w:rPr>
          <w:rFonts w:hint="eastAsia" w:ascii="仿宋_GB2312" w:eastAsia="仿宋_GB2312" w:hAnsiTheme="minorHAnsi" w:cstheme="minorBidi"/>
          <w:b w:val="0"/>
          <w:sz w:val="32"/>
          <w:szCs w:val="32"/>
        </w:rPr>
        <w:t>具体项目自评情况附项目支出绩效自评表。</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具体附部门整体支出绩效自评表，项目支出绩效自评表和部门评价报告。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本单位无其他需说明事项。</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w:t>
      </w:r>
      <w:r>
        <w:rPr>
          <w:rFonts w:hint="eastAsia" w:ascii="黑体" w:eastAsia="黑体"/>
          <w:b w:val="0"/>
          <w:sz w:val="32"/>
          <w:szCs w:val="32"/>
          <w:lang w:val="en-US" w:eastAsia="zh-CN"/>
        </w:rPr>
        <w:t xml:space="preserve"> </w:t>
      </w:r>
      <w:r>
        <w:rPr>
          <w:rFonts w:ascii="黑体" w:eastAsia="黑体"/>
          <w:b w:val="0"/>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eastAsia="仿宋_GB2312" w:hAnsiTheme="minorHAnsi" w:cstheme="minorBidi"/>
          <w:b w:val="0"/>
          <w:sz w:val="32"/>
          <w:szCs w:val="32"/>
          <w:lang w:val="en-US" w:eastAsia="zh-CN"/>
        </w:rPr>
      </w:pPr>
      <w:r>
        <w:rPr>
          <w:rFonts w:ascii="仿宋_GB2312" w:eastAsia="仿宋_GB2312"/>
          <w:b/>
          <w:sz w:val="32"/>
          <w:szCs w:val="32"/>
        </w:rPr>
        <w:t>一、财政拨款收入：</w:t>
      </w:r>
      <w:r>
        <w:rPr>
          <w:rFonts w:hint="eastAsia" w:ascii="仿宋_GB2312" w:eastAsia="仿宋_GB2312" w:hAnsiTheme="minorHAnsi" w:cstheme="minorBidi"/>
          <w:b w:val="0"/>
          <w:sz w:val="32"/>
          <w:szCs w:val="32"/>
          <w:lang w:val="en-US" w:eastAsia="zh-CN"/>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hint="eastAsia" w:ascii="仿宋_GB2312" w:eastAsia="仿宋_GB2312" w:hAnsiTheme="minorHAnsi" w:cstheme="minorBidi"/>
          <w:b w:val="0"/>
          <w:sz w:val="32"/>
          <w:szCs w:val="32"/>
          <w:lang w:val="en-US" w:eastAsia="zh-CN"/>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eastAsia="仿宋_GB2312" w:hAnsiTheme="minorHAnsi" w:cstheme="minorBidi"/>
          <w:b w:val="0"/>
          <w:sz w:val="32"/>
          <w:szCs w:val="32"/>
          <w:lang w:val="en-US" w:eastAsia="zh-CN"/>
        </w:rPr>
      </w:pPr>
      <w:r>
        <w:rPr>
          <w:rFonts w:ascii="仿宋_GB2312" w:eastAsia="仿宋_GB2312"/>
          <w:b/>
          <w:sz w:val="32"/>
          <w:szCs w:val="32"/>
        </w:rPr>
        <w:t>三、事业收入：</w:t>
      </w:r>
      <w:r>
        <w:rPr>
          <w:rFonts w:hint="eastAsia" w:ascii="仿宋_GB2312" w:eastAsia="仿宋_GB2312" w:hAnsiTheme="minorHAnsi" w:cstheme="minorBidi"/>
          <w:b w:val="0"/>
          <w:sz w:val="32"/>
          <w:szCs w:val="32"/>
          <w:lang w:val="en-US" w:eastAsia="zh-CN"/>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eastAsia="仿宋_GB2312" w:hAnsiTheme="minorHAnsi" w:cstheme="minorBidi"/>
          <w:b w:val="0"/>
          <w:sz w:val="32"/>
          <w:szCs w:val="32"/>
          <w:lang w:val="en-US" w:eastAsia="zh-CN"/>
        </w:rPr>
      </w:pPr>
      <w:r>
        <w:rPr>
          <w:rFonts w:ascii="仿宋_GB2312" w:eastAsia="仿宋_GB2312"/>
          <w:b/>
          <w:sz w:val="32"/>
          <w:szCs w:val="32"/>
        </w:rPr>
        <w:t>四、经营收入</w:t>
      </w:r>
      <w:r>
        <w:rPr>
          <w:rFonts w:hint="eastAsia" w:ascii="仿宋_GB2312" w:eastAsia="仿宋_GB2312" w:hAnsiTheme="minorHAnsi" w:cstheme="minorBidi"/>
          <w:b w:val="0"/>
          <w:sz w:val="32"/>
          <w:szCs w:val="32"/>
          <w:lang w:val="en-US" w:eastAsia="zh-CN"/>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eastAsia="仿宋_GB2312" w:hAnsiTheme="minorHAnsi" w:cstheme="minorBidi"/>
          <w:b w:val="0"/>
          <w:sz w:val="32"/>
          <w:szCs w:val="32"/>
          <w:lang w:val="en-US" w:eastAsia="zh-CN"/>
        </w:rPr>
      </w:pPr>
      <w:r>
        <w:rPr>
          <w:rFonts w:ascii="仿宋_GB2312" w:eastAsia="仿宋_GB2312"/>
          <w:b/>
          <w:sz w:val="32"/>
          <w:szCs w:val="32"/>
        </w:rPr>
        <w:t>五、附属单位上缴收入：</w:t>
      </w:r>
      <w:r>
        <w:rPr>
          <w:rFonts w:hint="eastAsia" w:ascii="仿宋_GB2312" w:eastAsia="仿宋_GB2312" w:hAnsiTheme="minorHAnsi" w:cstheme="minorBidi"/>
          <w:b w:val="0"/>
          <w:sz w:val="32"/>
          <w:szCs w:val="32"/>
          <w:lang w:val="en-US" w:eastAsia="zh-CN"/>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hint="eastAsia" w:ascii="仿宋_GB2312" w:eastAsia="仿宋_GB2312" w:hAnsiTheme="minorHAnsi" w:cstheme="minorBidi"/>
          <w:b w:val="0"/>
          <w:sz w:val="32"/>
          <w:szCs w:val="32"/>
          <w:lang w:val="en-US" w:eastAsia="zh-CN"/>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eastAsia="仿宋_GB2312" w:hAnsiTheme="minorHAnsi" w:cstheme="minorBidi"/>
          <w:b w:val="0"/>
          <w:sz w:val="32"/>
          <w:szCs w:val="32"/>
          <w:lang w:val="en-US" w:eastAsia="zh-CN"/>
        </w:rPr>
      </w:pPr>
      <w:r>
        <w:rPr>
          <w:rFonts w:ascii="仿宋_GB2312" w:eastAsia="仿宋_GB2312"/>
          <w:b/>
          <w:sz w:val="32"/>
          <w:szCs w:val="32"/>
        </w:rPr>
        <w:t>七、年初结转和结余：</w:t>
      </w:r>
      <w:r>
        <w:rPr>
          <w:rFonts w:hint="eastAsia" w:ascii="仿宋_GB2312" w:eastAsia="仿宋_GB2312" w:hAnsiTheme="minorHAnsi" w:cstheme="minorBidi"/>
          <w:b w:val="0"/>
          <w:sz w:val="32"/>
          <w:szCs w:val="32"/>
          <w:lang w:val="en-US" w:eastAsia="zh-CN"/>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eastAsia="仿宋_GB2312" w:hAnsiTheme="minorHAnsi" w:cstheme="minorBidi"/>
          <w:b w:val="0"/>
          <w:sz w:val="32"/>
          <w:szCs w:val="32"/>
          <w:lang w:val="en-US" w:eastAsia="zh-CN"/>
        </w:rPr>
      </w:pPr>
      <w:r>
        <w:rPr>
          <w:rFonts w:ascii="仿宋_GB2312" w:eastAsia="仿宋_GB2312"/>
          <w:b/>
          <w:sz w:val="32"/>
          <w:szCs w:val="32"/>
        </w:rPr>
        <w:t>八、年末结转和结余：</w:t>
      </w:r>
      <w:r>
        <w:rPr>
          <w:rFonts w:hint="eastAsia" w:ascii="仿宋_GB2312" w:eastAsia="仿宋_GB2312" w:hAnsiTheme="minorHAnsi" w:cstheme="minorBidi"/>
          <w:b w:val="0"/>
          <w:sz w:val="32"/>
          <w:szCs w:val="32"/>
          <w:lang w:val="en-US"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hint="eastAsia" w:ascii="仿宋_GB2312" w:eastAsia="仿宋_GB2312" w:hAnsiTheme="minorHAnsi" w:cstheme="minorBidi"/>
          <w:b w:val="0"/>
          <w:sz w:val="32"/>
          <w:szCs w:val="32"/>
          <w:lang w:val="en-US" w:eastAsia="zh-CN"/>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hint="eastAsia" w:ascii="仿宋_GB2312" w:eastAsia="仿宋_GB2312" w:hAnsiTheme="minorHAnsi" w:cstheme="minorBidi"/>
          <w:b w:val="0"/>
          <w:sz w:val="32"/>
          <w:szCs w:val="32"/>
          <w:lang w:val="en-US" w:eastAsia="zh-CN"/>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eastAsia="仿宋_GB2312" w:hAnsiTheme="minorHAnsi" w:cstheme="minorBidi"/>
          <w:b w:val="0"/>
          <w:sz w:val="32"/>
          <w:szCs w:val="32"/>
          <w:lang w:val="en-US" w:eastAsia="zh-CN"/>
        </w:rPr>
      </w:pPr>
      <w:r>
        <w:rPr>
          <w:rFonts w:ascii="仿宋_GB2312" w:eastAsia="仿宋_GB2312"/>
          <w:b/>
          <w:sz w:val="32"/>
          <w:szCs w:val="32"/>
        </w:rPr>
        <w:t>十一、经营支出：</w:t>
      </w:r>
      <w:r>
        <w:rPr>
          <w:rFonts w:hint="eastAsia" w:ascii="仿宋_GB2312" w:eastAsia="仿宋_GB2312" w:hAnsiTheme="minorHAnsi" w:cstheme="minorBidi"/>
          <w:b w:val="0"/>
          <w:sz w:val="32"/>
          <w:szCs w:val="32"/>
          <w:lang w:val="en-US" w:eastAsia="zh-CN"/>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hint="eastAsia" w:ascii="仿宋_GB2312" w:eastAsia="仿宋_GB2312" w:hAnsiTheme="minorHAnsi" w:cstheme="minorBidi"/>
          <w:b w:val="0"/>
          <w:sz w:val="32"/>
          <w:szCs w:val="32"/>
          <w:lang w:val="en-US" w:eastAsia="zh-CN"/>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eastAsia="仿宋_GB2312" w:hAnsiTheme="minorHAnsi" w:cstheme="minorBidi"/>
          <w:b w:val="0"/>
          <w:sz w:val="32"/>
          <w:szCs w:val="32"/>
          <w:lang w:val="en-US" w:eastAsia="zh-CN"/>
        </w:rPr>
      </w:pPr>
      <w:r>
        <w:rPr>
          <w:rFonts w:ascii="仿宋_GB2312" w:eastAsia="仿宋_GB2312"/>
          <w:b/>
          <w:sz w:val="32"/>
          <w:szCs w:val="32"/>
        </w:rPr>
        <w:t>十三、“三公”经费：</w:t>
      </w:r>
      <w:r>
        <w:rPr>
          <w:rFonts w:hint="eastAsia" w:ascii="仿宋_GB2312" w:eastAsia="仿宋_GB2312" w:hAnsiTheme="minorHAnsi" w:cstheme="minorBidi"/>
          <w:b w:val="0"/>
          <w:sz w:val="32"/>
          <w:szCs w:val="32"/>
          <w:lang w:val="en-US"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eastAsia="仿宋_GB2312" w:hAnsiTheme="minorHAnsi" w:cstheme="minorBidi"/>
          <w:b w:val="0"/>
          <w:sz w:val="32"/>
          <w:szCs w:val="32"/>
          <w:lang w:val="en-US" w:eastAsia="zh-CN"/>
        </w:rPr>
      </w:pPr>
      <w:r>
        <w:rPr>
          <w:rFonts w:ascii="仿宋_GB2312" w:eastAsia="仿宋_GB2312"/>
          <w:b/>
          <w:sz w:val="32"/>
          <w:szCs w:val="32"/>
        </w:rPr>
        <w:t>十四、机关运行经费：</w:t>
      </w:r>
      <w:r>
        <w:rPr>
          <w:rFonts w:hint="eastAsia" w:ascii="仿宋_GB2312" w:eastAsia="仿宋_GB2312" w:hAnsiTheme="minorHAnsi" w:cstheme="minorBidi"/>
          <w:b w:val="0"/>
          <w:sz w:val="32"/>
          <w:szCs w:val="32"/>
          <w:lang w:val="en-US" w:eastAsia="zh-CN"/>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w:t>
      </w:r>
      <w:r>
        <w:rPr>
          <w:rFonts w:hint="eastAsia" w:ascii="黑体" w:eastAsia="黑体"/>
          <w:b w:val="0"/>
          <w:sz w:val="32"/>
          <w:szCs w:val="32"/>
          <w:lang w:val="en-US" w:eastAsia="zh-CN"/>
        </w:rPr>
        <w:t xml:space="preserve"> </w:t>
      </w:r>
      <w:r>
        <w:rPr>
          <w:rFonts w:ascii="黑体" w:eastAsia="黑体"/>
          <w:b w:val="0"/>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b w:val="0"/>
          <w:sz w:val="32"/>
          <w:szCs w:val="32"/>
        </w:rPr>
      </w:pPr>
      <w:r>
        <w:rPr>
          <w:rFonts w:ascii="仿宋_GB2312" w:eastAsia="仿宋_GB2312"/>
          <w:b w:val="0"/>
          <w:sz w:val="32"/>
          <w:szCs w:val="32"/>
        </w:rPr>
        <w:t>九、《财政拨款“三公”经费支出决算表》</w:t>
      </w:r>
    </w:p>
    <w:p>
      <w:pPr>
        <w:pStyle w:val="2"/>
        <w:numPr>
          <w:ilvl w:val="0"/>
          <w:numId w:val="0"/>
        </w:numPr>
      </w:pPr>
    </w:p>
    <w:p/>
    <w:p>
      <w:pPr>
        <w:pStyle w:val="2"/>
        <w:numPr>
          <w:ilvl w:val="0"/>
          <w:numId w:val="0"/>
        </w:numPr>
        <w:tabs>
          <w:tab w:val="clear" w:pos="851"/>
        </w:tabs>
        <w:ind w:left="11" w:leftChars="0" w:hanging="11" w:firstLineChars="0"/>
      </w:pPr>
    </w:p>
    <w:p/>
    <w:p>
      <w:pPr>
        <w:rPr>
          <w:rFonts w:hint="eastAsia"/>
          <w:lang w:val="en-US" w:eastAsia="zh-CN"/>
        </w:rPr>
        <w:sectPr>
          <w:pgSz w:w="12240" w:h="15840"/>
          <w:pgMar w:top="1440" w:right="1800" w:bottom="1440" w:left="1800" w:header="720" w:footer="720" w:gutter="0"/>
          <w:cols w:space="720" w:num="1"/>
        </w:sectPr>
      </w:pPr>
    </w:p>
    <w:p>
      <w:pPr>
        <w:pStyle w:val="2"/>
        <w:rPr>
          <w:rFonts w:hint="eastAsia"/>
          <w:lang w:val="en-US" w:eastAsia="zh-CN"/>
        </w:rPr>
        <w:sectPr>
          <w:pgSz w:w="12240" w:h="15840"/>
          <w:pgMar w:top="1440" w:right="1800" w:bottom="1440" w:left="1800" w:header="720" w:footer="720" w:gutter="0"/>
          <w:cols w:space="720" w:num="1"/>
        </w:sectPr>
      </w:pPr>
      <w:r>
        <w:drawing>
          <wp:anchor distT="0" distB="0" distL="114300" distR="114300" simplePos="0" relativeHeight="251659264" behindDoc="0" locked="0" layoutInCell="1" allowOverlap="1">
            <wp:simplePos x="0" y="0"/>
            <wp:positionH relativeFrom="column">
              <wp:posOffset>102870</wp:posOffset>
            </wp:positionH>
            <wp:positionV relativeFrom="page">
              <wp:posOffset>1066800</wp:posOffset>
            </wp:positionV>
            <wp:extent cx="5479415" cy="4796790"/>
            <wp:effectExtent l="0" t="0" r="6985" b="381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479415" cy="4796790"/>
                    </a:xfrm>
                    <a:prstGeom prst="rect">
                      <a:avLst/>
                    </a:prstGeom>
                    <a:noFill/>
                    <a:ln>
                      <a:noFill/>
                    </a:ln>
                  </pic:spPr>
                </pic:pic>
              </a:graphicData>
            </a:graphic>
          </wp:anchor>
        </w:drawing>
      </w:r>
    </w:p>
    <w:p>
      <w:pPr>
        <w:rPr>
          <w:rFonts w:hint="eastAsia"/>
          <w:lang w:val="en-US" w:eastAsia="zh-CN"/>
        </w:rPr>
        <w:sectPr>
          <w:pgSz w:w="12240" w:h="15840"/>
          <w:pgMar w:top="1440" w:right="1800" w:bottom="1440" w:left="1800" w:header="720" w:footer="720" w:gutter="0"/>
          <w:cols w:space="720" w:num="1"/>
        </w:sectPr>
      </w:pPr>
      <w:r>
        <w:drawing>
          <wp:anchor distT="0" distB="0" distL="114300" distR="114300" simplePos="0" relativeHeight="251660288" behindDoc="0" locked="0" layoutInCell="1" allowOverlap="1">
            <wp:simplePos x="0" y="0"/>
            <wp:positionH relativeFrom="column">
              <wp:posOffset>0</wp:posOffset>
            </wp:positionH>
            <wp:positionV relativeFrom="page">
              <wp:posOffset>914400</wp:posOffset>
            </wp:positionV>
            <wp:extent cx="5475605" cy="6325235"/>
            <wp:effectExtent l="0" t="0" r="10795" b="1841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475605" cy="6325235"/>
                    </a:xfrm>
                    <a:prstGeom prst="rect">
                      <a:avLst/>
                    </a:prstGeom>
                    <a:noFill/>
                    <a:ln>
                      <a:noFill/>
                    </a:ln>
                  </pic:spPr>
                </pic:pic>
              </a:graphicData>
            </a:graphic>
          </wp:anchor>
        </w:drawing>
      </w:r>
    </w:p>
    <w:p>
      <w:pPr>
        <w:pStyle w:val="2"/>
        <w:rPr>
          <w:rFonts w:hint="eastAsia"/>
          <w:lang w:val="en-US" w:eastAsia="zh-CN"/>
        </w:rPr>
        <w:sectPr>
          <w:pgSz w:w="12240" w:h="15840"/>
          <w:pgMar w:top="1440" w:right="1800" w:bottom="1440" w:left="1800" w:header="720" w:footer="720" w:gutter="0"/>
          <w:cols w:space="720" w:num="1"/>
        </w:sectPr>
      </w:pPr>
      <w:r>
        <w:drawing>
          <wp:anchor distT="0" distB="0" distL="114300" distR="114300" simplePos="0" relativeHeight="251661312" behindDoc="0" locked="0" layoutInCell="1" allowOverlap="1">
            <wp:simplePos x="0" y="0"/>
            <wp:positionH relativeFrom="column">
              <wp:posOffset>-67945</wp:posOffset>
            </wp:positionH>
            <wp:positionV relativeFrom="page">
              <wp:posOffset>966470</wp:posOffset>
            </wp:positionV>
            <wp:extent cx="5483225" cy="7616190"/>
            <wp:effectExtent l="0" t="0" r="3175" b="381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483225" cy="7616190"/>
                    </a:xfrm>
                    <a:prstGeom prst="rect">
                      <a:avLst/>
                    </a:prstGeom>
                    <a:noFill/>
                    <a:ln>
                      <a:noFill/>
                    </a:ln>
                  </pic:spPr>
                </pic:pic>
              </a:graphicData>
            </a:graphic>
          </wp:anchor>
        </w:drawing>
      </w:r>
    </w:p>
    <w:p>
      <w:pPr>
        <w:rPr>
          <w:rFonts w:hint="eastAsia"/>
          <w:lang w:val="en-US" w:eastAsia="zh-CN"/>
        </w:rPr>
        <w:sectPr>
          <w:pgSz w:w="12240" w:h="15840"/>
          <w:pgMar w:top="1440" w:right="1800" w:bottom="1440" w:left="1800" w:header="720" w:footer="720" w:gutter="0"/>
          <w:cols w:space="720" w:num="1"/>
        </w:sectPr>
      </w:pPr>
      <w:r>
        <w:drawing>
          <wp:anchor distT="0" distB="0" distL="114300" distR="114300" simplePos="0" relativeHeight="251662336" behindDoc="0" locked="0" layoutInCell="1" allowOverlap="1">
            <wp:simplePos x="0" y="0"/>
            <wp:positionH relativeFrom="column">
              <wp:posOffset>0</wp:posOffset>
            </wp:positionH>
            <wp:positionV relativeFrom="page">
              <wp:posOffset>914400</wp:posOffset>
            </wp:positionV>
            <wp:extent cx="5485130" cy="6038850"/>
            <wp:effectExtent l="0" t="0" r="1270" b="1143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485130" cy="6038850"/>
                    </a:xfrm>
                    <a:prstGeom prst="rect">
                      <a:avLst/>
                    </a:prstGeom>
                    <a:noFill/>
                    <a:ln>
                      <a:noFill/>
                    </a:ln>
                  </pic:spPr>
                </pic:pic>
              </a:graphicData>
            </a:graphic>
          </wp:anchor>
        </w:drawing>
      </w:r>
    </w:p>
    <w:p>
      <w:pPr>
        <w:pStyle w:val="2"/>
        <w:numPr>
          <w:ilvl w:val="0"/>
          <w:numId w:val="0"/>
        </w:numPr>
        <w:ind w:left="1260" w:leftChars="0"/>
        <w:rPr>
          <w:rFonts w:hint="eastAsia"/>
          <w:lang w:val="en-US" w:eastAsia="zh-CN"/>
        </w:rPr>
        <w:sectPr>
          <w:pgSz w:w="12240" w:h="15840"/>
          <w:pgMar w:top="1440" w:right="1800" w:bottom="1440" w:left="1800" w:header="720" w:footer="720" w:gutter="0"/>
          <w:cols w:space="720" w:num="1"/>
        </w:sectPr>
      </w:pPr>
      <w:r>
        <w:drawing>
          <wp:anchor distT="0" distB="0" distL="114300" distR="114300" simplePos="0" relativeHeight="251663360" behindDoc="0" locked="0" layoutInCell="1" allowOverlap="1">
            <wp:simplePos x="0" y="0"/>
            <wp:positionH relativeFrom="column">
              <wp:posOffset>-14605</wp:posOffset>
            </wp:positionH>
            <wp:positionV relativeFrom="page">
              <wp:posOffset>1105535</wp:posOffset>
            </wp:positionV>
            <wp:extent cx="5479415" cy="8487410"/>
            <wp:effectExtent l="0" t="0" r="6985" b="889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479415" cy="8487410"/>
                    </a:xfrm>
                    <a:prstGeom prst="rect">
                      <a:avLst/>
                    </a:prstGeom>
                    <a:noFill/>
                    <a:ln>
                      <a:noFill/>
                    </a:ln>
                  </pic:spPr>
                </pic:pic>
              </a:graphicData>
            </a:graphic>
          </wp:anchor>
        </w:drawing>
      </w:r>
    </w:p>
    <w:p>
      <w:pPr>
        <w:rPr>
          <w:rFonts w:hint="eastAsia"/>
          <w:lang w:val="en-US" w:eastAsia="zh-CN"/>
        </w:rPr>
        <w:sectPr>
          <w:pgSz w:w="12240" w:h="15840"/>
          <w:pgMar w:top="1440" w:right="1800" w:bottom="1440" w:left="1800" w:header="720" w:footer="720" w:gutter="0"/>
          <w:cols w:space="720" w:num="1"/>
        </w:sectPr>
      </w:pPr>
      <w:r>
        <w:drawing>
          <wp:anchor distT="0" distB="0" distL="114300" distR="114300" simplePos="0" relativeHeight="251664384" behindDoc="0" locked="0" layoutInCell="1" allowOverlap="1">
            <wp:simplePos x="0" y="0"/>
            <wp:positionH relativeFrom="column">
              <wp:posOffset>0</wp:posOffset>
            </wp:positionH>
            <wp:positionV relativeFrom="page">
              <wp:posOffset>914400</wp:posOffset>
            </wp:positionV>
            <wp:extent cx="5479415" cy="5486400"/>
            <wp:effectExtent l="0" t="0" r="6985"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479415" cy="5486400"/>
                    </a:xfrm>
                    <a:prstGeom prst="rect">
                      <a:avLst/>
                    </a:prstGeom>
                    <a:noFill/>
                    <a:ln>
                      <a:noFill/>
                    </a:ln>
                  </pic:spPr>
                </pic:pic>
              </a:graphicData>
            </a:graphic>
          </wp:anchor>
        </w:drawing>
      </w:r>
    </w:p>
    <w:p>
      <w:pPr>
        <w:pStyle w:val="2"/>
        <w:numPr>
          <w:ilvl w:val="0"/>
          <w:numId w:val="0"/>
        </w:numPr>
        <w:ind w:left="1260" w:leftChars="0"/>
        <w:rPr>
          <w:rFonts w:hint="eastAsia"/>
          <w:lang w:val="en-US" w:eastAsia="zh-CN"/>
        </w:rPr>
        <w:sectPr>
          <w:pgSz w:w="12240" w:h="15840"/>
          <w:pgMar w:top="1440" w:right="1800" w:bottom="1440" w:left="1800" w:header="720" w:footer="720" w:gutter="0"/>
          <w:cols w:space="720" w:num="1"/>
        </w:sectPr>
      </w:pPr>
      <w:r>
        <w:drawing>
          <wp:anchor distT="0" distB="0" distL="114300" distR="114300" simplePos="0" relativeHeight="251665408" behindDoc="0" locked="0" layoutInCell="1" allowOverlap="1">
            <wp:simplePos x="0" y="0"/>
            <wp:positionH relativeFrom="column">
              <wp:posOffset>112395</wp:posOffset>
            </wp:positionH>
            <wp:positionV relativeFrom="page">
              <wp:posOffset>1443355</wp:posOffset>
            </wp:positionV>
            <wp:extent cx="5480050" cy="2590165"/>
            <wp:effectExtent l="0" t="0" r="6350" b="63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480050" cy="2590165"/>
                    </a:xfrm>
                    <a:prstGeom prst="rect">
                      <a:avLst/>
                    </a:prstGeom>
                    <a:noFill/>
                    <a:ln>
                      <a:noFill/>
                    </a:ln>
                  </pic:spPr>
                </pic:pic>
              </a:graphicData>
            </a:graphic>
          </wp:anchor>
        </w:drawing>
      </w:r>
    </w:p>
    <w:p>
      <w:pPr>
        <w:rPr>
          <w:rFonts w:hint="eastAsia"/>
          <w:lang w:val="en-US" w:eastAsia="zh-CN"/>
        </w:rPr>
        <w:sectPr>
          <w:pgSz w:w="12240" w:h="15840"/>
          <w:pgMar w:top="1440" w:right="1800" w:bottom="1440" w:left="1800" w:header="720" w:footer="720" w:gutter="0"/>
          <w:cols w:space="720" w:num="1"/>
        </w:sectPr>
      </w:pPr>
      <w:r>
        <w:drawing>
          <wp:inline distT="0" distB="0" distL="114300" distR="114300">
            <wp:extent cx="5478145" cy="1699260"/>
            <wp:effectExtent l="0" t="0" r="8255" b="152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478145" cy="1699260"/>
                    </a:xfrm>
                    <a:prstGeom prst="rect">
                      <a:avLst/>
                    </a:prstGeom>
                    <a:noFill/>
                    <a:ln>
                      <a:noFill/>
                    </a:ln>
                  </pic:spPr>
                </pic:pic>
              </a:graphicData>
            </a:graphic>
          </wp:inline>
        </w:drawing>
      </w:r>
    </w:p>
    <w:p>
      <w:pPr>
        <w:pStyle w:val="2"/>
        <w:numPr>
          <w:ilvl w:val="0"/>
          <w:numId w:val="0"/>
        </w:numPr>
        <w:ind w:left="1260" w:leftChars="0"/>
        <w:rPr>
          <w:rFonts w:hint="eastAsia"/>
          <w:lang w:val="en-US" w:eastAsia="zh-CN"/>
        </w:rPr>
      </w:pPr>
      <w:r>
        <w:drawing>
          <wp:anchor distT="0" distB="0" distL="114300" distR="114300" simplePos="0" relativeHeight="251666432" behindDoc="0" locked="0" layoutInCell="1" allowOverlap="1">
            <wp:simplePos x="0" y="0"/>
            <wp:positionH relativeFrom="column">
              <wp:posOffset>48260</wp:posOffset>
            </wp:positionH>
            <wp:positionV relativeFrom="page">
              <wp:posOffset>1411605</wp:posOffset>
            </wp:positionV>
            <wp:extent cx="5476240" cy="1541780"/>
            <wp:effectExtent l="0" t="0" r="10160" b="127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476240" cy="1541780"/>
                    </a:xfrm>
                    <a:prstGeom prst="rect">
                      <a:avLst/>
                    </a:prstGeom>
                    <a:noFill/>
                    <a:ln>
                      <a:noFill/>
                    </a:ln>
                  </pic:spPr>
                </pic:pic>
              </a:graphicData>
            </a:graphic>
          </wp:anchor>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E77EF5"/>
    <w:multiLevelType w:val="multilevel"/>
    <w:tmpl w:val="69E77EF5"/>
    <w:lvl w:ilvl="0" w:tentative="0">
      <w:start w:val="1"/>
      <w:numFmt w:val="chineseCounting"/>
      <w:pStyle w:val="2"/>
      <w:suff w:val="nothing"/>
      <w:lvlText w:val="%1、"/>
      <w:lvlJc w:val="left"/>
      <w:pPr>
        <w:tabs>
          <w:tab w:val="left" w:pos="851"/>
        </w:tabs>
        <w:ind w:left="1260" w:firstLine="0"/>
      </w:pPr>
      <w:rPr>
        <w:rFonts w:hint="eastAsia" w:eastAsia="黑体"/>
        <w:sz w:val="32"/>
        <w:lang w:val="en-US"/>
      </w:rPr>
    </w:lvl>
    <w:lvl w:ilvl="1" w:tentative="0">
      <w:start w:val="1"/>
      <w:numFmt w:val="chineseCounting"/>
      <w:suff w:val="nothing"/>
      <w:lvlText w:val="（%2）"/>
      <w:lvlJc w:val="left"/>
      <w:pPr>
        <w:ind w:left="1260" w:firstLine="0"/>
      </w:pPr>
      <w:rPr>
        <w:rFonts w:hint="eastAsia"/>
      </w:rPr>
    </w:lvl>
    <w:lvl w:ilvl="2" w:tentative="0">
      <w:start w:val="1"/>
      <w:numFmt w:val="decimal"/>
      <w:suff w:val="nothing"/>
      <w:lvlText w:val="%3．"/>
      <w:lvlJc w:val="left"/>
      <w:pPr>
        <w:ind w:left="1260" w:firstLine="400"/>
      </w:pPr>
      <w:rPr>
        <w:rFonts w:hint="eastAsia"/>
      </w:rPr>
    </w:lvl>
    <w:lvl w:ilvl="3" w:tentative="0">
      <w:start w:val="1"/>
      <w:numFmt w:val="decimal"/>
      <w:suff w:val="nothing"/>
      <w:lvlText w:val="（%4）"/>
      <w:lvlJc w:val="left"/>
      <w:pPr>
        <w:ind w:left="1260" w:firstLine="402"/>
      </w:pPr>
      <w:rPr>
        <w:rFonts w:hint="eastAsia"/>
      </w:rPr>
    </w:lvl>
    <w:lvl w:ilvl="4" w:tentative="0">
      <w:start w:val="1"/>
      <w:numFmt w:val="decimalEnclosedCircleChinese"/>
      <w:suff w:val="nothing"/>
      <w:lvlText w:val="%5"/>
      <w:lvlJc w:val="left"/>
      <w:pPr>
        <w:ind w:left="1260" w:firstLine="402"/>
      </w:pPr>
      <w:rPr>
        <w:rFonts w:hint="eastAsia"/>
      </w:rPr>
    </w:lvl>
    <w:lvl w:ilvl="5" w:tentative="0">
      <w:start w:val="1"/>
      <w:numFmt w:val="decimal"/>
      <w:suff w:val="nothing"/>
      <w:lvlText w:val="%6）"/>
      <w:lvlJc w:val="left"/>
      <w:pPr>
        <w:ind w:left="1260" w:firstLine="402"/>
      </w:pPr>
      <w:rPr>
        <w:rFonts w:hint="eastAsia"/>
      </w:rPr>
    </w:lvl>
    <w:lvl w:ilvl="6" w:tentative="0">
      <w:start w:val="1"/>
      <w:numFmt w:val="lowerLetter"/>
      <w:suff w:val="nothing"/>
      <w:lvlText w:val="%7．"/>
      <w:lvlJc w:val="left"/>
      <w:pPr>
        <w:ind w:left="1260" w:firstLine="402"/>
      </w:pPr>
      <w:rPr>
        <w:rFonts w:hint="eastAsia"/>
      </w:rPr>
    </w:lvl>
    <w:lvl w:ilvl="7" w:tentative="0">
      <w:start w:val="1"/>
      <w:numFmt w:val="lowerLetter"/>
      <w:suff w:val="nothing"/>
      <w:lvlText w:val="%8）"/>
      <w:lvlJc w:val="left"/>
      <w:pPr>
        <w:ind w:left="1260" w:firstLine="402"/>
      </w:pPr>
      <w:rPr>
        <w:rFonts w:hint="eastAsia"/>
      </w:rPr>
    </w:lvl>
    <w:lvl w:ilvl="8" w:tentative="0">
      <w:start w:val="1"/>
      <w:numFmt w:val="lowerRoman"/>
      <w:suff w:val="nothing"/>
      <w:lvlText w:val="%9 "/>
      <w:lvlJc w:val="left"/>
      <w:pPr>
        <w:ind w:left="126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B2B2D"/>
    <w:rsid w:val="010A225C"/>
    <w:rsid w:val="02B82690"/>
    <w:rsid w:val="03BB5103"/>
    <w:rsid w:val="06212547"/>
    <w:rsid w:val="09D30E29"/>
    <w:rsid w:val="0C0018ED"/>
    <w:rsid w:val="0D172651"/>
    <w:rsid w:val="13C52EF3"/>
    <w:rsid w:val="1543198F"/>
    <w:rsid w:val="157A21F8"/>
    <w:rsid w:val="16392173"/>
    <w:rsid w:val="174E54A9"/>
    <w:rsid w:val="17B74DD3"/>
    <w:rsid w:val="19A03254"/>
    <w:rsid w:val="1ED32ABB"/>
    <w:rsid w:val="28D978C7"/>
    <w:rsid w:val="296E26E4"/>
    <w:rsid w:val="2ACA464F"/>
    <w:rsid w:val="2E472E3E"/>
    <w:rsid w:val="33CC0B51"/>
    <w:rsid w:val="3D9D0CCB"/>
    <w:rsid w:val="3EFA3CF4"/>
    <w:rsid w:val="470115AB"/>
    <w:rsid w:val="4A1F3543"/>
    <w:rsid w:val="4EB06368"/>
    <w:rsid w:val="4ECE7BD3"/>
    <w:rsid w:val="50472573"/>
    <w:rsid w:val="50EA33BE"/>
    <w:rsid w:val="528479A0"/>
    <w:rsid w:val="528F5471"/>
    <w:rsid w:val="563437E7"/>
    <w:rsid w:val="5824592A"/>
    <w:rsid w:val="5AF97013"/>
    <w:rsid w:val="5B453392"/>
    <w:rsid w:val="5D601E64"/>
    <w:rsid w:val="63481815"/>
    <w:rsid w:val="69952142"/>
    <w:rsid w:val="69CC7A33"/>
    <w:rsid w:val="6EDC6062"/>
    <w:rsid w:val="6FCB1D04"/>
    <w:rsid w:val="72A20DF3"/>
    <w:rsid w:val="74422088"/>
    <w:rsid w:val="7460159D"/>
    <w:rsid w:val="752858E1"/>
    <w:rsid w:val="7CF035DF"/>
    <w:rsid w:val="7FA11B43"/>
    <w:rsid w:val="7FF477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9"/>
    <w:pPr>
      <w:keepNext/>
      <w:keepLines/>
      <w:numPr>
        <w:ilvl w:val="0"/>
        <w:numId w:val="1"/>
      </w:numPr>
      <w:tabs>
        <w:tab w:val="left" w:pos="0"/>
      </w:tabs>
      <w:spacing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List Paragraph"/>
    <w:basedOn w:val="1"/>
    <w:qFormat/>
    <w:uiPriority w:val="0"/>
    <w:pPr>
      <w:ind w:firstLine="420" w:firstLineChars="200"/>
    </w:pPr>
  </w:style>
  <w:style w:type="paragraph" w:customStyle="1" w:styleId="6">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9</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2025-08-13T08:35:00Z</dcterms:created>
  <dc:creator>Administrator</dc:creator>
  <cp:lastModifiedBy>lenovo</cp:lastModifiedBy>
  <dcterms:modified xsi:type="dcterms:W3CDTF">2025-09-02T08:05:38Z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F6F66279DF67401E83EC4668FBE189DD</vt:lpwstr>
  </property>
</Properties>
</file>