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kern w:val="0"/>
          <w:sz w:val="48"/>
          <w:szCs w:val="48"/>
        </w:rPr>
      </w:pPr>
      <w:r>
        <w:rPr>
          <w:rFonts w:hint="eastAsia" w:eastAsia="方正小标宋_GBK" w:cs="Times New Roman"/>
          <w:kern w:val="0"/>
          <w:sz w:val="48"/>
          <w:szCs w:val="48"/>
          <w:lang w:eastAsia="zh-CN"/>
        </w:rPr>
        <w:t>支农专项</w:t>
      </w:r>
      <w:r>
        <w:rPr>
          <w:rFonts w:hint="eastAsia" w:eastAsia="方正小标宋_GBK" w:cs="Times New Roman"/>
          <w:kern w:val="0"/>
          <w:sz w:val="48"/>
          <w:szCs w:val="48"/>
          <w:lang w:val="en-US" w:eastAsia="zh-CN"/>
        </w:rPr>
        <w:t>-村级组织工作经费</w:t>
      </w:r>
      <w:r>
        <w:rPr>
          <w:rFonts w:hint="default" w:ascii="Times New Roman" w:hAnsi="Times New Roman" w:eastAsia="方正小标宋_GBK" w:cs="Times New Roman"/>
          <w:kern w:val="0"/>
          <w:sz w:val="48"/>
          <w:szCs w:val="48"/>
        </w:rPr>
        <w:t>项目支出</w:t>
      </w: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绩效评价报告</w:t>
      </w: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kern w:val="0"/>
          <w:sz w:val="30"/>
          <w:szCs w:val="30"/>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kern w:val="0"/>
          <w:sz w:val="30"/>
          <w:szCs w:val="30"/>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kern w:val="0"/>
          <w:sz w:val="30"/>
          <w:szCs w:val="30"/>
        </w:rPr>
      </w:pPr>
    </w:p>
    <w:p>
      <w:pPr>
        <w:pStyle w:val="12"/>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kern w:val="0"/>
          <w:sz w:val="30"/>
          <w:szCs w:val="30"/>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kern w:val="0"/>
          <w:sz w:val="30"/>
          <w:szCs w:val="30"/>
        </w:rPr>
      </w:pPr>
    </w:p>
    <w:p>
      <w:pPr>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eastAsia="zh-CN"/>
        </w:rPr>
        <w:t>支农</w:t>
      </w:r>
      <w:r>
        <w:rPr>
          <w:rFonts w:hint="eastAsia" w:ascii="Times New Roman" w:hAnsi="Times New Roman" w:eastAsia="仿宋_GB2312" w:cs="Times New Roman"/>
          <w:kern w:val="0"/>
          <w:sz w:val="36"/>
          <w:szCs w:val="36"/>
          <w:lang w:eastAsia="zh-CN"/>
        </w:rPr>
        <w:t>专项</w:t>
      </w:r>
      <w:r>
        <w:rPr>
          <w:rFonts w:hint="eastAsia" w:ascii="Times New Roman" w:hAnsi="Times New Roman" w:eastAsia="仿宋_GB2312" w:cs="Times New Roman"/>
          <w:kern w:val="0"/>
          <w:sz w:val="36"/>
          <w:szCs w:val="36"/>
          <w:lang w:val="en-US" w:eastAsia="zh-CN"/>
        </w:rPr>
        <w:t>-村级组织工作经费</w:t>
      </w:r>
      <w:r>
        <w:rPr>
          <w:rFonts w:hint="default" w:ascii="Times New Roman" w:hAnsi="Times New Roman" w:eastAsia="仿宋_GB2312" w:cs="Times New Roman"/>
          <w:kern w:val="0"/>
          <w:sz w:val="36"/>
          <w:szCs w:val="36"/>
        </w:rPr>
        <w:t>项目</w:t>
      </w:r>
    </w:p>
    <w:p>
      <w:pPr>
        <w:pageBreakBefore w:val="0"/>
        <w:kinsoku/>
        <w:wordWrap/>
        <w:overflowPunct/>
        <w:topLinePunct w:val="0"/>
        <w:autoSpaceDE/>
        <w:autoSpaceDN/>
        <w:bidi w:val="0"/>
        <w:adjustRightInd/>
        <w:snapToGrid/>
        <w:spacing w:line="560" w:lineRule="exact"/>
        <w:jc w:val="left"/>
        <w:textAlignment w:val="auto"/>
        <w:rPr>
          <w:rFonts w:hAnsi="宋体" w:eastAsia="仿宋_GB2312" w:cs="宋体"/>
          <w:kern w:val="0"/>
          <w:sz w:val="36"/>
          <w:szCs w:val="36"/>
        </w:rPr>
      </w:pPr>
      <w:r>
        <w:rPr>
          <w:rFonts w:hint="default" w:ascii="Times New Roman" w:hAnsi="Times New Roman" w:eastAsia="仿宋_GB2312" w:cs="Times New Roman"/>
          <w:kern w:val="0"/>
          <w:sz w:val="36"/>
          <w:szCs w:val="36"/>
        </w:rPr>
        <w:t>实施单位（公章）：</w:t>
      </w:r>
      <w:r>
        <w:rPr>
          <w:rFonts w:hint="eastAsia" w:hAnsi="宋体" w:eastAsia="仿宋_GB2312" w:cs="宋体"/>
          <w:kern w:val="0"/>
          <w:sz w:val="36"/>
          <w:szCs w:val="36"/>
        </w:rPr>
        <w:t>库尔勒市</w:t>
      </w:r>
      <w:r>
        <w:rPr>
          <w:rFonts w:hint="eastAsia" w:hAnsi="宋体" w:eastAsia="仿宋_GB2312" w:cs="宋体"/>
          <w:kern w:val="0"/>
          <w:sz w:val="36"/>
          <w:szCs w:val="36"/>
          <w:lang w:val="en-US" w:eastAsia="zh-CN"/>
        </w:rPr>
        <w:t>和什力克</w:t>
      </w:r>
      <w:r>
        <w:rPr>
          <w:rFonts w:hint="eastAsia" w:hAnsi="宋体" w:eastAsia="仿宋_GB2312" w:cs="宋体"/>
          <w:kern w:val="0"/>
          <w:sz w:val="36"/>
          <w:szCs w:val="36"/>
          <w:lang w:eastAsia="zh-CN"/>
        </w:rPr>
        <w:t>乡</w:t>
      </w:r>
      <w:r>
        <w:rPr>
          <w:rFonts w:hAnsi="宋体" w:eastAsia="仿宋_GB2312" w:cs="宋体"/>
          <w:kern w:val="0"/>
          <w:sz w:val="36"/>
          <w:szCs w:val="36"/>
        </w:rPr>
        <w:t>人民政府</w:t>
      </w:r>
    </w:p>
    <w:p>
      <w:pPr>
        <w:pageBreakBefore w:val="0"/>
        <w:kinsoku/>
        <w:wordWrap/>
        <w:overflowPunct/>
        <w:topLinePunct w:val="0"/>
        <w:autoSpaceDE/>
        <w:autoSpaceDN/>
        <w:bidi w:val="0"/>
        <w:adjustRightInd/>
        <w:snapToGrid/>
        <w:spacing w:line="560" w:lineRule="exact"/>
        <w:jc w:val="left"/>
        <w:textAlignment w:val="auto"/>
        <w:rPr>
          <w:rFonts w:hAnsi="宋体" w:eastAsia="仿宋_GB2312" w:cs="宋体"/>
          <w:kern w:val="0"/>
          <w:sz w:val="36"/>
          <w:szCs w:val="36"/>
        </w:rPr>
      </w:pPr>
      <w:r>
        <w:rPr>
          <w:rFonts w:hint="default" w:ascii="Times New Roman" w:hAnsi="Times New Roman" w:eastAsia="仿宋_GB2312" w:cs="Times New Roman"/>
          <w:kern w:val="0"/>
          <w:sz w:val="36"/>
          <w:szCs w:val="36"/>
        </w:rPr>
        <w:t>主管部门（公章）：</w:t>
      </w:r>
      <w:r>
        <w:rPr>
          <w:rFonts w:hint="eastAsia" w:hAnsi="宋体" w:eastAsia="仿宋_GB2312" w:cs="宋体"/>
          <w:kern w:val="0"/>
          <w:sz w:val="36"/>
          <w:szCs w:val="36"/>
        </w:rPr>
        <w:t>库尔勒市</w:t>
      </w:r>
      <w:r>
        <w:rPr>
          <w:rFonts w:hint="eastAsia" w:hAnsi="宋体" w:eastAsia="仿宋_GB2312" w:cs="宋体"/>
          <w:kern w:val="0"/>
          <w:sz w:val="36"/>
          <w:szCs w:val="36"/>
          <w:lang w:val="en-US" w:eastAsia="zh-CN"/>
        </w:rPr>
        <w:t>和什力克</w:t>
      </w:r>
      <w:r>
        <w:rPr>
          <w:rFonts w:hint="eastAsia" w:hAnsi="宋体" w:eastAsia="仿宋_GB2312" w:cs="宋体"/>
          <w:kern w:val="0"/>
          <w:sz w:val="36"/>
          <w:szCs w:val="36"/>
          <w:lang w:eastAsia="zh-CN"/>
        </w:rPr>
        <w:t>乡</w:t>
      </w:r>
      <w:r>
        <w:rPr>
          <w:rFonts w:hAnsi="宋体" w:eastAsia="仿宋_GB2312" w:cs="宋体"/>
          <w:kern w:val="0"/>
          <w:sz w:val="36"/>
          <w:szCs w:val="36"/>
        </w:rPr>
        <w:t>人民政府</w:t>
      </w:r>
    </w:p>
    <w:p>
      <w:pPr>
        <w:pageBreakBefore w:val="0"/>
        <w:kinsoku/>
        <w:wordWrap/>
        <w:overflowPunct/>
        <w:topLinePunct w:val="0"/>
        <w:autoSpaceDE/>
        <w:autoSpaceDN/>
        <w:bidi w:val="0"/>
        <w:adjustRightInd/>
        <w:snapToGrid/>
        <w:spacing w:line="560" w:lineRule="exact"/>
        <w:jc w:val="left"/>
        <w:textAlignment w:val="auto"/>
        <w:rPr>
          <w:rFonts w:hint="eastAsia"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王文怀</w:t>
      </w:r>
    </w:p>
    <w:p>
      <w:pPr>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29</w:t>
      </w:r>
      <w:r>
        <w:rPr>
          <w:rFonts w:hint="default" w:ascii="Times New Roman" w:hAnsi="Times New Roman" w:eastAsia="仿宋_GB2312" w:cs="Times New Roman"/>
          <w:kern w:val="0"/>
          <w:sz w:val="36"/>
          <w:szCs w:val="36"/>
        </w:rPr>
        <w:t>日</w:t>
      </w: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kern w:val="0"/>
          <w:sz w:val="30"/>
          <w:szCs w:val="30"/>
        </w:rPr>
      </w:pPr>
    </w:p>
    <w:p>
      <w:pPr>
        <w:pageBreakBefore w:val="0"/>
        <w:kinsoku/>
        <w:wordWrap/>
        <w:overflowPunct/>
        <w:topLinePunct w:val="0"/>
        <w:autoSpaceDE/>
        <w:autoSpaceDN/>
        <w:bidi w:val="0"/>
        <w:adjustRightInd/>
        <w:snapToGrid/>
        <w:spacing w:line="560" w:lineRule="exact"/>
        <w:textAlignment w:val="auto"/>
        <w:rPr>
          <w:rStyle w:val="18"/>
          <w:rFonts w:hint="default" w:ascii="Times New Roman" w:hAnsi="Times New Roman" w:eastAsia="黑体" w:cs="Times New Roman"/>
          <w:b w:val="0"/>
          <w:spacing w:val="-4"/>
          <w:sz w:val="32"/>
          <w:szCs w:val="32"/>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w:t>
      </w:r>
      <w:r>
        <w:rPr>
          <w:rFonts w:hint="eastAsia" w:eastAsia="仿宋_GB2312" w:cs="Times New Roman"/>
          <w:b/>
          <w:bCs/>
          <w:sz w:val="32"/>
          <w:szCs w:val="32"/>
          <w:lang w:val="en-US" w:eastAsia="zh-CN"/>
        </w:rPr>
        <w:t>背景</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支农专项-</w:t>
      </w:r>
      <w:r>
        <w:rPr>
          <w:rFonts w:hint="default" w:ascii="Times New Roman" w:hAnsi="Times New Roman" w:eastAsia="仿宋_GB2312" w:cs="Times New Roman"/>
          <w:sz w:val="32"/>
          <w:szCs w:val="32"/>
          <w:highlight w:val="none"/>
          <w:lang w:val="en-US" w:eastAsia="zh-CN"/>
        </w:rPr>
        <w:t>村级组织工作经费项目旨在强化村级组织服务效能、推动乡村全面振兴，其设立具有深刻的现实背景：保障村级组织正常运转：村级组织作为落实乡村政策、服务村民的“最后一公里”基层单位，承担着村级事务管理、公共服务供给等大量工作。然而，部分村集体经济薄弱，自有资金难以满足日常办公、活动开展等基本需求，导致村级组织运行效率低下，甚至影响基层治理的稳定性和有效性。</w:t>
      </w:r>
      <w:r>
        <w:rPr>
          <w:rFonts w:hint="eastAsia" w:ascii="Times New Roman" w:hAnsi="Times New Roman" w:eastAsia="仿宋_GB2312" w:cs="Times New Roman"/>
          <w:sz w:val="32"/>
          <w:szCs w:val="32"/>
          <w:highlight w:val="none"/>
          <w:lang w:val="en-US" w:eastAsia="zh-CN"/>
        </w:rPr>
        <w:t>支农专项-</w:t>
      </w:r>
      <w:r>
        <w:rPr>
          <w:rFonts w:hint="default" w:ascii="Times New Roman" w:hAnsi="Times New Roman" w:eastAsia="仿宋_GB2312" w:cs="Times New Roman"/>
          <w:sz w:val="32"/>
          <w:szCs w:val="32"/>
          <w:highlight w:val="none"/>
          <w:lang w:val="en-US" w:eastAsia="zh-CN"/>
        </w:rPr>
        <w:t>村级组织工作经费的注入，能够为村级组织提供稳定的资金支持，保障其各项工作顺利开展。</w:t>
      </w:r>
    </w:p>
    <w:p>
      <w:pPr>
        <w:pageBreakBefore w:val="0"/>
        <w:shd w:val="clear"/>
        <w:kinsoku/>
        <w:wordWrap/>
        <w:overflowPunct/>
        <w:topLinePunct w:val="0"/>
        <w:autoSpaceDE/>
        <w:autoSpaceDN/>
        <w:bidi w:val="0"/>
        <w:adjustRightInd/>
        <w:snapToGrid/>
        <w:spacing w:line="560" w:lineRule="exact"/>
        <w:ind w:firstLine="643" w:firstLineChars="200"/>
        <w:textAlignment w:val="auto"/>
        <w:outlineLvl w:val="0"/>
        <w:rPr>
          <w:rFonts w:hint="default" w:ascii="Times New Roman" w:hAnsi="Times New Roman" w:eastAsia="仿宋_GB2312" w:cs="Times New Roman"/>
          <w:b/>
          <w:bCs/>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2.项目主要内容：</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项目主要内容：实现</w:t>
      </w:r>
      <w:r>
        <w:rPr>
          <w:rFonts w:hint="eastAsia" w:eastAsia="仿宋_GB2312" w:cs="Times New Roman"/>
          <w:sz w:val="32"/>
          <w:szCs w:val="32"/>
          <w:highlight w:val="none"/>
          <w:lang w:val="en-US" w:eastAsia="zh-CN"/>
        </w:rPr>
        <w:t>和什力克</w:t>
      </w:r>
      <w:r>
        <w:rPr>
          <w:rFonts w:hint="default" w:ascii="Times New Roman" w:hAnsi="Times New Roman" w:eastAsia="仿宋_GB2312" w:cs="Times New Roman"/>
          <w:sz w:val="32"/>
          <w:szCs w:val="32"/>
          <w:highlight w:val="none"/>
          <w:lang w:val="en-US" w:eastAsia="zh-CN"/>
        </w:rPr>
        <w:t>乡</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个村全覆盖，确保2个大村，</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个中村，1个小村正常运转；抓好各村委会基层党组织阵地建设，确保基层党组织各项事业稳定有序开展，                                                                             提升村干部为民服务能力、提高服务水平，顺利服务于村民，提高幸福指数。</w:t>
      </w:r>
      <w:r>
        <w:rPr>
          <w:rFonts w:hint="eastAsia" w:ascii="Times New Roman" w:hAnsi="Times New Roman" w:eastAsia="仿宋_GB2312" w:cs="Times New Roman"/>
          <w:sz w:val="32"/>
          <w:szCs w:val="32"/>
          <w:highlight w:val="none"/>
          <w:lang w:val="en-US" w:eastAsia="zh-CN"/>
        </w:rPr>
        <w:t>村级组织运转经费主要</w:t>
      </w:r>
      <w:r>
        <w:rPr>
          <w:rFonts w:hint="default" w:ascii="Times New Roman" w:hAnsi="Times New Roman" w:eastAsia="仿宋_GB2312" w:cs="Times New Roman"/>
          <w:sz w:val="32"/>
          <w:szCs w:val="32"/>
          <w:highlight w:val="none"/>
          <w:lang w:val="en-US" w:eastAsia="zh-CN"/>
        </w:rPr>
        <w:t>用于村级组织日常办公所需，如办公用品（纸张、笔墨、打印耗材等）采购，办公设备（电脑、打印机、复印机等）的购置、维修与维护；支付水电费、通讯费（固定电话、网络费用）等，确保</w:t>
      </w:r>
      <w:r>
        <w:rPr>
          <w:rFonts w:hint="eastAsia"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lang w:val="en-US" w:eastAsia="zh-CN"/>
        </w:rPr>
        <w:t>个村</w:t>
      </w:r>
      <w:r>
        <w:rPr>
          <w:rFonts w:hint="default" w:ascii="Times New Roman" w:hAnsi="Times New Roman" w:eastAsia="仿宋_GB2312" w:cs="Times New Roman"/>
          <w:sz w:val="32"/>
          <w:szCs w:val="32"/>
          <w:highlight w:val="none"/>
          <w:lang w:val="en-US" w:eastAsia="zh-CN"/>
        </w:rPr>
        <w:t>村级办公场所正常运转。</w:t>
      </w:r>
    </w:p>
    <w:p>
      <w:pPr>
        <w:pageBreakBefore w:val="0"/>
        <w:shd w:val="clear"/>
        <w:kinsoku/>
        <w:wordWrap/>
        <w:overflowPunct/>
        <w:topLinePunct w:val="0"/>
        <w:autoSpaceDE/>
        <w:autoSpaceDN/>
        <w:bidi w:val="0"/>
        <w:adjustRightInd/>
        <w:snapToGrid/>
        <w:spacing w:line="240" w:lineRule="auto"/>
        <w:ind w:firstLine="0" w:firstLineChars="0"/>
        <w:textAlignment w:val="auto"/>
        <w:outlineLvl w:val="0"/>
        <w:rPr>
          <w:rFonts w:hint="default" w:ascii="仿宋_GB2312" w:hAnsi="仿宋_GB2312" w:eastAsia="仿宋_GB2312" w:cs="仿宋_GB2312"/>
          <w:sz w:val="30"/>
          <w:szCs w:val="30"/>
          <w:u w:val="none"/>
          <w:lang w:val="en-US"/>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支农专项-村级组织工作经费</w:t>
      </w:r>
      <w:r>
        <w:rPr>
          <w:rFonts w:hint="default" w:ascii="Times New Roman" w:hAnsi="Times New Roman" w:eastAsia="仿宋_GB2312" w:cs="Times New Roman"/>
          <w:sz w:val="32"/>
          <w:szCs w:val="32"/>
          <w:highlight w:val="none"/>
          <w:lang w:val="en-US" w:eastAsia="zh-CN"/>
        </w:rPr>
        <w:t>项目</w:t>
      </w:r>
      <w:r>
        <w:rPr>
          <w:rFonts w:hint="eastAsia" w:eastAsia="仿宋_GB2312" w:cs="Times New Roman"/>
          <w:sz w:val="32"/>
          <w:szCs w:val="32"/>
          <w:highlight w:val="none"/>
          <w:lang w:val="en-US" w:eastAsia="zh-CN"/>
        </w:rPr>
        <w:t>年</w:t>
      </w:r>
      <w:r>
        <w:rPr>
          <w:rFonts w:hint="default" w:ascii="Times New Roman" w:hAnsi="Times New Roman" w:eastAsia="仿宋_GB2312" w:cs="Times New Roman"/>
          <w:sz w:val="32"/>
          <w:szCs w:val="32"/>
          <w:highlight w:val="none"/>
          <w:lang w:val="en-US" w:eastAsia="zh-CN"/>
        </w:rPr>
        <w:t>初</w:t>
      </w:r>
      <w:r>
        <w:rPr>
          <w:rFonts w:hint="eastAsia" w:eastAsia="仿宋_GB2312" w:cs="Times New Roman"/>
          <w:sz w:val="32"/>
          <w:szCs w:val="32"/>
          <w:highlight w:val="none"/>
          <w:lang w:val="en-US" w:eastAsia="zh-CN"/>
        </w:rPr>
        <w:t>是</w:t>
      </w:r>
      <w:r>
        <w:rPr>
          <w:rFonts w:hint="eastAsia" w:ascii="仿宋_GB2312" w:hAnsi="仿宋_GB2312" w:eastAsia="仿宋_GB2312" w:cs="仿宋_GB2312"/>
          <w:sz w:val="30"/>
          <w:szCs w:val="30"/>
          <w:u w:val="none"/>
        </w:rPr>
        <w:t>我单位将</w:t>
      </w:r>
      <w:r>
        <w:rPr>
          <w:rFonts w:hint="eastAsia" w:ascii="仿宋_GB2312" w:hAnsi="仿宋_GB2312" w:eastAsia="仿宋_GB2312" w:cs="仿宋_GB2312"/>
          <w:sz w:val="30"/>
          <w:szCs w:val="30"/>
          <w:u w:val="none"/>
          <w:lang w:val="en-US" w:eastAsia="zh-CN"/>
        </w:rPr>
        <w:t>56</w:t>
      </w:r>
      <w:r>
        <w:rPr>
          <w:rFonts w:hint="eastAsia" w:ascii="仿宋_GB2312" w:hAnsi="仿宋_GB2312" w:eastAsia="仿宋_GB2312" w:cs="仿宋_GB2312"/>
          <w:sz w:val="30"/>
          <w:szCs w:val="30"/>
          <w:u w:val="none"/>
        </w:rPr>
        <w:t>万元用于下辖</w:t>
      </w:r>
      <w:r>
        <w:rPr>
          <w:rFonts w:hint="eastAsia" w:ascii="仿宋_GB2312" w:hAnsi="仿宋_GB2312" w:eastAsia="仿宋_GB2312" w:cs="仿宋_GB2312"/>
          <w:sz w:val="30"/>
          <w:szCs w:val="30"/>
          <w:u w:val="none"/>
          <w:lang w:val="en-US" w:eastAsia="zh-CN"/>
        </w:rPr>
        <w:t>5</w:t>
      </w:r>
      <w:r>
        <w:rPr>
          <w:rFonts w:hint="eastAsia" w:ascii="仿宋_GB2312" w:hAnsi="仿宋_GB2312" w:eastAsia="仿宋_GB2312" w:cs="仿宋_GB2312"/>
          <w:sz w:val="30"/>
          <w:szCs w:val="30"/>
          <w:u w:val="none"/>
        </w:rPr>
        <w:t>个</w:t>
      </w:r>
      <w:r>
        <w:rPr>
          <w:rFonts w:hint="eastAsia" w:ascii="仿宋_GB2312" w:hAnsi="仿宋_GB2312" w:eastAsia="仿宋_GB2312" w:cs="仿宋_GB2312"/>
          <w:sz w:val="30"/>
          <w:szCs w:val="30"/>
          <w:u w:val="none"/>
          <w:lang w:eastAsia="zh-CN"/>
        </w:rPr>
        <w:t>村委会正常运转，</w:t>
      </w:r>
      <w:r>
        <w:rPr>
          <w:rFonts w:hint="eastAsia" w:ascii="仿宋_GB2312" w:hAnsi="仿宋_GB2312" w:eastAsia="仿宋_GB2312" w:cs="仿宋_GB2312"/>
          <w:sz w:val="30"/>
          <w:szCs w:val="30"/>
          <w:u w:val="none"/>
          <w:lang w:val="en-US" w:eastAsia="zh-CN"/>
        </w:rPr>
        <w:t>5</w:t>
      </w:r>
      <w:r>
        <w:rPr>
          <w:rFonts w:hint="eastAsia" w:ascii="仿宋_GB2312" w:hAnsi="仿宋_GB2312" w:eastAsia="仿宋_GB2312" w:cs="仿宋_GB2312"/>
          <w:sz w:val="30"/>
          <w:szCs w:val="30"/>
          <w:u w:val="none"/>
          <w:lang w:eastAsia="zh-CN"/>
        </w:rPr>
        <w:t>个村委会，其中2个大</w:t>
      </w:r>
      <w:r>
        <w:rPr>
          <w:rFonts w:hint="eastAsia" w:ascii="仿宋_GB2312" w:hAnsi="仿宋_GB2312" w:eastAsia="仿宋_GB2312" w:cs="仿宋_GB2312"/>
          <w:sz w:val="30"/>
          <w:szCs w:val="30"/>
          <w:u w:val="none"/>
          <w:lang w:val="en-US" w:eastAsia="zh-CN"/>
        </w:rPr>
        <w:t>村</w:t>
      </w:r>
      <w:r>
        <w:rPr>
          <w:rFonts w:hint="eastAsia" w:ascii="仿宋_GB2312" w:hAnsi="仿宋_GB2312" w:eastAsia="仿宋_GB2312" w:cs="仿宋_GB2312"/>
          <w:sz w:val="30"/>
          <w:szCs w:val="30"/>
          <w:u w:val="none"/>
          <w:lang w:eastAsia="zh-CN"/>
        </w:rPr>
        <w:t>，</w:t>
      </w:r>
      <w:r>
        <w:rPr>
          <w:rFonts w:hint="eastAsia" w:ascii="仿宋_GB2312" w:hAnsi="仿宋_GB2312" w:eastAsia="仿宋_GB2312" w:cs="仿宋_GB2312"/>
          <w:sz w:val="30"/>
          <w:szCs w:val="30"/>
          <w:u w:val="none"/>
          <w:lang w:val="en-US" w:eastAsia="zh-CN"/>
        </w:rPr>
        <w:t>2</w:t>
      </w:r>
      <w:r>
        <w:rPr>
          <w:rFonts w:hint="eastAsia" w:ascii="仿宋_GB2312" w:hAnsi="仿宋_GB2312" w:eastAsia="仿宋_GB2312" w:cs="仿宋_GB2312"/>
          <w:sz w:val="30"/>
          <w:szCs w:val="30"/>
          <w:u w:val="none"/>
          <w:lang w:eastAsia="zh-CN"/>
        </w:rPr>
        <w:t>个中</w:t>
      </w:r>
      <w:r>
        <w:rPr>
          <w:rFonts w:hint="eastAsia" w:ascii="仿宋_GB2312" w:hAnsi="仿宋_GB2312" w:eastAsia="仿宋_GB2312" w:cs="仿宋_GB2312"/>
          <w:sz w:val="30"/>
          <w:szCs w:val="30"/>
          <w:u w:val="none"/>
          <w:lang w:val="en-US" w:eastAsia="zh-CN"/>
        </w:rPr>
        <w:t>村</w:t>
      </w:r>
      <w:r>
        <w:rPr>
          <w:rFonts w:hint="eastAsia" w:ascii="仿宋_GB2312" w:hAnsi="仿宋_GB2312" w:eastAsia="仿宋_GB2312" w:cs="仿宋_GB2312"/>
          <w:sz w:val="30"/>
          <w:szCs w:val="30"/>
          <w:u w:val="none"/>
          <w:lang w:eastAsia="zh-CN"/>
        </w:rPr>
        <w:t>，1个小村，大村每个村委会每年12万元运转经费，中村每个村每年11万元运转经费，小村每个村每年10万元运转经费。具体计划如下1：实现</w:t>
      </w:r>
      <w:r>
        <w:rPr>
          <w:rFonts w:hint="eastAsia" w:ascii="仿宋_GB2312" w:hAnsi="仿宋_GB2312" w:eastAsia="仿宋_GB2312" w:cs="仿宋_GB2312"/>
          <w:sz w:val="30"/>
          <w:szCs w:val="30"/>
          <w:u w:val="none"/>
          <w:lang w:eastAsia="zh-CN"/>
        </w:rPr>
        <w:t>和什力克乡</w:t>
      </w:r>
      <w:r>
        <w:rPr>
          <w:rFonts w:hint="eastAsia" w:ascii="仿宋_GB2312" w:hAnsi="仿宋_GB2312" w:eastAsia="仿宋_GB2312" w:cs="仿宋_GB2312"/>
          <w:sz w:val="30"/>
          <w:szCs w:val="30"/>
          <w:u w:val="none"/>
          <w:lang w:val="en-US" w:eastAsia="zh-CN"/>
        </w:rPr>
        <w:t>5</w:t>
      </w:r>
      <w:r>
        <w:rPr>
          <w:rFonts w:hint="eastAsia" w:ascii="仿宋_GB2312" w:hAnsi="仿宋_GB2312" w:eastAsia="仿宋_GB2312" w:cs="仿宋_GB2312"/>
          <w:sz w:val="30"/>
          <w:szCs w:val="30"/>
          <w:u w:val="none"/>
          <w:lang w:eastAsia="zh-CN"/>
        </w:rPr>
        <w:t>个村全覆盖，确保2个大村，</w:t>
      </w:r>
      <w:r>
        <w:rPr>
          <w:rFonts w:hint="eastAsia" w:ascii="仿宋_GB2312" w:hAnsi="仿宋_GB2312" w:eastAsia="仿宋_GB2312" w:cs="仿宋_GB2312"/>
          <w:sz w:val="30"/>
          <w:szCs w:val="30"/>
          <w:u w:val="none"/>
          <w:lang w:val="en-US" w:eastAsia="zh-CN"/>
        </w:rPr>
        <w:t>2</w:t>
      </w:r>
      <w:r>
        <w:rPr>
          <w:rFonts w:hint="eastAsia" w:ascii="仿宋_GB2312" w:hAnsi="仿宋_GB2312" w:eastAsia="仿宋_GB2312" w:cs="仿宋_GB2312"/>
          <w:sz w:val="30"/>
          <w:szCs w:val="30"/>
          <w:u w:val="none"/>
          <w:lang w:eastAsia="zh-CN"/>
        </w:rPr>
        <w:t>个中村，1个小村正常运转；</w:t>
      </w:r>
      <w:r>
        <w:rPr>
          <w:rFonts w:hint="eastAsia" w:ascii="仿宋_GB2312" w:hAnsi="仿宋_GB2312" w:eastAsia="仿宋_GB2312" w:cs="仿宋_GB2312"/>
          <w:sz w:val="30"/>
          <w:szCs w:val="30"/>
          <w:u w:val="none"/>
          <w:lang w:val="en-US" w:eastAsia="zh-CN"/>
        </w:rPr>
        <w:t>抓好各村委会基层党组织阵地建设，提升村干部为民服务能力、提高服务水平，顺利服务村民，提高幸福指数。</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56</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56</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该项目年初预算数</w:t>
      </w:r>
      <w:r>
        <w:rPr>
          <w:rFonts w:hint="eastAsia" w:eastAsia="仿宋_GB2312" w:cs="Times New Roman"/>
          <w:color w:val="000000" w:themeColor="text1"/>
          <w:sz w:val="32"/>
          <w:szCs w:val="32"/>
          <w:highlight w:val="none"/>
          <w:lang w:val="en-US" w:eastAsia="zh-CN"/>
          <w14:textFill>
            <w14:solidFill>
              <w14:schemeClr w14:val="tx1"/>
            </w14:solidFill>
          </w14:textFill>
        </w:rPr>
        <w:t>56</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万元，全年预算数</w:t>
      </w:r>
      <w:r>
        <w:rPr>
          <w:rFonts w:hint="eastAsia" w:eastAsia="仿宋_GB2312" w:cs="Times New Roman"/>
          <w:color w:val="000000" w:themeColor="text1"/>
          <w:sz w:val="32"/>
          <w:szCs w:val="32"/>
          <w:highlight w:val="none"/>
          <w:lang w:val="en-US" w:eastAsia="zh-CN"/>
          <w14:textFill>
            <w14:solidFill>
              <w14:schemeClr w14:val="tx1"/>
            </w14:solidFill>
          </w14:textFill>
        </w:rPr>
        <w:t>56</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万元，全年执行数</w:t>
      </w:r>
      <w:r>
        <w:rPr>
          <w:rFonts w:hint="eastAsia" w:eastAsia="仿宋_GB2312" w:cs="Times New Roman"/>
          <w:color w:val="000000" w:themeColor="text1"/>
          <w:sz w:val="32"/>
          <w:szCs w:val="32"/>
          <w:highlight w:val="none"/>
          <w:lang w:val="en-US" w:eastAsia="zh-CN"/>
          <w14:textFill>
            <w14:solidFill>
              <w14:schemeClr w14:val="tx1"/>
            </w14:solidFill>
          </w14:textFill>
        </w:rPr>
        <w:t>56</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万元，预算执行率为</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%，主要用于：</w:t>
      </w:r>
      <w:r>
        <w:rPr>
          <w:rFonts w:hint="eastAsia" w:eastAsia="仿宋_GB2312" w:cs="Times New Roman"/>
          <w:color w:val="000000" w:themeColor="text1"/>
          <w:sz w:val="32"/>
          <w:szCs w:val="32"/>
          <w:highlight w:val="none"/>
          <w:lang w:val="en-US" w:eastAsia="zh-CN"/>
          <w14:textFill>
            <w14:solidFill>
              <w14:schemeClr w14:val="tx1"/>
            </w14:solidFill>
          </w14:textFill>
        </w:rPr>
        <w:t>和什力克</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乡</w:t>
      </w:r>
      <w:r>
        <w:rPr>
          <w:rFonts w:hint="eastAsia"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个村全覆盖，确保2个大村</w:t>
      </w:r>
      <w:r>
        <w:rPr>
          <w:rFonts w:hint="eastAsia" w:eastAsia="仿宋_GB2312" w:cs="Times New Roman"/>
          <w:color w:val="000000" w:themeColor="text1"/>
          <w:sz w:val="32"/>
          <w:szCs w:val="32"/>
          <w:highlight w:val="none"/>
          <w:lang w:val="en-US" w:eastAsia="zh-CN"/>
          <w14:textFill>
            <w14:solidFill>
              <w14:schemeClr w14:val="tx1"/>
            </w14:solidFill>
          </w14:textFill>
        </w:rPr>
        <w:t>24万</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eastAsia" w:eastAsia="仿宋_GB2312"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个中村</w:t>
      </w:r>
      <w:r>
        <w:rPr>
          <w:rFonts w:hint="eastAsia" w:eastAsia="仿宋_GB2312" w:cs="Times New Roman"/>
          <w:color w:val="000000" w:themeColor="text1"/>
          <w:sz w:val="32"/>
          <w:szCs w:val="32"/>
          <w:highlight w:val="none"/>
          <w:lang w:val="en-US" w:eastAsia="zh-CN"/>
          <w14:textFill>
            <w14:solidFill>
              <w14:schemeClr w14:val="tx1"/>
            </w14:solidFill>
          </w14:textFill>
        </w:rPr>
        <w:t>22万</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，1个小村</w:t>
      </w:r>
      <w:r>
        <w:rPr>
          <w:rFonts w:hint="eastAsia" w:eastAsia="仿宋_GB2312" w:cs="Times New Roman"/>
          <w:color w:val="000000" w:themeColor="text1"/>
          <w:sz w:val="32"/>
          <w:szCs w:val="32"/>
          <w:highlight w:val="none"/>
          <w:lang w:val="en-US" w:eastAsia="zh-CN"/>
          <w14:textFill>
            <w14:solidFill>
              <w14:schemeClr w14:val="tx1"/>
            </w14:solidFill>
          </w14:textFill>
        </w:rPr>
        <w:t>10万标准支付</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村级组织日常办公所需办公用品（纸张、笔墨、打印耗材等）采购</w:t>
      </w:r>
      <w:r>
        <w:rPr>
          <w:rFonts w:hint="eastAsia" w:eastAsia="仿宋_GB2312" w:cs="Times New Roman"/>
          <w:color w:val="000000" w:themeColor="text1"/>
          <w:sz w:val="32"/>
          <w:szCs w:val="32"/>
          <w:highlight w:val="none"/>
          <w:lang w:val="en-US" w:eastAsia="zh-CN"/>
          <w14:textFill>
            <w14:solidFill>
              <w14:schemeClr w14:val="tx1"/>
            </w14:solidFill>
          </w14:textFill>
        </w:rPr>
        <w:t>70859.68元</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，办公设备</w:t>
      </w:r>
      <w:r>
        <w:rPr>
          <w:rFonts w:hint="eastAsia" w:eastAsia="仿宋_GB2312" w:cs="Times New Roman"/>
          <w:color w:val="000000" w:themeColor="text1"/>
          <w:sz w:val="32"/>
          <w:szCs w:val="32"/>
          <w:highlight w:val="none"/>
          <w:lang w:val="en-US" w:eastAsia="zh-CN"/>
          <w14:textFill>
            <w14:solidFill>
              <w14:schemeClr w14:val="tx1"/>
            </w14:solidFill>
          </w14:textFill>
        </w:rPr>
        <w:t>维修</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（电脑、打印机、复印机等）</w:t>
      </w:r>
      <w:r>
        <w:rPr>
          <w:rFonts w:hint="eastAsia" w:eastAsia="仿宋_GB2312" w:cs="Times New Roman"/>
          <w:color w:val="000000" w:themeColor="text1"/>
          <w:sz w:val="32"/>
          <w:szCs w:val="32"/>
          <w:highlight w:val="none"/>
          <w:lang w:val="en-US" w:eastAsia="zh-CN"/>
          <w14:textFill>
            <w14:solidFill>
              <w14:schemeClr w14:val="tx1"/>
            </w14:solidFill>
          </w14:textFill>
        </w:rPr>
        <w:t>30602元</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、维修与维护；支付水电费、通讯费（固定电话、网络费用）</w:t>
      </w:r>
      <w:r>
        <w:rPr>
          <w:rFonts w:hint="eastAsia" w:eastAsia="仿宋_GB2312" w:cs="Times New Roman"/>
          <w:color w:val="000000" w:themeColor="text1"/>
          <w:sz w:val="32"/>
          <w:szCs w:val="32"/>
          <w:highlight w:val="none"/>
          <w:lang w:val="en-US" w:eastAsia="zh-CN"/>
          <w14:textFill>
            <w14:solidFill>
              <w14:schemeClr w14:val="tx1"/>
            </w14:solidFill>
          </w14:textFill>
        </w:rPr>
        <w:t>330630元，培训及各项文化支出107402.32元，保证各村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正常运转；抓好各村委会基层党组织阵地建设，确保基层党组织各项事业稳定有序开展，保障各项事</w:t>
      </w:r>
      <w:r>
        <w:rPr>
          <w:rFonts w:hint="eastAsia" w:eastAsia="仿宋_GB2312" w:cs="Times New Roman"/>
          <w:color w:val="000000" w:themeColor="text1"/>
          <w:sz w:val="32"/>
          <w:szCs w:val="32"/>
          <w:highlight w:val="none"/>
          <w:lang w:val="en-US" w:eastAsia="zh-CN"/>
          <w14:textFill>
            <w14:solidFill>
              <w14:schemeClr w14:val="tx1"/>
            </w14:solidFill>
          </w14:textFill>
        </w:rPr>
        <w:t>事业规范</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 xml:space="preserve"> </w:t>
      </w:r>
      <w:r>
        <w:rPr>
          <w:rFonts w:hint="eastAsia"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提升村干部为民服务能力、提高服务水平，顺利服务于村民，提高幸福指数。</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目标1：实现</w:t>
      </w:r>
      <w:r>
        <w:rPr>
          <w:rFonts w:hint="eastAsia" w:eastAsia="仿宋_GB2312" w:cs="Times New Roman"/>
          <w:sz w:val="32"/>
          <w:szCs w:val="32"/>
          <w:lang w:val="en-US" w:eastAsia="zh-CN"/>
        </w:rPr>
        <w:t>和什力克</w:t>
      </w:r>
      <w:r>
        <w:rPr>
          <w:rFonts w:hint="default" w:ascii="Times New Roman" w:hAnsi="Times New Roman" w:eastAsia="仿宋_GB2312" w:cs="Times New Roman"/>
          <w:sz w:val="32"/>
          <w:szCs w:val="32"/>
          <w:lang w:val="en-US" w:eastAsia="zh-CN"/>
        </w:rPr>
        <w:t>乡</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个村全覆盖，确保2个大村，</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个中村，1个小村正常运转；</w:t>
      </w:r>
    </w:p>
    <w:p>
      <w:pPr>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目标2：抓好各村委会基层党组织阵地建设，确保基层党组织各项事业稳定有序开展，保障各项事业规范运行；                                                                                  </w:t>
      </w:r>
      <w:r>
        <w:rPr>
          <w:rFonts w:hint="eastAsia" w:ascii="Times New Roman" w:hAnsi="Times New Roman" w:eastAsia="仿宋_GB2312" w:cs="Times New Roman"/>
          <w:sz w:val="32"/>
          <w:szCs w:val="32"/>
          <w:lang w:val="en-US" w:eastAsia="zh-CN"/>
        </w:rPr>
        <w:t xml:space="preserve">             </w:t>
      </w:r>
      <w:r>
        <w:rPr>
          <w:rFonts w:hint="eastAsia" w:eastAsia="仿宋_GB2312" w:cs="Times New Roman"/>
          <w:sz w:val="32"/>
          <w:szCs w:val="32"/>
          <w:lang w:val="en-US" w:eastAsia="zh-CN"/>
        </w:rPr>
        <w:t xml:space="preserve">              </w:t>
      </w:r>
    </w:p>
    <w:p>
      <w:pPr>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目标3：提升村干部为民服务能力、提高服务水平，顺利服务于村民，提高幸福指数</w:t>
      </w:r>
      <w:r>
        <w:rPr>
          <w:rFonts w:hint="eastAsia" w:ascii="Times New Roman" w:hAnsi="Times New Roman" w:eastAsia="仿宋_GB2312" w:cs="Times New Roman"/>
          <w:sz w:val="32"/>
          <w:szCs w:val="32"/>
          <w:lang w:val="en-US"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阶段性目标</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短期目标（1 - 6个月）资金规范启动：完成项目资金的分配方案制定，明确各村级组织经费额度，确保资金及时、足额拨付到位，保障村级组织日常办公、基础服务等工作正常运转。</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制度完善与宣贯：协助村级组织完善财务管理制度，规范经费使用流程，确保村级组织工作人员熟悉资金使用规范和要求，提高资金使用的合规性。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基础服务保障：通过经费支持，保障村级组织能够及时处理村民事务，提升村民对村级组织服务的满意度。</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后</w:t>
      </w:r>
      <w:r>
        <w:rPr>
          <w:rFonts w:hint="default" w:ascii="Times New Roman" w:hAnsi="Times New Roman" w:eastAsia="仿宋_GB2312" w:cs="Times New Roman"/>
          <w:sz w:val="32"/>
          <w:szCs w:val="32"/>
          <w:lang w:val="en-US" w:eastAsia="zh-CN"/>
        </w:rPr>
        <w:t>期目标（6 - 12个月）能力提升与发展：利用</w:t>
      </w:r>
      <w:r>
        <w:rPr>
          <w:rFonts w:hint="eastAsia" w:ascii="Times New Roman" w:hAnsi="Times New Roman" w:eastAsia="仿宋_GB2312" w:cs="Times New Roman"/>
          <w:sz w:val="32"/>
          <w:szCs w:val="32"/>
          <w:lang w:val="en-US" w:eastAsia="zh-CN"/>
        </w:rPr>
        <w:t>村级组织</w:t>
      </w:r>
      <w:r>
        <w:rPr>
          <w:rFonts w:hint="default" w:ascii="Times New Roman" w:hAnsi="Times New Roman" w:eastAsia="仿宋_GB2312" w:cs="Times New Roman"/>
          <w:sz w:val="32"/>
          <w:szCs w:val="32"/>
          <w:lang w:val="en-US" w:eastAsia="zh-CN"/>
        </w:rPr>
        <w:t>工作经费，提升村干部在乡村治理、产业发展、政策执行等方面的能力</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增强组织活力和服务效能。</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1.绩效评价完整性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支农专项-村级组织工作经费项目预算绩效评价报告在编制过程中，严格遵循大村</w:t>
      </w:r>
      <w:r>
        <w:rPr>
          <w:rFonts w:hint="eastAsia" w:eastAsia="仿宋_GB2312" w:cs="Times New Roman"/>
          <w:color w:val="auto"/>
          <w:sz w:val="32"/>
          <w:szCs w:val="32"/>
          <w:highlight w:val="none"/>
          <w:lang w:val="en-US" w:eastAsia="zh-CN"/>
        </w:rPr>
        <w:t>每年12万元、中村每年11万元、小村每年10万元的</w:t>
      </w:r>
      <w:r>
        <w:rPr>
          <w:rFonts w:hint="default" w:ascii="Times New Roman" w:hAnsi="Times New Roman" w:eastAsia="仿宋_GB2312" w:cs="Times New Roman"/>
          <w:color w:val="auto"/>
          <w:sz w:val="32"/>
          <w:szCs w:val="32"/>
          <w:highlight w:val="none"/>
          <w:lang w:val="en-US" w:eastAsia="zh-CN"/>
        </w:rPr>
        <w:t>标准，确保评价内容的全面性与准确性。报告涵盖了项目从预算编制、执行到完成的全过程，对项目的各项绩效指标进行了细致的梳理与评估。</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支农专项-村级组织工作经费项目在评价指标体系的构建上，充分考虑了项目的性质、目标以及预期成果，选取了具有代表性和可衡量性的关键指标，</w:t>
      </w:r>
      <w:r>
        <w:rPr>
          <w:rFonts w:hint="eastAsia" w:eastAsia="仿宋_GB2312" w:cs="Times New Roman"/>
          <w:color w:val="auto"/>
          <w:sz w:val="32"/>
          <w:szCs w:val="32"/>
          <w:highlight w:val="none"/>
          <w:lang w:val="en-US" w:eastAsia="zh-CN"/>
        </w:rPr>
        <w:t>如管辖大、中、小村数量上，涵盖了提高服务群众效率的</w:t>
      </w:r>
      <w:r>
        <w:rPr>
          <w:rFonts w:hint="default" w:ascii="Times New Roman" w:hAnsi="Times New Roman" w:eastAsia="仿宋_GB2312" w:cs="Times New Roman"/>
          <w:color w:val="auto"/>
          <w:sz w:val="32"/>
          <w:szCs w:val="32"/>
          <w:highlight w:val="none"/>
          <w:lang w:val="en-US" w:eastAsia="zh-CN"/>
        </w:rPr>
        <w:t>社会效益维度</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力求全方位反映项目的绩效状况。同时，对于每个指标的评价标准和数据来源均进行了明确说明，确保评价结果的客观性和可追溯性。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支农专项-村级组织工作经费项目在数据收集环节，采用了多种科学合理的方法，</w:t>
      </w:r>
      <w:r>
        <w:rPr>
          <w:rFonts w:hint="eastAsia" w:eastAsia="仿宋_GB2312" w:cs="Times New Roman"/>
          <w:color w:val="auto"/>
          <w:sz w:val="32"/>
          <w:szCs w:val="32"/>
          <w:highlight w:val="none"/>
          <w:lang w:val="en-US" w:eastAsia="zh-CN"/>
        </w:rPr>
        <w:t>如</w:t>
      </w:r>
      <w:r>
        <w:rPr>
          <w:rFonts w:hint="default" w:ascii="Times New Roman" w:hAnsi="Times New Roman" w:eastAsia="仿宋_GB2312" w:cs="Times New Roman"/>
          <w:color w:val="auto"/>
          <w:sz w:val="32"/>
          <w:szCs w:val="32"/>
          <w:highlight w:val="none"/>
          <w:lang w:val="en-US" w:eastAsia="zh-CN"/>
        </w:rPr>
        <w:t>问卷调查</w:t>
      </w:r>
      <w:r>
        <w:rPr>
          <w:rFonts w:hint="eastAsia" w:eastAsia="仿宋_GB2312" w:cs="Times New Roman"/>
          <w:color w:val="auto"/>
          <w:sz w:val="32"/>
          <w:szCs w:val="32"/>
          <w:highlight w:val="none"/>
          <w:lang w:val="en-US" w:eastAsia="zh-CN"/>
        </w:rPr>
        <w:t>、座谈会</w:t>
      </w:r>
      <w:r>
        <w:rPr>
          <w:rFonts w:hint="default" w:ascii="Times New Roman" w:hAnsi="Times New Roman" w:eastAsia="仿宋_GB2312" w:cs="Times New Roman"/>
          <w:color w:val="auto"/>
          <w:sz w:val="32"/>
          <w:szCs w:val="32"/>
          <w:highlight w:val="none"/>
          <w:lang w:val="en-US" w:eastAsia="zh-CN"/>
        </w:rPr>
        <w:t>，广泛收集了与支农专项-村级组织工作经费项目相关数据，</w:t>
      </w:r>
      <w:r>
        <w:rPr>
          <w:rFonts w:hint="eastAsia" w:eastAsia="仿宋_GB2312" w:cs="Times New Roman"/>
          <w:color w:val="auto"/>
          <w:sz w:val="32"/>
          <w:szCs w:val="32"/>
          <w:highlight w:val="none"/>
          <w:lang w:val="en-US" w:eastAsia="zh-CN"/>
        </w:rPr>
        <w:t>通过匿名填写调查问卷内容体现真实服务辖区人员效率情况</w:t>
      </w:r>
      <w:r>
        <w:rPr>
          <w:rFonts w:hint="default" w:ascii="Times New Roman" w:hAnsi="Times New Roman" w:eastAsia="仿宋_GB2312" w:cs="Times New Roman"/>
          <w:color w:val="auto"/>
          <w:sz w:val="32"/>
          <w:szCs w:val="32"/>
          <w:highlight w:val="none"/>
          <w:lang w:val="en-US" w:eastAsia="zh-CN"/>
        </w:rPr>
        <w:t>，以确保评价结论的真实性和有效性。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支农专项-村级组织工作经费项目在报告的撰写结构上，按照统一的格式和规范进行编排，内容层次分明、条理清晰。对项目的</w:t>
      </w:r>
      <w:r>
        <w:rPr>
          <w:rFonts w:hint="eastAsia" w:eastAsia="仿宋_GB2312" w:cs="Times New Roman"/>
          <w:color w:val="auto"/>
          <w:sz w:val="32"/>
          <w:szCs w:val="32"/>
          <w:highlight w:val="none"/>
          <w:lang w:val="en-US" w:eastAsia="zh-CN"/>
        </w:rPr>
        <w:t>整体</w:t>
      </w:r>
      <w:r>
        <w:rPr>
          <w:rFonts w:hint="default" w:ascii="Times New Roman" w:hAnsi="Times New Roman" w:eastAsia="仿宋_GB2312" w:cs="Times New Roman"/>
          <w:color w:val="auto"/>
          <w:sz w:val="32"/>
          <w:szCs w:val="32"/>
          <w:highlight w:val="none"/>
          <w:lang w:val="en-US" w:eastAsia="zh-CN"/>
        </w:rPr>
        <w:t>背景、</w:t>
      </w:r>
      <w:r>
        <w:rPr>
          <w:rFonts w:hint="eastAsia" w:eastAsia="仿宋_GB2312" w:cs="Times New Roman"/>
          <w:color w:val="auto"/>
          <w:sz w:val="32"/>
          <w:szCs w:val="32"/>
          <w:highlight w:val="none"/>
          <w:lang w:val="en-US" w:eastAsia="zh-CN"/>
        </w:rPr>
        <w:t>评价方法、绩效分析等方面进行分类，形成有效层级</w:t>
      </w:r>
      <w:r>
        <w:rPr>
          <w:rFonts w:hint="default" w:ascii="Times New Roman" w:hAnsi="Times New Roman" w:eastAsia="仿宋_GB2312" w:cs="Times New Roman"/>
          <w:color w:val="auto"/>
          <w:sz w:val="32"/>
          <w:szCs w:val="32"/>
          <w:highlight w:val="none"/>
          <w:lang w:val="en-US" w:eastAsia="zh-CN"/>
        </w:rPr>
        <w:t>为后续的</w:t>
      </w:r>
      <w:r>
        <w:rPr>
          <w:rFonts w:hint="eastAsia" w:eastAsia="仿宋_GB2312" w:cs="Times New Roman"/>
          <w:color w:val="auto"/>
          <w:sz w:val="32"/>
          <w:szCs w:val="32"/>
          <w:highlight w:val="none"/>
          <w:lang w:val="en-US" w:eastAsia="zh-CN"/>
        </w:rPr>
        <w:t>撰写</w:t>
      </w:r>
      <w:r>
        <w:rPr>
          <w:rFonts w:hint="default" w:ascii="Times New Roman" w:hAnsi="Times New Roman" w:eastAsia="仿宋_GB2312" w:cs="Times New Roman"/>
          <w:color w:val="auto"/>
          <w:sz w:val="32"/>
          <w:szCs w:val="32"/>
          <w:highlight w:val="none"/>
          <w:lang w:val="en-US" w:eastAsia="zh-CN"/>
        </w:rPr>
        <w:t>提供</w:t>
      </w:r>
      <w:r>
        <w:rPr>
          <w:rFonts w:hint="eastAsia" w:eastAsia="仿宋_GB2312" w:cs="Times New Roman"/>
          <w:color w:val="auto"/>
          <w:sz w:val="32"/>
          <w:szCs w:val="32"/>
          <w:highlight w:val="none"/>
          <w:lang w:val="en-US" w:eastAsia="zh-CN"/>
        </w:rPr>
        <w:t>框架；</w:t>
      </w:r>
      <w:r>
        <w:rPr>
          <w:rFonts w:hint="default" w:ascii="Times New Roman" w:hAnsi="Times New Roman" w:eastAsia="仿宋_GB2312" w:cs="Times New Roman"/>
          <w:color w:val="auto"/>
          <w:sz w:val="32"/>
          <w:szCs w:val="32"/>
          <w:highlight w:val="none"/>
          <w:lang w:val="en-US" w:eastAsia="zh-CN"/>
        </w:rPr>
        <w:t>然后对各项绩效指标的完成情况进行了逐一分析和评价，指出了项目在实施过程中存在的问题和不足，并提出了相应的改进建议；最后对整个项目的绩效状况进行了</w:t>
      </w:r>
      <w:r>
        <w:rPr>
          <w:rFonts w:hint="eastAsia" w:eastAsia="仿宋_GB2312" w:cs="Times New Roman"/>
          <w:color w:val="auto"/>
          <w:sz w:val="32"/>
          <w:szCs w:val="32"/>
          <w:highlight w:val="none"/>
          <w:lang w:val="en-US" w:eastAsia="zh-CN"/>
        </w:rPr>
        <w:t>结论和建议</w:t>
      </w:r>
      <w:r>
        <w:rPr>
          <w:rFonts w:hint="default" w:ascii="Times New Roman" w:hAnsi="Times New Roman"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按优先级排序，</w:t>
      </w:r>
      <w:r>
        <w:rPr>
          <w:rFonts w:hint="default" w:ascii="Times New Roman" w:hAnsi="Times New Roman" w:eastAsia="仿宋_GB2312" w:cs="Times New Roman"/>
          <w:color w:val="auto"/>
          <w:sz w:val="32"/>
          <w:szCs w:val="32"/>
          <w:highlight w:val="none"/>
          <w:lang w:val="en-US" w:eastAsia="zh-CN"/>
        </w:rPr>
        <w:t>给出了明确的评价结论和后续工作的建议</w:t>
      </w:r>
      <w:r>
        <w:rPr>
          <w:rFonts w:hint="eastAsia" w:eastAsia="仿宋_GB2312" w:cs="Times New Roman"/>
          <w:color w:val="auto"/>
          <w:sz w:val="32"/>
          <w:szCs w:val="32"/>
          <w:highlight w:val="none"/>
          <w:lang w:val="en-US" w:eastAsia="zh-CN"/>
        </w:rPr>
        <w:t>。</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2.绩效评价的目的</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（1）评估项目实施效果</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通过</w:t>
      </w:r>
      <w:r>
        <w:rPr>
          <w:rFonts w:hint="eastAsia" w:ascii="Times New Roman" w:hAnsi="Times New Roman" w:eastAsia="仿宋_GB2312" w:cs="Times New Roman"/>
          <w:sz w:val="32"/>
          <w:szCs w:val="32"/>
          <w:highlight w:val="none"/>
          <w:lang w:val="en-US" w:eastAsia="zh-CN"/>
        </w:rPr>
        <w:t>村级组织</w:t>
      </w:r>
      <w:r>
        <w:rPr>
          <w:rFonts w:hint="default" w:ascii="Times New Roman" w:hAnsi="Times New Roman" w:eastAsia="仿宋_GB2312" w:cs="Times New Roman"/>
          <w:sz w:val="32"/>
          <w:szCs w:val="32"/>
          <w:highlight w:val="none"/>
          <w:lang w:val="en-US" w:eastAsia="zh-CN"/>
        </w:rPr>
        <w:t>工作经费支持，大部分村级组织完成办公设备更新，配备电脑、打印机等现代化办公设施，办公效率</w:t>
      </w:r>
      <w:r>
        <w:rPr>
          <w:rFonts w:hint="eastAsia" w:ascii="Times New Roman" w:hAnsi="Times New Roman" w:eastAsia="仿宋_GB2312" w:cs="Times New Roman"/>
          <w:sz w:val="32"/>
          <w:szCs w:val="32"/>
          <w:highlight w:val="none"/>
          <w:lang w:val="en-US" w:eastAsia="zh-CN"/>
        </w:rPr>
        <w:t>有所</w:t>
      </w:r>
      <w:r>
        <w:rPr>
          <w:rFonts w:hint="default" w:ascii="Times New Roman" w:hAnsi="Times New Roman" w:eastAsia="仿宋_GB2312" w:cs="Times New Roman"/>
          <w:sz w:val="32"/>
          <w:szCs w:val="32"/>
          <w:highlight w:val="none"/>
          <w:lang w:val="en-US" w:eastAsia="zh-CN"/>
        </w:rPr>
        <w:t>提升</w:t>
      </w:r>
      <w:r>
        <w:rPr>
          <w:rFonts w:hint="eastAsia" w:ascii="Times New Roman" w:hAnsi="Times New Roman" w:eastAsia="仿宋_GB2312" w:cs="Times New Roman"/>
          <w:sz w:val="32"/>
          <w:szCs w:val="32"/>
          <w:highlight w:val="none"/>
          <w:lang w:val="en-US" w:eastAsia="zh-CN"/>
        </w:rPr>
        <w:t>，各村年均开展文化活动次数超过5次，各个村组建文艺队伍1支，举办民俗节庆、技能培训等活动，丰富村民精神文化生活，增强乡村凝聚力。村级组织</w:t>
      </w:r>
      <w:r>
        <w:rPr>
          <w:rFonts w:hint="default" w:ascii="Times New Roman" w:hAnsi="Times New Roman" w:eastAsia="仿宋_GB2312" w:cs="Times New Roman"/>
          <w:sz w:val="32"/>
          <w:szCs w:val="32"/>
          <w:highlight w:val="none"/>
          <w:lang w:val="en-US" w:eastAsia="zh-CN"/>
        </w:rPr>
        <w:t>工作经费项目预算执行情况及各项绩效目标达成程度的系统性分析，全面、客观地评估项目在预定周期内的实施效果，包括经济效益、社会效益、</w:t>
      </w:r>
      <w:r>
        <w:rPr>
          <w:rFonts w:hint="eastAsia" w:ascii="Times New Roman" w:hAnsi="Times New Roman"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效益以及可持续性等多维度指标，为项目后续的改进与优化提供科学依据。</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（2）提升资源利用效率</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0"/>
          <w:szCs w:val="30"/>
          <w:lang w:val="en-US" w:eastAsia="zh-CN"/>
        </w:rPr>
      </w:pPr>
      <w:r>
        <w:rPr>
          <w:rFonts w:hint="eastAsia" w:eastAsia="仿宋_GB2312" w:cs="Times New Roman"/>
          <w:sz w:val="32"/>
          <w:szCs w:val="32"/>
          <w:highlight w:val="none"/>
          <w:lang w:val="en-US" w:eastAsia="zh-CN"/>
        </w:rPr>
        <w:t>识别短板、优化资源配置，</w:t>
      </w:r>
      <w:r>
        <w:rPr>
          <w:rFonts w:hint="default" w:ascii="Times New Roman" w:hAnsi="Times New Roman" w:eastAsia="仿宋_GB2312" w:cs="Times New Roman"/>
          <w:sz w:val="32"/>
          <w:szCs w:val="32"/>
          <w:highlight w:val="none"/>
        </w:rPr>
        <w:t>识别资金使用过程中的冗余环节与低效领域，挖掘潜在的资源优化配置空间，推动项目在有限的预算资源下实现更高的绩效产出，提升整体资源利用效率</w:t>
      </w:r>
      <w:r>
        <w:rPr>
          <w:rFonts w:hint="eastAsia" w:eastAsia="仿宋_GB2312" w:cs="Times New Roman"/>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w:t>
      </w:r>
      <w:r>
        <w:rPr>
          <w:rFonts w:hint="eastAsia"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）为决策提供支持</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为为项目主管部门、财政部门提供详实、准确的绩效评价信息，</w:t>
      </w:r>
      <w:r>
        <w:rPr>
          <w:rFonts w:hint="eastAsia" w:ascii="Times New Roman" w:hAnsi="Times New Roman" w:eastAsia="仿宋_GB2312" w:cs="Times New Roman"/>
          <w:sz w:val="32"/>
          <w:szCs w:val="32"/>
          <w:highlight w:val="none"/>
          <w:lang w:val="en-US" w:eastAsia="zh-CN"/>
        </w:rPr>
        <w:t>在</w:t>
      </w:r>
      <w:r>
        <w:rPr>
          <w:rFonts w:hint="default" w:ascii="Times New Roman" w:hAnsi="Times New Roman" w:eastAsia="仿宋_GB2312" w:cs="Times New Roman"/>
          <w:sz w:val="32"/>
          <w:szCs w:val="32"/>
          <w:highlight w:val="none"/>
          <w:lang w:val="en-US" w:eastAsia="zh-CN"/>
        </w:rPr>
        <w:t>关键决策环节做出科学、合理的判断，促进项目资源的合理分配与有效整合，推动</w:t>
      </w:r>
      <w:r>
        <w:rPr>
          <w:rFonts w:hint="eastAsia" w:ascii="Times New Roman" w:hAnsi="Times New Roman" w:eastAsia="仿宋_GB2312" w:cs="Times New Roman"/>
          <w:sz w:val="32"/>
          <w:szCs w:val="32"/>
          <w:highlight w:val="none"/>
          <w:lang w:val="en-US" w:eastAsia="zh-CN"/>
        </w:rPr>
        <w:t>决策实施的准确性，</w:t>
      </w:r>
      <w:r>
        <w:rPr>
          <w:rFonts w:hint="default" w:ascii="Times New Roman" w:hAnsi="Times New Roman" w:eastAsia="仿宋_GB2312" w:cs="Times New Roman"/>
          <w:sz w:val="32"/>
          <w:szCs w:val="32"/>
          <w:highlight w:val="none"/>
          <w:lang w:val="en-US" w:eastAsia="zh-CN"/>
        </w:rPr>
        <w:t>提升资源</w:t>
      </w:r>
      <w:r>
        <w:rPr>
          <w:rFonts w:hint="eastAsia" w:ascii="Times New Roman" w:hAnsi="Times New Roman" w:eastAsia="仿宋_GB2312" w:cs="Times New Roman"/>
          <w:sz w:val="32"/>
          <w:szCs w:val="32"/>
          <w:highlight w:val="none"/>
          <w:lang w:val="en-US" w:eastAsia="zh-CN"/>
        </w:rPr>
        <w:t>高效</w:t>
      </w:r>
      <w:r>
        <w:rPr>
          <w:rFonts w:hint="default" w:ascii="Times New Roman" w:hAnsi="Times New Roman" w:eastAsia="仿宋_GB2312" w:cs="Times New Roman"/>
          <w:sz w:val="32"/>
          <w:szCs w:val="32"/>
          <w:highlight w:val="none"/>
          <w:lang w:val="en-US" w:eastAsia="zh-CN"/>
        </w:rPr>
        <w:t>配置。</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w:t>
      </w:r>
      <w:r>
        <w:rPr>
          <w:rFonts w:hint="eastAsia" w:eastAsia="仿宋_GB2312" w:cs="Times New Roman"/>
          <w:sz w:val="30"/>
          <w:szCs w:val="30"/>
          <w:lang w:val="en-US" w:eastAsia="zh-CN"/>
        </w:rPr>
        <w:t>4</w:t>
      </w:r>
      <w:r>
        <w:rPr>
          <w:rFonts w:hint="default" w:ascii="Times New Roman" w:hAnsi="Times New Roman" w:eastAsia="仿宋_GB2312" w:cs="Times New Roman"/>
          <w:sz w:val="30"/>
          <w:szCs w:val="30"/>
          <w:lang w:val="en-US" w:eastAsia="zh-CN"/>
        </w:rPr>
        <w:t>）促进项目持续改进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持续动态监测，对于</w:t>
      </w:r>
      <w:r>
        <w:rPr>
          <w:rFonts w:hint="default" w:ascii="Times New Roman" w:hAnsi="Times New Roman" w:eastAsia="仿宋_GB2312" w:cs="Times New Roman"/>
          <w:sz w:val="32"/>
          <w:szCs w:val="32"/>
          <w:highlight w:val="none"/>
        </w:rPr>
        <w:t>绩效评价</w:t>
      </w:r>
      <w:r>
        <w:rPr>
          <w:rFonts w:hint="eastAsia" w:eastAsia="仿宋_GB2312" w:cs="Times New Roman"/>
          <w:sz w:val="32"/>
          <w:szCs w:val="32"/>
          <w:highlight w:val="none"/>
          <w:lang w:val="en-US" w:eastAsia="zh-CN"/>
        </w:rPr>
        <w:t>中</w:t>
      </w:r>
      <w:r>
        <w:rPr>
          <w:rFonts w:hint="default" w:ascii="Times New Roman" w:hAnsi="Times New Roman" w:eastAsia="仿宋_GB2312" w:cs="Times New Roman"/>
          <w:sz w:val="32"/>
          <w:szCs w:val="32"/>
          <w:highlight w:val="none"/>
        </w:rPr>
        <w:t>发现的问题与不足，提出针对性的改进建议与措施，加强过程监控把控，形成项目绩效持续改进的良性循环</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本项目预算绩效评价报告的编制以提升项目绩效为核心，旨在通过科学、严谨的评价工作，为项目管理与决策提供全方位的支持，</w:t>
      </w:r>
      <w:r>
        <w:rPr>
          <w:rFonts w:hint="eastAsia" w:eastAsia="仿宋_GB2312" w:cs="Times New Roman"/>
          <w:sz w:val="32"/>
          <w:szCs w:val="32"/>
          <w:highlight w:val="none"/>
          <w:lang w:val="en-US" w:eastAsia="zh-CN"/>
        </w:rPr>
        <w:t>使</w:t>
      </w:r>
      <w:r>
        <w:rPr>
          <w:rFonts w:hint="default" w:ascii="Times New Roman" w:hAnsi="Times New Roman" w:eastAsia="仿宋_GB2312" w:cs="Times New Roman"/>
          <w:sz w:val="32"/>
          <w:szCs w:val="32"/>
          <w:highlight w:val="none"/>
        </w:rPr>
        <w:t>项目在预算约束下实现高质量、可持续发展，充分发挥财政资金的社会效益。</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3.绩效评价的对象</w:t>
      </w:r>
    </w:p>
    <w:p>
      <w:pPr>
        <w:pStyle w:val="12"/>
        <w:pageBreakBefore w:val="0"/>
        <w:widowControl w:val="0"/>
        <w:numPr>
          <w:ilvl w:val="0"/>
          <w:numId w:val="0"/>
        </w:numPr>
        <w:kinsoku/>
        <w:wordWrap/>
        <w:overflowPunct/>
        <w:topLinePunct w:val="0"/>
        <w:autoSpaceDE/>
        <w:autoSpaceDN/>
        <w:bidi w:val="0"/>
        <w:adjustRightInd/>
        <w:snapToGrid/>
        <w:spacing w:before="0" w:after="0" w:line="560" w:lineRule="exact"/>
        <w:ind w:left="210" w:leftChars="0"/>
        <w:jc w:val="distribute"/>
        <w:textAlignment w:val="auto"/>
        <w:outlineLvl w:val="9"/>
        <w:rPr>
          <w:rFonts w:hint="default" w:ascii="Times New Roman" w:hAnsi="Times New Roman" w:eastAsia="仿宋_GB2312" w:cs="Times New Roman"/>
          <w:b w:val="0"/>
          <w:bCs w:val="0"/>
          <w:highlight w:val="none"/>
          <w:lang w:val="en-US" w:eastAsia="zh-CN"/>
        </w:rPr>
      </w:pPr>
      <w:r>
        <w:rPr>
          <w:rFonts w:hint="eastAsia" w:ascii="Times New Roman" w:hAnsi="Times New Roman" w:eastAsia="仿宋_GB2312" w:cs="Times New Roman"/>
          <w:b w:val="0"/>
          <w:bCs w:val="0"/>
          <w:highlight w:val="none"/>
          <w:lang w:val="en-US" w:eastAsia="zh-CN"/>
        </w:rPr>
        <w:t xml:space="preserve">   </w:t>
      </w:r>
      <w:r>
        <w:rPr>
          <w:rFonts w:hint="default" w:ascii="Times New Roman" w:hAnsi="Times New Roman" w:eastAsia="仿宋_GB2312" w:cs="Times New Roman"/>
          <w:b w:val="0"/>
          <w:bCs w:val="0"/>
          <w:highlight w:val="none"/>
          <w:lang w:val="en-US" w:eastAsia="zh-CN"/>
        </w:rPr>
        <w:t>本项目预算绩效评价报告的评价对象是</w:t>
      </w:r>
      <w:r>
        <w:rPr>
          <w:rFonts w:hint="eastAsia" w:ascii="Times New Roman" w:hAnsi="Times New Roman" w:eastAsia="仿宋_GB2312" w:cs="Times New Roman"/>
          <w:b w:val="0"/>
          <w:bCs w:val="0"/>
          <w:highlight w:val="none"/>
          <w:lang w:val="en-US" w:eastAsia="zh-CN"/>
        </w:rPr>
        <w:t>支农专项-村级组织工作经费</w:t>
      </w:r>
      <w:r>
        <w:rPr>
          <w:rFonts w:hint="default" w:ascii="Times New Roman" w:hAnsi="Times New Roman" w:eastAsia="仿宋_GB2312" w:cs="Times New Roman"/>
          <w:b w:val="0"/>
          <w:bCs w:val="0"/>
          <w:highlight w:val="none"/>
          <w:lang w:val="en-US" w:eastAsia="zh-CN"/>
        </w:rPr>
        <w:t>项目及其预算执行情况。该项目由</w:t>
      </w:r>
      <w:r>
        <w:rPr>
          <w:rFonts w:hint="eastAsia" w:ascii="Times New Roman" w:hAnsi="Times New Roman" w:eastAsia="仿宋_GB2312" w:cs="Times New Roman"/>
          <w:b w:val="0"/>
          <w:bCs w:val="0"/>
          <w:highlight w:val="none"/>
          <w:lang w:val="en-US" w:eastAsia="zh-CN"/>
        </w:rPr>
        <w:t>库尔勒市和什力克乡人民政府</w:t>
      </w:r>
      <w:r>
        <w:rPr>
          <w:rFonts w:hint="default" w:ascii="Times New Roman" w:hAnsi="Times New Roman" w:eastAsia="仿宋_GB2312" w:cs="Times New Roman"/>
          <w:b w:val="0"/>
          <w:bCs w:val="0"/>
          <w:highlight w:val="none"/>
          <w:lang w:val="en-US" w:eastAsia="zh-CN"/>
        </w:rPr>
        <w:t>负责实施，旨在</w:t>
      </w:r>
      <w:r>
        <w:rPr>
          <w:rFonts w:hint="eastAsia" w:ascii="Times New Roman" w:hAnsi="Times New Roman" w:eastAsia="仿宋_GB2312" w:cs="Times New Roman"/>
          <w:b w:val="0"/>
          <w:bCs w:val="0"/>
          <w:highlight w:val="none"/>
          <w:lang w:val="en-US" w:eastAsia="zh-CN"/>
        </w:rPr>
        <w:t>和什力克</w:t>
      </w:r>
      <w:r>
        <w:rPr>
          <w:rFonts w:hint="default" w:ascii="Times New Roman" w:hAnsi="Times New Roman" w:eastAsia="仿宋_GB2312" w:cs="Times New Roman"/>
          <w:b w:val="0"/>
          <w:bCs w:val="0"/>
          <w:highlight w:val="none"/>
          <w:lang w:val="en-US" w:eastAsia="zh-CN"/>
        </w:rPr>
        <w:t>乡</w:t>
      </w:r>
      <w:r>
        <w:rPr>
          <w:rFonts w:hint="eastAsia" w:ascii="Times New Roman" w:hAnsi="Times New Roman" w:eastAsia="仿宋_GB2312" w:cs="Times New Roman"/>
          <w:b w:val="0"/>
          <w:bCs w:val="0"/>
          <w:highlight w:val="none"/>
          <w:lang w:val="en-US" w:eastAsia="zh-CN"/>
        </w:rPr>
        <w:t>5</w:t>
      </w:r>
      <w:r>
        <w:rPr>
          <w:rFonts w:hint="default" w:ascii="Times New Roman" w:hAnsi="Times New Roman" w:eastAsia="仿宋_GB2312" w:cs="Times New Roman"/>
          <w:b w:val="0"/>
          <w:bCs w:val="0"/>
          <w:highlight w:val="none"/>
          <w:lang w:val="en-US" w:eastAsia="zh-CN"/>
        </w:rPr>
        <w:t>个村全覆盖，确保2个大村，</w:t>
      </w:r>
      <w:r>
        <w:rPr>
          <w:rFonts w:hint="eastAsia" w:ascii="Times New Roman" w:hAnsi="Times New Roman" w:eastAsia="仿宋_GB2312" w:cs="Times New Roman"/>
          <w:b w:val="0"/>
          <w:bCs w:val="0"/>
          <w:highlight w:val="none"/>
          <w:lang w:val="en-US" w:eastAsia="zh-CN"/>
        </w:rPr>
        <w:t>2</w:t>
      </w:r>
      <w:r>
        <w:rPr>
          <w:rFonts w:hint="default" w:ascii="Times New Roman" w:hAnsi="Times New Roman" w:eastAsia="仿宋_GB2312" w:cs="Times New Roman"/>
          <w:b w:val="0"/>
          <w:bCs w:val="0"/>
          <w:highlight w:val="none"/>
          <w:lang w:val="en-US" w:eastAsia="zh-CN"/>
        </w:rPr>
        <w:t>个中村，1个小村正常运转；抓好各村委会基层党组织阵地建设，确保基层党组织各项事业稳定有序开展，                                                                                 提升村干部为民服务能力、提高服务水平，顺利服务于村民，提高幸福指数。项目预算涵盖从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lang w:val="en-US" w:eastAsia="zh-CN"/>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lang w:val="en-US" w:eastAsia="zh-CN"/>
        </w:rPr>
        <w:t>的全部资金投入与支出，涉及资金总额为</w:t>
      </w:r>
      <w:r>
        <w:rPr>
          <w:rFonts w:hint="eastAsia" w:ascii="Times New Roman" w:hAnsi="Times New Roman" w:eastAsia="仿宋_GB2312" w:cs="Times New Roman"/>
          <w:b w:val="0"/>
          <w:bCs w:val="0"/>
          <w:highlight w:val="none"/>
          <w:lang w:val="en-US" w:eastAsia="zh-CN"/>
        </w:rPr>
        <w:t>56</w:t>
      </w:r>
      <w:r>
        <w:rPr>
          <w:rFonts w:hint="default" w:ascii="Times New Roman" w:hAnsi="Times New Roman" w:eastAsia="仿宋_GB2312" w:cs="Times New Roman"/>
          <w:b w:val="0"/>
          <w:bCs w:val="0"/>
          <w:highlight w:val="none"/>
          <w:lang w:val="en-US" w:eastAsia="zh-CN"/>
        </w:rPr>
        <w:t>万元。</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4.绩效评价的范围</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pageBreakBefore w:val="0"/>
        <w:widowControl w:val="0"/>
        <w:numPr>
          <w:ilvl w:val="0"/>
          <w:numId w:val="1"/>
        </w:numPr>
        <w:kinsoku/>
        <w:wordWrap/>
        <w:overflowPunct/>
        <w:topLinePunct w:val="0"/>
        <w:autoSpaceDE/>
        <w:autoSpaceDN/>
        <w:bidi w:val="0"/>
        <w:adjustRightInd/>
        <w:snapToGrid/>
        <w:spacing w:before="0" w:after="0" w:line="560" w:lineRule="exact"/>
        <w:ind w:left="-10" w:leftChars="0" w:firstLine="640" w:firstLineChars="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pageBreakBefore w:val="0"/>
        <w:widowControl w:val="0"/>
        <w:numPr>
          <w:ilvl w:val="0"/>
          <w:numId w:val="1"/>
        </w:numPr>
        <w:kinsoku/>
        <w:wordWrap/>
        <w:overflowPunct/>
        <w:topLinePunct w:val="0"/>
        <w:autoSpaceDE/>
        <w:autoSpaceDN/>
        <w:bidi w:val="0"/>
        <w:adjustRightInd/>
        <w:snapToGrid/>
        <w:spacing w:before="0" w:after="0" w:line="560" w:lineRule="exact"/>
        <w:ind w:left="-10" w:leftChars="0" w:firstLine="640" w:firstLineChars="0"/>
        <w:jc w:val="both"/>
        <w:textAlignment w:val="auto"/>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w:t>
      </w:r>
      <w:r>
        <w:rPr>
          <w:rFonts w:hint="eastAsia" w:ascii="Times New Roman" w:hAnsi="Times New Roman" w:eastAsia="仿宋_GB2312" w:cs="Times New Roman"/>
          <w:b w:val="0"/>
          <w:bCs w:val="0"/>
          <w:highlight w:val="none"/>
          <w:lang w:val="en-US" w:eastAsia="zh-CN"/>
        </w:rPr>
        <w:t>财政资金使用效率，</w:t>
      </w:r>
      <w:r>
        <w:rPr>
          <w:rFonts w:hint="default" w:ascii="Times New Roman" w:hAnsi="Times New Roman" w:eastAsia="仿宋_GB2312" w:cs="Times New Roman"/>
          <w:b w:val="0"/>
          <w:bCs w:val="0"/>
          <w:highlight w:val="none"/>
        </w:rPr>
        <w:t>分析项目资金的分配、使用和监管情况，确保资金使用的合规性、透明度。</w:t>
      </w:r>
    </w:p>
    <w:p>
      <w:pPr>
        <w:pStyle w:val="12"/>
        <w:pageBreakBefore w:val="0"/>
        <w:widowControl w:val="0"/>
        <w:numPr>
          <w:ilvl w:val="0"/>
          <w:numId w:val="1"/>
        </w:numPr>
        <w:kinsoku/>
        <w:wordWrap/>
        <w:overflowPunct/>
        <w:topLinePunct w:val="0"/>
        <w:autoSpaceDE/>
        <w:autoSpaceDN/>
        <w:bidi w:val="0"/>
        <w:adjustRightInd/>
        <w:snapToGrid/>
        <w:spacing w:before="0" w:after="0" w:line="560" w:lineRule="exact"/>
        <w:ind w:left="-10" w:leftChars="0" w:firstLine="640" w:firstLineChars="0"/>
        <w:jc w:val="both"/>
        <w:textAlignment w:val="auto"/>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w:t>
      </w:r>
      <w:r>
        <w:rPr>
          <w:rFonts w:hint="eastAsia" w:ascii="Times New Roman" w:hAnsi="Times New Roman" w:eastAsia="仿宋_GB2312" w:cs="Times New Roman"/>
          <w:b w:val="0"/>
          <w:bCs w:val="0"/>
          <w:highlight w:val="none"/>
          <w:lang w:val="en-US" w:eastAsia="zh-CN"/>
        </w:rPr>
        <w:t>按照上半年与下半年的实施进度对比，</w:t>
      </w:r>
      <w:r>
        <w:rPr>
          <w:rFonts w:hint="default" w:ascii="Times New Roman" w:hAnsi="Times New Roman" w:eastAsia="仿宋_GB2312" w:cs="Times New Roman"/>
          <w:b w:val="0"/>
          <w:bCs w:val="0"/>
          <w:highlight w:val="none"/>
        </w:rPr>
        <w:t>评估项目是否按照既定计划顺利推进，各项任务是否按时完成</w:t>
      </w: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确保项目实施的过程完整性。</w:t>
      </w:r>
    </w:p>
    <w:p>
      <w:pPr>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kern w:val="28"/>
          <w:sz w:val="32"/>
          <w:szCs w:val="32"/>
          <w:highlight w:val="none"/>
          <w:lang w:val="en-US" w:eastAsia="zh-CN" w:bidi="ar-SA"/>
        </w:rPr>
      </w:pPr>
      <w:r>
        <w:rPr>
          <w:rFonts w:hint="eastAsia" w:ascii="Times New Roman" w:hAnsi="Times New Roman" w:eastAsia="仿宋_GB2312" w:cs="Times New Roman"/>
          <w:b w:val="0"/>
          <w:bCs w:val="0"/>
          <w:kern w:val="28"/>
          <w:sz w:val="32"/>
          <w:szCs w:val="32"/>
          <w:highlight w:val="none"/>
          <w:lang w:val="en-US" w:eastAsia="zh-CN" w:bidi="ar-SA"/>
        </w:rPr>
        <w:t>社会影响：1.提升公共服务水平。有了经费支持村里各类基础设施、公共服务设施改善，方便农民出行和农业生产。2.加强组织建设。干部队伍稳定，保障干部的支持，使他们能安心工作、吸引和留住人才。组织活动开展，村级组织开展定期党员培训、村民会议等活动，增强党组织的凝聚力和战斗力，提高农民的参与感和归属感。</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2"/>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2"/>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2"/>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2"/>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2"/>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2"/>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FF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default" w:ascii="Times New Roman" w:hAnsi="Times New Roman" w:eastAsia="仿宋_GB2312" w:cs="Times New Roman"/>
          <w:b w:val="0"/>
          <w:bCs w:val="0"/>
          <w:color w:val="000000"/>
          <w:spacing w:val="17"/>
          <w:kern w:val="2"/>
          <w:highlight w:val="none"/>
        </w:rPr>
      </w:pPr>
      <w:r>
        <w:rPr>
          <w:rFonts w:hint="default" w:ascii="Times New Roman" w:hAnsi="Times New Roman" w:eastAsia="仿宋_GB2312" w:cs="Times New Roman"/>
          <w:b w:val="0"/>
          <w:bCs w:val="0"/>
          <w:color w:val="000000"/>
          <w:spacing w:val="17"/>
          <w:kern w:val="2"/>
          <w:highlight w:val="none"/>
        </w:rPr>
        <w:t>绩效评价总分值100分，根据综合评分结果，90（含）-100分为优、80（含）-90分为良、60（含）-80分为中、60分以下为差。</w:t>
      </w:r>
    </w:p>
    <w:p>
      <w:pPr>
        <w:pStyle w:val="12"/>
        <w:pageBreakBefore w:val="0"/>
        <w:widowControl w:val="0"/>
        <w:kinsoku/>
        <w:wordWrap/>
        <w:overflowPunct/>
        <w:topLinePunct w:val="0"/>
        <w:autoSpaceDE/>
        <w:autoSpaceDN/>
        <w:bidi w:val="0"/>
        <w:adjustRightInd/>
        <w:snapToGrid/>
        <w:spacing w:before="0" w:after="0" w:line="560" w:lineRule="exact"/>
        <w:ind w:firstLine="708" w:firstLineChars="200"/>
        <w:jc w:val="both"/>
        <w:textAlignment w:val="auto"/>
        <w:outlineLvl w:val="9"/>
        <w:rPr>
          <w:rFonts w:hint="default" w:ascii="Times New Roman" w:hAnsi="Times New Roman" w:eastAsia="仿宋_GB2312" w:cs="Times New Roman"/>
          <w:b w:val="0"/>
          <w:bCs w:val="0"/>
          <w:color w:val="000000"/>
          <w:spacing w:val="17"/>
          <w:highlight w:val="none"/>
        </w:rPr>
      </w:pPr>
      <w:r>
        <w:rPr>
          <w:rFonts w:hint="default" w:ascii="Times New Roman" w:hAnsi="Times New Roman" w:eastAsia="仿宋_GB2312" w:cs="Times New Roman"/>
          <w:b w:val="0"/>
          <w:bCs w:val="0"/>
          <w:color w:val="000000"/>
          <w:spacing w:val="17"/>
          <w:highlight w:val="none"/>
        </w:rPr>
        <w:t>具体评价指标体系详情见附件1</w:t>
      </w:r>
    </w:p>
    <w:p>
      <w:pPr>
        <w:pStyle w:val="12"/>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highlight w:val="none"/>
        </w:rPr>
        <w:t>本次项目支出绩效自评采用</w:t>
      </w:r>
      <w:r>
        <w:rPr>
          <w:rFonts w:hint="eastAsia" w:ascii="Times New Roman" w:hAnsi="Times New Roman" w:eastAsia="仿宋_GB2312" w:cs="Times New Roman"/>
          <w:b w:val="0"/>
          <w:bCs w:val="0"/>
          <w:color w:val="auto"/>
          <w:highlight w:val="none"/>
        </w:rPr>
        <w:t>公众评判法</w:t>
      </w:r>
      <w:r>
        <w:rPr>
          <w:rFonts w:hint="eastAsia" w:ascii="Times New Roman" w:hAnsi="Times New Roman" w:eastAsia="仿宋_GB2312" w:cs="Times New Roman"/>
          <w:b w:val="0"/>
          <w:bCs w:val="0"/>
          <w:color w:val="auto"/>
          <w:highlight w:val="none"/>
          <w:lang w:eastAsia="zh-CN"/>
        </w:rPr>
        <w:t>，</w:t>
      </w:r>
      <w:r>
        <w:rPr>
          <w:rFonts w:hint="eastAsia" w:ascii="Times New Roman" w:hAnsi="Times New Roman" w:eastAsia="仿宋_GB2312" w:cs="Times New Roman"/>
          <w:b w:val="0"/>
          <w:bCs w:val="0"/>
          <w:color w:val="auto"/>
          <w:highlight w:val="none"/>
          <w:lang w:val="en-US" w:eastAsia="zh-CN"/>
        </w:rPr>
        <w:t>原因是</w:t>
      </w:r>
      <w:r>
        <w:rPr>
          <w:rFonts w:hint="eastAsia" w:ascii="Times New Roman" w:hAnsi="Times New Roman" w:eastAsia="仿宋_GB2312" w:cs="Times New Roman"/>
          <w:b w:val="0"/>
          <w:bCs w:val="0"/>
          <w:color w:val="auto"/>
          <w:highlight w:val="none"/>
          <w:lang w:eastAsia="zh-CN"/>
        </w:rPr>
        <w:t>通过</w:t>
      </w:r>
      <w:r>
        <w:rPr>
          <w:rFonts w:hint="eastAsia" w:ascii="Times New Roman" w:hAnsi="Times New Roman" w:eastAsia="仿宋_GB2312" w:cs="Times New Roman"/>
          <w:b w:val="0"/>
          <w:bCs w:val="0"/>
          <w:highlight w:val="none"/>
          <w:lang w:eastAsia="zh-CN"/>
        </w:rPr>
        <w:t>公众调查问卷形式更加能准确得知此项目实施的反馈情况，</w:t>
      </w:r>
      <w:r>
        <w:rPr>
          <w:rFonts w:hint="eastAsia" w:ascii="Times New Roman" w:hAnsi="Times New Roman" w:eastAsia="仿宋_GB2312" w:cs="Times New Roman"/>
          <w:b w:val="0"/>
          <w:bCs w:val="0"/>
          <w:highlight w:val="none"/>
          <w:lang w:val="en-US" w:eastAsia="zh-CN"/>
        </w:rPr>
        <w:t>将公众的满意度、体验感作为核心的评价依据，</w:t>
      </w:r>
      <w:r>
        <w:rPr>
          <w:rFonts w:hint="eastAsia" w:ascii="Times New Roman" w:hAnsi="Times New Roman" w:eastAsia="仿宋_GB2312" w:cs="Times New Roman"/>
          <w:b w:val="0"/>
          <w:bCs w:val="0"/>
          <w:highlight w:val="none"/>
          <w:lang w:eastAsia="zh-CN"/>
        </w:rPr>
        <w:t>促使资金使用准确有效。</w:t>
      </w:r>
    </w:p>
    <w:p>
      <w:pPr>
        <w:pStyle w:val="12"/>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评价标准</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color w:val="auto"/>
          <w:highlight w:val="none"/>
          <w:lang w:val="en-US" w:eastAsia="zh-CN"/>
        </w:rPr>
        <w:t>计划</w:t>
      </w:r>
      <w:r>
        <w:rPr>
          <w:rFonts w:hint="default" w:ascii="Times New Roman" w:hAnsi="Times New Roman" w:eastAsia="仿宋_GB2312" w:cs="Times New Roman"/>
          <w:b w:val="0"/>
          <w:bCs w:val="0"/>
          <w:color w:val="auto"/>
          <w:highlight w:val="none"/>
        </w:rPr>
        <w:t>标准。</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原因是通过实际绩效与计划标准进行对比分析，能够发现计划制定和执行过程中的优点和不足。</w:t>
      </w:r>
    </w:p>
    <w:p>
      <w:pPr>
        <w:pStyle w:val="12"/>
        <w:pageBreakBefore w:val="0"/>
        <w:numPr>
          <w:numId w:val="0"/>
        </w:numPr>
        <w:kinsoku/>
        <w:wordWrap/>
        <w:overflowPunct/>
        <w:topLinePunct w:val="0"/>
        <w:autoSpaceDE/>
        <w:autoSpaceDN/>
        <w:bidi w:val="0"/>
        <w:adjustRightInd/>
        <w:snapToGrid/>
        <w:spacing w:before="0" w:after="0" w:line="560" w:lineRule="exact"/>
        <w:jc w:val="both"/>
        <w:textAlignment w:val="auto"/>
        <w:rPr>
          <w:rFonts w:hint="default" w:ascii="Times New Roman" w:hAnsi="Times New Roman" w:eastAsia="楷体" w:cs="Times New Roman"/>
          <w:color w:val="000000"/>
          <w:spacing w:val="17"/>
          <w:highlight w:val="none"/>
        </w:rPr>
      </w:pPr>
      <w:r>
        <w:rPr>
          <w:rFonts w:hint="eastAsia" w:ascii="Times New Roman" w:hAnsi="Times New Roman" w:eastAsia="楷体" w:cs="Times New Roman"/>
          <w:color w:val="000000"/>
          <w:spacing w:val="17"/>
          <w:highlight w:val="none"/>
          <w:lang w:eastAsia="zh-CN"/>
        </w:rPr>
        <w:t>（</w:t>
      </w:r>
      <w:r>
        <w:rPr>
          <w:rFonts w:hint="eastAsia" w:ascii="Times New Roman" w:hAnsi="Times New Roman" w:eastAsia="楷体" w:cs="Times New Roman"/>
          <w:color w:val="000000"/>
          <w:spacing w:val="17"/>
          <w:highlight w:val="none"/>
          <w:lang w:val="en-US" w:eastAsia="zh-CN"/>
        </w:rPr>
        <w:t>三</w:t>
      </w:r>
      <w:r>
        <w:rPr>
          <w:rFonts w:hint="eastAsia" w:ascii="Times New Roman" w:hAnsi="Times New Roman" w:eastAsia="楷体" w:cs="Times New Roman"/>
          <w:color w:val="000000"/>
          <w:spacing w:val="17"/>
          <w:highlight w:val="none"/>
          <w:lang w:eastAsia="zh-CN"/>
        </w:rPr>
        <w:t>）</w:t>
      </w:r>
      <w:r>
        <w:rPr>
          <w:rFonts w:hint="default" w:ascii="Times New Roman" w:hAnsi="Times New Roman" w:eastAsia="楷体" w:cs="Times New Roman"/>
          <w:color w:val="000000"/>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w:t>
      </w:r>
      <w:r>
        <w:rPr>
          <w:rFonts w:hint="eastAsia" w:eastAsia="仿宋_GB2312" w:cs="Times New Roman"/>
          <w:sz w:val="32"/>
          <w:szCs w:val="32"/>
          <w:highlight w:val="none"/>
          <w:lang w:val="en-US" w:eastAsia="zh-CN"/>
        </w:rPr>
        <w:t>包括：财务分管领导王文怀和财务室工作人员太文台、孟克及各科室干部组成，</w:t>
      </w:r>
      <w:r>
        <w:rPr>
          <w:rFonts w:hint="default" w:ascii="Times New Roman" w:hAnsi="Times New Roman" w:eastAsia="仿宋_GB2312" w:cs="Times New Roman"/>
          <w:sz w:val="32"/>
          <w:szCs w:val="32"/>
          <w:highlight w:val="none"/>
        </w:rPr>
        <w:t>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清晰阐述</w:t>
      </w:r>
      <w:r>
        <w:rPr>
          <w:rFonts w:hint="default" w:ascii="Times New Roman" w:hAnsi="Times New Roman" w:eastAsia="仿宋_GB2312" w:cs="Times New Roman"/>
          <w:sz w:val="32"/>
          <w:szCs w:val="32"/>
          <w:highlight w:val="none"/>
          <w:lang w:eastAsia="zh-CN"/>
        </w:rPr>
        <w:t>项目的</w:t>
      </w:r>
      <w:r>
        <w:rPr>
          <w:rFonts w:hint="eastAsia" w:eastAsia="仿宋_GB2312" w:cs="Times New Roman"/>
          <w:sz w:val="32"/>
          <w:szCs w:val="32"/>
          <w:highlight w:val="none"/>
          <w:lang w:val="en-US" w:eastAsia="zh-CN"/>
        </w:rPr>
        <w:t>目的</w:t>
      </w: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为后续指标设计提供方向指引。</w:t>
      </w:r>
      <w:r>
        <w:rPr>
          <w:rFonts w:hint="default" w:ascii="Times New Roman" w:hAnsi="Times New Roman" w:eastAsia="仿宋_GB2312" w:cs="Times New Roman"/>
          <w:sz w:val="32"/>
          <w:szCs w:val="32"/>
          <w:highlight w:val="none"/>
          <w:lang w:eastAsia="zh-CN"/>
        </w:rPr>
        <w:t>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w:t>
      </w:r>
      <w:r>
        <w:rPr>
          <w:rFonts w:hint="eastAsia" w:eastAsia="仿宋_GB2312" w:cs="Times New Roman"/>
          <w:sz w:val="32"/>
          <w:szCs w:val="32"/>
          <w:highlight w:val="none"/>
          <w:lang w:val="en-US" w:eastAsia="zh-CN"/>
        </w:rPr>
        <w:t>合理搭配确保全面评估</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有效</w:t>
      </w:r>
      <w:r>
        <w:rPr>
          <w:rFonts w:hint="default" w:ascii="Times New Roman" w:hAnsi="Times New Roman" w:eastAsia="仿宋_GB2312" w:cs="Times New Roman"/>
          <w:sz w:val="32"/>
          <w:szCs w:val="32"/>
          <w:highlight w:val="none"/>
          <w:lang w:eastAsia="zh-CN"/>
        </w:rPr>
        <w:t>收集与项目相关数据，包括</w:t>
      </w:r>
      <w:r>
        <w:rPr>
          <w:rFonts w:hint="eastAsia" w:eastAsia="仿宋_GB2312" w:cs="Times New Roman"/>
          <w:sz w:val="32"/>
          <w:szCs w:val="32"/>
          <w:highlight w:val="none"/>
          <w:lang w:val="en-US" w:eastAsia="zh-CN"/>
        </w:rPr>
        <w:t>村级小组名单、设备采购合同、验收单、</w:t>
      </w:r>
      <w:r>
        <w:rPr>
          <w:rFonts w:hint="default" w:ascii="Times New Roman" w:hAnsi="Times New Roman" w:eastAsia="仿宋_GB2312" w:cs="Times New Roman"/>
          <w:sz w:val="32"/>
          <w:szCs w:val="32"/>
          <w:highlight w:val="none"/>
          <w:lang w:eastAsia="zh-CN"/>
        </w:rPr>
        <w:t>财务报表、</w:t>
      </w:r>
      <w:r>
        <w:rPr>
          <w:rFonts w:hint="eastAsia" w:eastAsia="仿宋_GB2312" w:cs="Times New Roman"/>
          <w:sz w:val="32"/>
          <w:szCs w:val="32"/>
          <w:highlight w:val="none"/>
          <w:lang w:val="en-US" w:eastAsia="zh-CN"/>
        </w:rPr>
        <w:t>调查问卷等</w:t>
      </w:r>
      <w:r>
        <w:rPr>
          <w:rFonts w:hint="default" w:ascii="Times New Roman" w:hAnsi="Times New Roman" w:eastAsia="仿宋_GB2312" w:cs="Times New Roman"/>
          <w:sz w:val="32"/>
          <w:szCs w:val="32"/>
          <w:highlight w:val="none"/>
          <w:lang w:eastAsia="zh-CN"/>
        </w:rPr>
        <w:t>。在数据收集过程中，注重数据的</w:t>
      </w:r>
      <w:r>
        <w:rPr>
          <w:rFonts w:hint="eastAsia" w:eastAsia="仿宋_GB2312" w:cs="Times New Roman"/>
          <w:sz w:val="32"/>
          <w:szCs w:val="32"/>
          <w:highlight w:val="none"/>
          <w:lang w:val="en-US" w:eastAsia="zh-CN"/>
        </w:rPr>
        <w:t>真实性</w:t>
      </w:r>
      <w:r>
        <w:rPr>
          <w:rFonts w:hint="default" w:ascii="Times New Roman" w:hAnsi="Times New Roman" w:eastAsia="仿宋_GB2312" w:cs="Times New Roman"/>
          <w:sz w:val="32"/>
          <w:szCs w:val="32"/>
          <w:highlight w:val="none"/>
          <w:lang w:eastAsia="zh-CN"/>
        </w:rPr>
        <w:t>与完整性，对收集到的数据进行了系统的整理与分类，为后续的数据分析提供了有力支持。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对收集到的数据进行了深入分析。通过对各项绩效指标的实际完成情况与预期目标进行对比，</w:t>
      </w:r>
      <w:r>
        <w:rPr>
          <w:rFonts w:hint="eastAsia" w:eastAsia="仿宋_GB2312" w:cs="Times New Roman"/>
          <w:sz w:val="32"/>
          <w:szCs w:val="32"/>
          <w:highlight w:val="none"/>
          <w:lang w:val="en-US" w:eastAsia="zh-CN"/>
        </w:rPr>
        <w:t>通过数据分析揭示项目绩效状况和存在的问题</w:t>
      </w:r>
      <w:r>
        <w:rPr>
          <w:rFonts w:hint="default" w:ascii="Times New Roman" w:hAnsi="Times New Roman" w:eastAsia="仿宋_GB2312" w:cs="Times New Roman"/>
          <w:sz w:val="32"/>
          <w:szCs w:val="32"/>
          <w:highlight w:val="none"/>
          <w:lang w:eastAsia="zh-CN"/>
        </w:rPr>
        <w:t>，注重数据之间的关联性，深入剖析项目绩效背后的原因，为提出有针对性的改进建议提供了依据。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绩效评价结果、存在问题与改进建议等多个部分，力求条理清晰、重点突出、语言简洁明了。</w:t>
      </w:r>
      <w:r>
        <w:rPr>
          <w:rFonts w:hint="eastAsia" w:eastAsia="仿宋_GB2312" w:cs="Times New Roman"/>
          <w:sz w:val="32"/>
          <w:szCs w:val="32"/>
          <w:highlight w:val="none"/>
          <w:lang w:val="en-US" w:eastAsia="zh-CN"/>
        </w:rPr>
        <w:t>通过规范的报告撰写与高效的反馈机制，既能系统的展示项目价值，又能推动经验沉淀与能力迭代，实现项目全周期管理的良性循环。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在评价报告提交后，我们将持续跟踪项目的改进措施落实情况，定期对项目绩效进行复查与评估，优化</w:t>
      </w:r>
      <w:r>
        <w:rPr>
          <w:rFonts w:hint="eastAsia" w:eastAsia="仿宋_GB2312" w:cs="Times New Roman"/>
          <w:sz w:val="32"/>
          <w:szCs w:val="32"/>
          <w:highlight w:val="none"/>
          <w:lang w:val="en-US" w:eastAsia="zh-CN"/>
        </w:rPr>
        <w:t>反馈机制本身的效率与覆盖面</w:t>
      </w:r>
      <w:r>
        <w:rPr>
          <w:rFonts w:hint="default" w:ascii="Times New Roman" w:hAnsi="Times New Roman" w:eastAsia="仿宋_GB2312" w:cs="Times New Roman"/>
          <w:sz w:val="32"/>
          <w:szCs w:val="32"/>
          <w:highlight w:val="none"/>
          <w:lang w:eastAsia="zh-CN"/>
        </w:rPr>
        <w:t>，实现绩效的持续提升。</w:t>
      </w:r>
    </w:p>
    <w:p>
      <w:pPr>
        <w:pageBreakBefore w:val="0"/>
        <w:numPr>
          <w:numId w:val="0"/>
        </w:numPr>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综合评价情况及评价结论（附相关评分表）</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本项目的综合评价基于对项目各方面绩效的深入分析与评估。从项目目标的达成情况来看，</w:t>
      </w:r>
      <w:r>
        <w:rPr>
          <w:rFonts w:hint="eastAsia" w:eastAsia="仿宋_GB2312" w:cs="Times New Roman"/>
          <w:b w:val="0"/>
          <w:bCs w:val="0"/>
          <w:sz w:val="32"/>
          <w:szCs w:val="32"/>
          <w:highlight w:val="none"/>
          <w:lang w:eastAsia="zh-CN"/>
        </w:rPr>
        <w:t>支农</w:t>
      </w:r>
      <w:r>
        <w:rPr>
          <w:rFonts w:hint="eastAsia" w:eastAsia="仿宋_GB2312" w:cs="Times New Roman"/>
          <w:b w:val="0"/>
          <w:bCs w:val="0"/>
          <w:sz w:val="32"/>
          <w:szCs w:val="32"/>
          <w:highlight w:val="none"/>
          <w:lang w:val="en-US" w:eastAsia="zh-CN"/>
        </w:rPr>
        <w:t>-专项</w:t>
      </w:r>
      <w:r>
        <w:rPr>
          <w:rFonts w:hint="eastAsia" w:ascii="Times New Roman" w:hAnsi="Times New Roman" w:eastAsia="仿宋_GB2312" w:cs="Times New Roman"/>
          <w:b w:val="0"/>
          <w:bCs w:val="0"/>
          <w:sz w:val="32"/>
          <w:szCs w:val="32"/>
          <w:highlight w:val="none"/>
          <w:lang w:val="en-US" w:eastAsia="zh-CN"/>
        </w:rPr>
        <w:t>村级组织工作经费</w:t>
      </w:r>
      <w:r>
        <w:rPr>
          <w:rFonts w:hint="default" w:ascii="Times New Roman" w:hAnsi="Times New Roman" w:eastAsia="仿宋_GB2312" w:cs="Times New Roman"/>
          <w:b w:val="0"/>
          <w:bCs w:val="0"/>
          <w:sz w:val="32"/>
          <w:szCs w:val="32"/>
          <w:highlight w:val="none"/>
        </w:rPr>
        <w:t>项目实现</w:t>
      </w:r>
      <w:r>
        <w:rPr>
          <w:rFonts w:hint="eastAsia" w:eastAsia="仿宋_GB2312" w:cs="Times New Roman"/>
          <w:b w:val="0"/>
          <w:bCs w:val="0"/>
          <w:sz w:val="32"/>
          <w:szCs w:val="32"/>
          <w:highlight w:val="none"/>
          <w:lang w:eastAsia="zh-CN"/>
        </w:rPr>
        <w:t>和什力克</w:t>
      </w:r>
      <w:r>
        <w:rPr>
          <w:rFonts w:hint="default" w:ascii="Times New Roman" w:hAnsi="Times New Roman" w:eastAsia="仿宋_GB2312" w:cs="Times New Roman"/>
          <w:b w:val="0"/>
          <w:bCs w:val="0"/>
          <w:sz w:val="32"/>
          <w:szCs w:val="32"/>
          <w:highlight w:val="none"/>
        </w:rPr>
        <w:t>乡</w:t>
      </w:r>
      <w:r>
        <w:rPr>
          <w:rFonts w:hint="eastAsia" w:eastAsia="仿宋_GB2312" w:cs="Times New Roman"/>
          <w:b w:val="0"/>
          <w:bCs w:val="0"/>
          <w:sz w:val="32"/>
          <w:szCs w:val="32"/>
          <w:highlight w:val="none"/>
          <w:lang w:val="en-US" w:eastAsia="zh-CN"/>
        </w:rPr>
        <w:t>5</w:t>
      </w:r>
      <w:r>
        <w:rPr>
          <w:rFonts w:hint="default" w:ascii="Times New Roman" w:hAnsi="Times New Roman" w:eastAsia="仿宋_GB2312" w:cs="Times New Roman"/>
          <w:b w:val="0"/>
          <w:bCs w:val="0"/>
          <w:sz w:val="32"/>
          <w:szCs w:val="32"/>
          <w:highlight w:val="none"/>
        </w:rPr>
        <w:t>个村全覆盖，确保2个大村，</w:t>
      </w:r>
      <w:r>
        <w:rPr>
          <w:rFonts w:hint="eastAsia" w:eastAsia="仿宋_GB2312" w:cs="Times New Roman"/>
          <w:b w:val="0"/>
          <w:bCs w:val="0"/>
          <w:sz w:val="32"/>
          <w:szCs w:val="32"/>
          <w:highlight w:val="none"/>
          <w:lang w:val="en-US" w:eastAsia="zh-CN"/>
        </w:rPr>
        <w:t>2</w:t>
      </w:r>
      <w:r>
        <w:rPr>
          <w:rFonts w:hint="default" w:ascii="Times New Roman" w:hAnsi="Times New Roman" w:eastAsia="仿宋_GB2312" w:cs="Times New Roman"/>
          <w:b w:val="0"/>
          <w:bCs w:val="0"/>
          <w:sz w:val="32"/>
          <w:szCs w:val="32"/>
          <w:highlight w:val="none"/>
        </w:rPr>
        <w:t>个中村，1个小村正常运转</w:t>
      </w:r>
      <w:r>
        <w:rPr>
          <w:rFonts w:hint="eastAsia" w:eastAsia="仿宋_GB2312" w:cs="Times New Roman"/>
          <w:b w:val="0"/>
          <w:bCs w:val="0"/>
          <w:sz w:val="32"/>
          <w:szCs w:val="32"/>
          <w:highlight w:val="none"/>
          <w:lang w:eastAsia="zh-CN"/>
        </w:rPr>
        <w:t xml:space="preserve">。抓好各村委会基层党组织阵地建设，确保基层党组织各项事业稳定有序开展，保障各项事业规范运行 。提升村干部为民服务能力、提高服务水平，顺利服务于村民，提高幸福指数 </w:t>
      </w:r>
      <w:r>
        <w:rPr>
          <w:rFonts w:hint="default" w:ascii="Times New Roman" w:hAnsi="Times New Roman" w:eastAsia="仿宋_GB2312" w:cs="Times New Roman"/>
          <w:b w:val="0"/>
          <w:bCs w:val="0"/>
          <w:sz w:val="32"/>
          <w:szCs w:val="32"/>
          <w:highlight w:val="none"/>
        </w:rPr>
        <w:t>等方面表现出色，达到了预期的标准与要求。同时项目也</w:t>
      </w:r>
      <w:r>
        <w:rPr>
          <w:rFonts w:hint="default" w:ascii="Times New Roman" w:hAnsi="Times New Roman" w:eastAsia="仿宋_GB2312" w:cs="Times New Roman"/>
          <w:b w:val="0"/>
          <w:bCs w:val="0"/>
          <w:color w:val="auto"/>
          <w:sz w:val="32"/>
          <w:szCs w:val="32"/>
          <w:highlight w:val="none"/>
        </w:rPr>
        <w:t>在实现</w:t>
      </w:r>
      <w:r>
        <w:rPr>
          <w:rFonts w:hint="eastAsia" w:eastAsia="仿宋_GB2312" w:cs="Times New Roman"/>
          <w:b w:val="0"/>
          <w:bCs w:val="0"/>
          <w:color w:val="auto"/>
          <w:sz w:val="32"/>
          <w:szCs w:val="32"/>
          <w:highlight w:val="none"/>
          <w:lang w:eastAsia="zh-CN"/>
        </w:rPr>
        <w:t>和什力克</w:t>
      </w:r>
      <w:r>
        <w:rPr>
          <w:rFonts w:hint="default" w:ascii="Times New Roman" w:hAnsi="Times New Roman" w:eastAsia="仿宋_GB2312" w:cs="Times New Roman"/>
          <w:b w:val="0"/>
          <w:bCs w:val="0"/>
          <w:color w:val="auto"/>
          <w:sz w:val="32"/>
          <w:szCs w:val="32"/>
          <w:highlight w:val="none"/>
        </w:rPr>
        <w:t>乡7个村全覆盖，确保2个大村，</w:t>
      </w:r>
      <w:r>
        <w:rPr>
          <w:rFonts w:hint="eastAsia"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个中村，1个小村正常运转</w:t>
      </w:r>
      <w:r>
        <w:rPr>
          <w:rFonts w:hint="eastAsia"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取得了显著的成效等。</w:t>
      </w:r>
      <w:r>
        <w:rPr>
          <w:rFonts w:hint="default" w:ascii="Times New Roman" w:hAnsi="Times New Roman" w:eastAsia="仿宋_GB2312" w:cs="Times New Roman"/>
          <w:b w:val="0"/>
          <w:bCs w:val="0"/>
          <w:sz w:val="32"/>
          <w:szCs w:val="32"/>
          <w:highlight w:val="none"/>
        </w:rPr>
        <w:t>在项目管理方面</w:t>
      </w:r>
      <w:r>
        <w:rPr>
          <w:rFonts w:hint="eastAsia" w:ascii="Times New Roman" w:hAnsi="Times New Roman" w:eastAsia="仿宋_GB2312" w:cs="Times New Roman"/>
          <w:b w:val="0"/>
          <w:bCs w:val="0"/>
          <w:sz w:val="32"/>
          <w:szCs w:val="32"/>
          <w:highlight w:val="none"/>
          <w:lang w:eastAsia="zh-CN"/>
        </w:rPr>
        <w:t>库尔勒市</w:t>
      </w:r>
      <w:r>
        <w:rPr>
          <w:rFonts w:hint="eastAsia" w:eastAsia="仿宋_GB2312" w:cs="Times New Roman"/>
          <w:b w:val="0"/>
          <w:bCs w:val="0"/>
          <w:sz w:val="32"/>
          <w:szCs w:val="32"/>
          <w:highlight w:val="none"/>
          <w:lang w:eastAsia="zh-CN"/>
        </w:rPr>
        <w:t>和什力克</w:t>
      </w:r>
      <w:r>
        <w:rPr>
          <w:rFonts w:hint="eastAsia" w:ascii="Times New Roman" w:hAnsi="Times New Roman" w:eastAsia="仿宋_GB2312" w:cs="Times New Roman"/>
          <w:b w:val="0"/>
          <w:bCs w:val="0"/>
          <w:sz w:val="32"/>
          <w:szCs w:val="32"/>
          <w:highlight w:val="none"/>
          <w:lang w:eastAsia="zh-CN"/>
        </w:rPr>
        <w:t>乡人民政府</w:t>
      </w:r>
      <w:r>
        <w:rPr>
          <w:rFonts w:hint="default" w:ascii="Times New Roman" w:hAnsi="Times New Roman" w:eastAsia="仿宋_GB2312" w:cs="Times New Roman"/>
          <w:b w:val="0"/>
          <w:bCs w:val="0"/>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从项目效益的角度来看，本项目实现了预期的社会效益方面产生了积极的影响。具体而言，受益村委会数量</w:t>
      </w:r>
      <w:r>
        <w:rPr>
          <w:rFonts w:hint="eastAsia" w:eastAsia="仿宋_GB2312" w:cs="Times New Roman"/>
          <w:sz w:val="32"/>
          <w:szCs w:val="32"/>
          <w:highlight w:val="none"/>
          <w:lang w:eastAsia="zh-CN"/>
        </w:rPr>
        <w:t>已达到</w:t>
      </w:r>
      <w:r>
        <w:rPr>
          <w:rFonts w:hint="eastAsia" w:eastAsia="仿宋_GB2312" w:cs="Times New Roman"/>
          <w:sz w:val="32"/>
          <w:szCs w:val="32"/>
          <w:highlight w:val="none"/>
          <w:lang w:val="en-US" w:eastAsia="zh-CN"/>
        </w:rPr>
        <w:t>5个</w:t>
      </w:r>
      <w:r>
        <w:rPr>
          <w:rFonts w:hint="default" w:ascii="Times New Roman" w:hAnsi="Times New Roman" w:eastAsia="仿宋_GB2312" w:cs="Times New Roman"/>
          <w:sz w:val="32"/>
          <w:szCs w:val="32"/>
          <w:highlight w:val="none"/>
        </w:rPr>
        <w:t>等方面的提升，为项目的利益相关者带来了实实在在的利益</w:t>
      </w:r>
      <w:r>
        <w:rPr>
          <w:rFonts w:hint="eastAsia" w:eastAsia="仿宋_GB2312" w:cs="Times New Roman"/>
          <w:sz w:val="32"/>
          <w:szCs w:val="32"/>
          <w:highlight w:val="none"/>
          <w:lang w:eastAsia="zh-CN"/>
        </w:rPr>
        <w:t>。</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综上所述，</w:t>
      </w:r>
      <w:r>
        <w:rPr>
          <w:rFonts w:hint="eastAsia" w:ascii="Times New Roman" w:hAnsi="Times New Roman" w:eastAsia="仿宋_GB2312" w:cs="Times New Roman"/>
          <w:kern w:val="0"/>
          <w:sz w:val="32"/>
          <w:szCs w:val="32"/>
          <w:highlight w:val="none"/>
          <w:lang w:val="en-US" w:eastAsia="zh-CN" w:bidi="ar"/>
        </w:rPr>
        <w:t>支农专项-村级组织工作经费</w:t>
      </w:r>
      <w:r>
        <w:rPr>
          <w:rFonts w:hint="default" w:ascii="Times New Roman" w:hAnsi="Times New Roman" w:eastAsia="仿宋_GB2312" w:cs="Times New Roman"/>
          <w:kern w:val="0"/>
          <w:sz w:val="32"/>
          <w:szCs w:val="32"/>
          <w:highlight w:val="none"/>
          <w:lang w:val="en-US" w:eastAsia="zh-CN" w:bidi="ar"/>
        </w:rPr>
        <w:t>项目在绩效评价中表现出色，达到了项目的预期目标，并在多个方面取得了显著的成效。</w:t>
      </w:r>
      <w:r>
        <w:rPr>
          <w:rFonts w:hint="eastAsia" w:ascii="Times New Roman" w:hAnsi="Times New Roman" w:eastAsia="仿宋_GB2312" w:cs="Times New Roman"/>
          <w:kern w:val="0"/>
          <w:sz w:val="32"/>
          <w:szCs w:val="32"/>
          <w:highlight w:val="none"/>
          <w:lang w:val="en-US" w:eastAsia="zh-CN" w:bidi="ar"/>
        </w:rPr>
        <w:t xml:space="preserve">  </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w:t>
      </w:r>
      <w:r>
        <w:rPr>
          <w:rFonts w:hint="default" w:ascii="Times New Roman" w:hAnsi="Times New Roman" w:eastAsia="仿宋_GB2312" w:cs="Times New Roman"/>
          <w:b w:val="0"/>
          <w:bCs w:val="0"/>
          <w:color w:val="auto"/>
          <w:highlight w:val="none"/>
          <w:lang w:val="en-US" w:eastAsia="zh-CN"/>
        </w:rPr>
        <w:t xml:space="preserve">最终评分结果：总得分为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lang w:val="en-US" w:eastAsia="zh-CN"/>
        </w:rPr>
        <w:t xml:space="preserve">分，属于“优”。其中，项目决策类指标权重为20分，得分为 </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lang w:val="en-US" w:eastAsia="zh-CN"/>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lang w:val="en-US" w:eastAsia="zh-CN"/>
        </w:rPr>
        <w:t>%。项目过程类指标权重为20</w:t>
      </w:r>
      <w:r>
        <w:rPr>
          <w:rFonts w:hint="default" w:ascii="Times New Roman" w:hAnsi="Times New Roman" w:eastAsia="仿宋_GB2312" w:cs="Times New Roman"/>
          <w:b w:val="0"/>
          <w:bCs w:val="0"/>
          <w:color w:val="auto"/>
          <w:highlight w:val="none"/>
        </w:rPr>
        <w:t>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%。具体打分情况详见：附件1综合评分</w:t>
      </w:r>
      <w:r>
        <w:rPr>
          <w:rFonts w:hint="default" w:ascii="Times New Roman" w:hAnsi="Times New Roman" w:eastAsia="仿宋_GB2312" w:cs="Times New Roman"/>
          <w:b w:val="0"/>
          <w:bCs w:val="0"/>
        </w:rPr>
        <w:t>表</w:t>
      </w:r>
      <w:r>
        <w:rPr>
          <w:rFonts w:hint="default" w:ascii="Times New Roman" w:hAnsi="Times New Roman" w:eastAsia="仿宋_GB2312" w:cs="Times New Roman"/>
          <w:b w:val="0"/>
          <w:bCs w:val="0"/>
          <w:lang w:eastAsia="zh-CN"/>
        </w:rPr>
        <w:t>。</w:t>
      </w:r>
    </w:p>
    <w:p>
      <w:pPr>
        <w:pStyle w:val="12"/>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2"/>
        <w:pageBreakBefore w:val="0"/>
        <w:kinsoku/>
        <w:wordWrap/>
        <w:overflowPunct/>
        <w:topLinePunct w:val="0"/>
        <w:autoSpaceDE/>
        <w:autoSpaceDN/>
        <w:bidi w:val="0"/>
        <w:adjustRightInd/>
        <w:snapToGrid/>
        <w:spacing w:before="0" w:after="0" w:line="560" w:lineRule="exact"/>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highlight w:val="none"/>
          <w:lang w:val="en-US" w:eastAsia="zh-CN"/>
        </w:rPr>
        <w:t>该项目立项符合</w:t>
      </w:r>
      <w:r>
        <w:rPr>
          <w:rFonts w:hint="eastAsia" w:eastAsia="仿宋_GB2312" w:cs="Times New Roman"/>
          <w:color w:val="auto"/>
          <w:sz w:val="32"/>
          <w:szCs w:val="32"/>
          <w:highlight w:val="none"/>
          <w:lang w:val="en-US" w:eastAsia="zh-CN"/>
        </w:rPr>
        <w:t>《关于村组（社区、网格）运行经费和FHJ驻村工作队为民办实事经费使用的工作提示》，符合</w:t>
      </w:r>
      <w:r>
        <w:rPr>
          <w:rFonts w:hint="default" w:ascii="Times New Roman" w:hAnsi="Times New Roman" w:eastAsia="仿宋_GB2312" w:cs="Times New Roman"/>
          <w:color w:val="auto"/>
          <w:sz w:val="32"/>
          <w:szCs w:val="32"/>
          <w:highlight w:val="none"/>
          <w:lang w:val="en-US" w:eastAsia="zh-CN"/>
        </w:rPr>
        <w:t>国家相关法律法规及发展政策，符合行业规划要求，围绕本年度工作重点和工作计划制定经费预算，属于公共财政支持范围。</w:t>
      </w:r>
      <w:r>
        <w:rPr>
          <w:rFonts w:hint="eastAsia" w:eastAsia="仿宋_GB2312" w:cs="Times New Roman"/>
          <w:color w:val="auto"/>
          <w:sz w:val="32"/>
          <w:szCs w:val="32"/>
          <w:highlight w:val="none"/>
          <w:lang w:val="en-US" w:eastAsia="zh-CN"/>
        </w:rPr>
        <w:t>支农专项-村级组织工作经费</w:t>
      </w:r>
      <w:r>
        <w:rPr>
          <w:rFonts w:hint="default" w:ascii="Times New Roman" w:hAnsi="Times New Roman" w:eastAsia="仿宋_GB2312" w:cs="Times New Roman"/>
          <w:color w:val="auto"/>
          <w:sz w:val="32"/>
          <w:szCs w:val="32"/>
          <w:highlight w:val="none"/>
          <w:lang w:val="en-US" w:eastAsia="zh-CN"/>
        </w:rPr>
        <w:t>与部门内部其他相关项目不重复。部门发展规划及职能文件等归档完整。</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此项权重分值为3分，得分为3分。</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（2）立项程序规范性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此项权重分值为3分，得分为3分。</w:t>
      </w:r>
    </w:p>
    <w:p>
      <w:pPr>
        <w:pStyle w:val="21"/>
        <w:keepNext w:val="0"/>
        <w:keepLines w:val="0"/>
        <w:pageBreakBefore w:val="0"/>
        <w:widowControl w:val="0"/>
        <w:shd w:val="clear"/>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Hans"/>
        </w:rPr>
        <w:t>年初结合实际工作内容</w:t>
      </w:r>
      <w:r>
        <w:rPr>
          <w:rFonts w:hint="default" w:ascii="Times New Roman" w:hAnsi="Times New Roman" w:eastAsia="仿宋_GB2312" w:cs="Times New Roman"/>
          <w:color w:val="auto"/>
          <w:sz w:val="32"/>
          <w:szCs w:val="32"/>
          <w:highlight w:val="none"/>
          <w:lang w:val="en-US" w:eastAsia="zh-CN"/>
        </w:rPr>
        <w:t>设定绩效目标</w:t>
      </w:r>
      <w:r>
        <w:rPr>
          <w:rFonts w:hint="default" w:ascii="Times New Roman" w:hAnsi="Times New Roman" w:eastAsia="仿宋_GB2312" w:cs="Times New Roman"/>
          <w:color w:val="auto"/>
          <w:sz w:val="32"/>
          <w:szCs w:val="32"/>
          <w:highlight w:val="none"/>
          <w:lang w:val="en-US" w:eastAsia="zh-Hans"/>
        </w:rPr>
        <w:t>，绩效目标</w:t>
      </w:r>
      <w:r>
        <w:rPr>
          <w:rFonts w:hint="default" w:ascii="Times New Roman" w:hAnsi="Times New Roman" w:eastAsia="仿宋_GB2312" w:cs="Times New Roman"/>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此项权重分值为3分，得分为3分。</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此项权重分值为3分，得分为3分。</w:t>
      </w:r>
    </w:p>
    <w:p>
      <w:pPr>
        <w:pStyle w:val="21"/>
        <w:keepNext w:val="0"/>
        <w:keepLines w:val="0"/>
        <w:pageBreakBefore w:val="0"/>
        <w:widowControl w:val="0"/>
        <w:shd w:val="clear"/>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eastAsia="zh-CN"/>
        </w:rPr>
        <w:t>支农专项-村级组织工作经费项目</w:t>
      </w:r>
      <w:r>
        <w:rPr>
          <w:rFonts w:hint="default" w:ascii="Times New Roman" w:hAnsi="Times New Roman" w:eastAsia="仿宋_GB2312" w:cs="Times New Roman"/>
          <w:color w:val="auto"/>
          <w:sz w:val="32"/>
          <w:szCs w:val="32"/>
          <w:highlight w:val="none"/>
          <w:lang w:eastAsia="zh-CN"/>
        </w:rPr>
        <w:t>的预算编制过程严谨、科学，充分体现了精细化管理的要求。预算编制之初，进行了全面的成本估算，</w:t>
      </w:r>
      <w:r>
        <w:rPr>
          <w:rFonts w:hint="eastAsia" w:eastAsia="仿宋_GB2312" w:cs="Times New Roman"/>
          <w:color w:val="auto"/>
          <w:sz w:val="32"/>
          <w:szCs w:val="32"/>
          <w:highlight w:val="none"/>
          <w:lang w:eastAsia="zh-CN"/>
        </w:rPr>
        <w:t>按管辖村数量，</w:t>
      </w:r>
      <w:r>
        <w:rPr>
          <w:rFonts w:hint="eastAsia" w:eastAsia="仿宋_GB2312" w:cs="Times New Roman"/>
          <w:color w:val="auto"/>
          <w:sz w:val="32"/>
          <w:szCs w:val="32"/>
          <w:highlight w:val="none"/>
          <w:lang w:val="en-US" w:eastAsia="zh-CN"/>
        </w:rPr>
        <w:t>2个大村每年12万元，2个中村每年11万元，1小村每年10万元，</w:t>
      </w:r>
      <w:r>
        <w:rPr>
          <w:rFonts w:hint="default" w:ascii="Times New Roman" w:hAnsi="Times New Roman" w:eastAsia="仿宋_GB2312" w:cs="Times New Roman"/>
          <w:color w:val="auto"/>
          <w:sz w:val="32"/>
          <w:szCs w:val="32"/>
          <w:highlight w:val="none"/>
          <w:lang w:eastAsia="zh-CN"/>
        </w:rPr>
        <w:t>确保项目所需的各项资源得到合理的预估与分配。同时，预算编制还紧密结合了项目的特点与实际情况，对不同阶段、不同任务的资金需求进行了详细的分析与计算。</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在预算编制过程中，</w:t>
      </w:r>
      <w:r>
        <w:rPr>
          <w:rFonts w:hint="default" w:ascii="Times New Roman" w:hAnsi="Times New Roman" w:eastAsia="仿宋_GB2312" w:cs="Times New Roman"/>
          <w:color w:val="auto"/>
          <w:sz w:val="32"/>
          <w:szCs w:val="32"/>
          <w:highlight w:val="none"/>
          <w:lang w:val="en-US" w:eastAsia="zh-CN"/>
        </w:rPr>
        <w:t>还</w:t>
      </w:r>
      <w:r>
        <w:rPr>
          <w:rFonts w:hint="default" w:ascii="Times New Roman" w:hAnsi="Times New Roman" w:eastAsia="仿宋_GB2312" w:cs="Times New Roman"/>
          <w:color w:val="auto"/>
          <w:sz w:val="32"/>
          <w:szCs w:val="32"/>
          <w:highlight w:val="none"/>
          <w:lang w:eastAsia="zh-CN"/>
        </w:rPr>
        <w:t>注重了成本控制与效益最大化的原则。通过</w:t>
      </w:r>
      <w:r>
        <w:rPr>
          <w:rFonts w:hint="eastAsia" w:eastAsia="仿宋_GB2312" w:cs="Times New Roman"/>
          <w:color w:val="auto"/>
          <w:sz w:val="32"/>
          <w:szCs w:val="32"/>
          <w:highlight w:val="none"/>
          <w:lang w:eastAsia="zh-CN"/>
        </w:rPr>
        <w:t>对</w:t>
      </w:r>
      <w:r>
        <w:rPr>
          <w:rFonts w:hint="eastAsia" w:eastAsia="仿宋_GB2312" w:cs="Times New Roman"/>
          <w:color w:val="000000" w:themeColor="text1"/>
          <w:sz w:val="32"/>
          <w:szCs w:val="32"/>
          <w:highlight w:val="none"/>
          <w:lang w:val="en-US" w:eastAsia="zh-CN"/>
          <w14:textFill>
            <w14:solidFill>
              <w14:schemeClr w14:val="tx1"/>
            </w14:solidFill>
          </w14:textFill>
        </w:rPr>
        <w:t>上和什力克</w:t>
      </w:r>
      <w:r>
        <w:rPr>
          <w:rFonts w:hint="eastAsia" w:eastAsia="仿宋_GB2312" w:cs="Times New Roman"/>
          <w:color w:val="000000" w:themeColor="text1"/>
          <w:sz w:val="32"/>
          <w:szCs w:val="32"/>
          <w:highlight w:val="none"/>
          <w:lang w:eastAsia="zh-CN"/>
          <w14:textFill>
            <w14:solidFill>
              <w14:schemeClr w14:val="tx1"/>
            </w14:solidFill>
          </w14:textFill>
        </w:rPr>
        <w:t>村进行</w:t>
      </w:r>
      <w:r>
        <w:rPr>
          <w:rFonts w:hint="default" w:ascii="Times New Roman" w:hAnsi="Times New Roman" w:eastAsia="仿宋_GB2312" w:cs="Times New Roman"/>
          <w:color w:val="auto"/>
          <w:sz w:val="32"/>
          <w:szCs w:val="32"/>
          <w:highlight w:val="none"/>
          <w:lang w:eastAsia="zh-CN"/>
        </w:rPr>
        <w:t>优化资源配置、提高资金使用效率等措施，确保项目在有限的预算内取得最大的经济效益与社会效益。此外，预算编制还充分考虑了风险因素，对</w:t>
      </w:r>
      <w:bookmarkStart w:id="0" w:name="OLE_LINK5"/>
      <w:r>
        <w:rPr>
          <w:rFonts w:hint="default" w:ascii="Times New Roman" w:hAnsi="Times New Roman" w:eastAsia="仿宋_GB2312" w:cs="Times New Roman"/>
          <w:color w:val="auto"/>
          <w:sz w:val="32"/>
          <w:szCs w:val="32"/>
          <w:highlight w:val="none"/>
          <w:lang w:eastAsia="zh-CN"/>
        </w:rPr>
        <w:t>可能出现的超支情况</w:t>
      </w:r>
      <w:bookmarkEnd w:id="0"/>
      <w:r>
        <w:rPr>
          <w:rFonts w:hint="default" w:ascii="Times New Roman" w:hAnsi="Times New Roman" w:eastAsia="仿宋_GB2312" w:cs="Times New Roman"/>
          <w:color w:val="auto"/>
          <w:sz w:val="32"/>
          <w:szCs w:val="32"/>
          <w:highlight w:val="none"/>
          <w:lang w:eastAsia="zh-CN"/>
        </w:rPr>
        <w:t>进行了</w:t>
      </w:r>
      <w:r>
        <w:rPr>
          <w:rFonts w:hint="eastAsia" w:eastAsia="仿宋_GB2312" w:cs="Times New Roman"/>
          <w:color w:val="auto"/>
          <w:sz w:val="32"/>
          <w:szCs w:val="32"/>
          <w:highlight w:val="none"/>
          <w:lang w:eastAsia="zh-CN"/>
        </w:rPr>
        <w:t>提前</w:t>
      </w:r>
      <w:r>
        <w:rPr>
          <w:rFonts w:hint="default" w:ascii="Times New Roman" w:hAnsi="Times New Roman" w:eastAsia="仿宋_GB2312" w:cs="Times New Roman"/>
          <w:color w:val="auto"/>
          <w:sz w:val="32"/>
          <w:szCs w:val="32"/>
          <w:highlight w:val="none"/>
          <w:lang w:eastAsia="zh-CN"/>
        </w:rPr>
        <w:t>规划，</w:t>
      </w:r>
      <w:r>
        <w:rPr>
          <w:rFonts w:hint="eastAsia" w:eastAsia="仿宋_GB2312" w:cs="Times New Roman"/>
          <w:color w:val="auto"/>
          <w:sz w:val="32"/>
          <w:szCs w:val="32"/>
          <w:highlight w:val="none"/>
          <w:lang w:eastAsia="zh-CN"/>
        </w:rPr>
        <w:t>在管辖</w:t>
      </w:r>
      <w:r>
        <w:rPr>
          <w:rFonts w:hint="eastAsia" w:eastAsia="仿宋_GB2312" w:cs="Times New Roman"/>
          <w:color w:val="auto"/>
          <w:sz w:val="32"/>
          <w:szCs w:val="32"/>
          <w:highlight w:val="none"/>
          <w:lang w:val="en-US" w:eastAsia="zh-CN"/>
        </w:rPr>
        <w:t>7个村间进行资源调配，</w:t>
      </w:r>
      <w:r>
        <w:rPr>
          <w:rFonts w:hint="default" w:ascii="Times New Roman" w:hAnsi="Times New Roman" w:eastAsia="仿宋_GB2312" w:cs="Times New Roman"/>
          <w:color w:val="auto"/>
          <w:sz w:val="32"/>
          <w:szCs w:val="32"/>
          <w:highlight w:val="none"/>
          <w:lang w:eastAsia="zh-CN"/>
        </w:rPr>
        <w:t>以</w:t>
      </w:r>
      <w:r>
        <w:rPr>
          <w:rFonts w:hint="eastAsia" w:eastAsia="仿宋_GB2312" w:cs="Times New Roman"/>
          <w:color w:val="auto"/>
          <w:sz w:val="32"/>
          <w:szCs w:val="32"/>
          <w:highlight w:val="none"/>
          <w:lang w:eastAsia="zh-CN"/>
        </w:rPr>
        <w:t>应对</w:t>
      </w:r>
      <w:r>
        <w:rPr>
          <w:rFonts w:hint="default" w:ascii="Times New Roman" w:hAnsi="Times New Roman" w:eastAsia="仿宋_GB2312" w:cs="Times New Roman"/>
          <w:color w:val="auto"/>
          <w:sz w:val="32"/>
          <w:szCs w:val="32"/>
          <w:highlight w:val="none"/>
          <w:lang w:eastAsia="zh-CN"/>
        </w:rPr>
        <w:t>可能出现的超支情况。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此项权重分值为4分，得分为4分。</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eastAsia="zh-CN"/>
        </w:rPr>
        <w:t>支农专项-村级组织工作经费项目</w:t>
      </w:r>
      <w:r>
        <w:rPr>
          <w:rFonts w:hint="default" w:ascii="Times New Roman" w:hAnsi="Times New Roman" w:eastAsia="仿宋_GB2312" w:cs="Times New Roman"/>
          <w:color w:val="auto"/>
          <w:sz w:val="32"/>
          <w:szCs w:val="32"/>
          <w:highlight w:val="none"/>
          <w:lang w:eastAsia="zh-CN"/>
        </w:rPr>
        <w:t>的资金分配</w:t>
      </w:r>
      <w:r>
        <w:rPr>
          <w:rFonts w:hint="eastAsia" w:eastAsia="仿宋_GB2312" w:cs="Times New Roman"/>
          <w:color w:val="auto"/>
          <w:sz w:val="32"/>
          <w:szCs w:val="32"/>
          <w:highlight w:val="none"/>
          <w:lang w:val="en-US" w:eastAsia="zh-CN"/>
        </w:rPr>
        <w:t>的合理性是保障项目顺利实施、实现预期绩效目标的关键</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具体而言，资金分配紧密结合了项目的特点与实际情况，对关键领域与重要环节给予了重点支持。同时，我们也注重了资金的均衡分配，避免了资源浪费与资金闲置</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资金分配的过程应当公开透明，确保资金的使用合理性。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w:t>
      </w:r>
      <w:r>
        <w:rPr>
          <w:rFonts w:hint="eastAsia" w:eastAsia="仿宋_GB2312" w:cs="Times New Roman"/>
          <w:color w:val="auto"/>
          <w:sz w:val="32"/>
          <w:szCs w:val="32"/>
          <w:highlight w:val="none"/>
          <w:lang w:eastAsia="zh-CN"/>
        </w:rPr>
        <w:t>支农专项-村级组织工作经费项目</w:t>
      </w:r>
      <w:r>
        <w:rPr>
          <w:rFonts w:hint="default" w:ascii="Times New Roman" w:hAnsi="Times New Roman" w:eastAsia="仿宋_GB2312" w:cs="Times New Roman"/>
          <w:color w:val="auto"/>
          <w:sz w:val="32"/>
          <w:szCs w:val="32"/>
          <w:highlight w:val="none"/>
          <w:lang w:eastAsia="zh-CN"/>
        </w:rPr>
        <w:t>的资金分配是合理的、科学的，既符合项目的实际情况，又满足了资金使用的效益最大化要求。资金分配的合理性为项目的成功实施提供了有力的保障，也为项目的绩效评价奠定了坚实的基础。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此项权重分值为4分，得分为4分。</w:t>
      </w:r>
    </w:p>
    <w:p>
      <w:pPr>
        <w:pStyle w:val="12"/>
        <w:pageBreakBefore w:val="0"/>
        <w:numPr>
          <w:ilvl w:val="0"/>
          <w:numId w:val="2"/>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w:t>
      </w:r>
      <w:r>
        <w:rPr>
          <w:rFonts w:hint="default" w:ascii="Times New Roman" w:hAnsi="Times New Roman" w:eastAsia="仿宋_GB2312" w:cs="Times New Roman"/>
          <w:color w:val="auto"/>
          <w:sz w:val="32"/>
          <w:szCs w:val="32"/>
          <w:highlight w:val="none"/>
          <w:lang w:val="en-US" w:eastAsia="zh-CN"/>
        </w:rPr>
        <w:t>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w:t>
      </w:r>
      <w:r>
        <w:rPr>
          <w:rFonts w:hint="default" w:ascii="Times New Roman" w:hAnsi="Times New Roman" w:eastAsia="仿宋_GB2312" w:cs="Times New Roman"/>
          <w:sz w:val="32"/>
          <w:szCs w:val="32"/>
          <w:highlight w:val="none"/>
          <w:lang w:val="en-US" w:eastAsia="zh-CN"/>
        </w:rPr>
        <w:t>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56</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此项权重分值为4分，得分为4分。</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56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此项权重分值为4分，得分为4分。</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eastAsia="zh-CN"/>
        </w:rPr>
        <w:t>支农专项-村级组织工作经费项目</w:t>
      </w:r>
      <w:r>
        <w:rPr>
          <w:rFonts w:hint="default" w:ascii="Times New Roman" w:hAnsi="Times New Roman" w:eastAsia="仿宋_GB2312" w:cs="Times New Roman"/>
          <w:color w:val="auto"/>
          <w:sz w:val="32"/>
          <w:szCs w:val="32"/>
          <w:highlight w:val="none"/>
          <w:lang w:eastAsia="zh-CN"/>
        </w:rPr>
        <w:t>的资金使用严格遵循了</w:t>
      </w:r>
      <w:r>
        <w:rPr>
          <w:rFonts w:hint="eastAsia" w:eastAsia="仿宋_GB2312" w:cs="Times New Roman"/>
          <w:color w:val="auto"/>
          <w:sz w:val="32"/>
          <w:szCs w:val="32"/>
          <w:highlight w:val="none"/>
          <w:lang w:val="en-US" w:eastAsia="zh-CN"/>
        </w:rPr>
        <w:t>《关于村组（社区、网格）运行经费和FHJ驻村工作队为民办实事经费使用的工作提示》和</w:t>
      </w:r>
      <w:r>
        <w:rPr>
          <w:rFonts w:hint="default" w:ascii="Times New Roman" w:hAnsi="Times New Roman" w:eastAsia="仿宋_GB2312" w:cs="Times New Roman"/>
          <w:color w:val="auto"/>
          <w:sz w:val="32"/>
          <w:szCs w:val="32"/>
          <w:highlight w:val="none"/>
          <w:lang w:eastAsia="zh-CN"/>
        </w:rPr>
        <w:t>国家相关法律法规与财务制度，确保了资金的合规性与安全性。在资金使用过程中，我们建立了</w:t>
      </w:r>
      <w:r>
        <w:rPr>
          <w:rFonts w:hint="eastAsia" w:eastAsia="仿宋_GB2312" w:cs="Times New Roman"/>
          <w:color w:val="auto"/>
          <w:sz w:val="32"/>
          <w:szCs w:val="32"/>
          <w:highlight w:val="none"/>
          <w:lang w:eastAsia="zh-CN"/>
        </w:rPr>
        <w:t>《和什力克乡财务管理制度》</w:t>
      </w:r>
      <w:r>
        <w:rPr>
          <w:rFonts w:hint="default" w:ascii="Times New Roman" w:hAnsi="Times New Roman" w:eastAsia="仿宋_GB2312" w:cs="Times New Roman"/>
          <w:color w:val="auto"/>
          <w:sz w:val="32"/>
          <w:szCs w:val="32"/>
          <w:highlight w:val="none"/>
          <w:lang w:eastAsia="zh-CN"/>
        </w:rPr>
        <w:t>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我们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w:t>
      </w:r>
      <w:r>
        <w:rPr>
          <w:rFonts w:hint="eastAsia" w:eastAsia="仿宋_GB2312" w:cs="Times New Roman"/>
          <w:color w:val="auto"/>
          <w:sz w:val="32"/>
          <w:szCs w:val="32"/>
          <w:highlight w:val="none"/>
          <w:lang w:eastAsia="zh-CN"/>
        </w:rPr>
        <w:t>支农专项-村级组织工作经费项目</w:t>
      </w:r>
      <w:r>
        <w:rPr>
          <w:rFonts w:hint="default" w:ascii="Times New Roman" w:hAnsi="Times New Roman" w:eastAsia="仿宋_GB2312" w:cs="Times New Roman"/>
          <w:color w:val="auto"/>
          <w:sz w:val="32"/>
          <w:szCs w:val="32"/>
          <w:highlight w:val="none"/>
          <w:lang w:eastAsia="zh-CN"/>
        </w:rPr>
        <w:t>的资金使用是合规的、安全的，既符合国家法律法规的要求，又满足了项目实施的实际需要。资金使用的合规性为项目的成功实施提供了有力的保障</w:t>
      </w:r>
      <w:r>
        <w:rPr>
          <w:rFonts w:hint="eastAsia"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此项权重分值为4分，得分为4分。</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eastAsia="zh-CN"/>
        </w:rPr>
        <w:t>支农专项-村级组织工作经费项目</w:t>
      </w:r>
      <w:r>
        <w:rPr>
          <w:rFonts w:hint="eastAsia" w:eastAsia="仿宋_GB2312" w:cs="Times New Roman"/>
          <w:color w:val="auto"/>
          <w:sz w:val="32"/>
          <w:szCs w:val="32"/>
          <w:highlight w:val="none"/>
          <w:lang w:val="en-US" w:eastAsia="zh-CN"/>
        </w:rPr>
        <w:t>制定了《和什力克乡人民政府</w:t>
      </w:r>
      <w:r>
        <w:rPr>
          <w:rFonts w:hint="default" w:ascii="Times New Roman" w:hAnsi="Times New Roman" w:eastAsia="仿宋_GB2312" w:cs="Times New Roman"/>
          <w:color w:val="auto"/>
          <w:sz w:val="32"/>
          <w:szCs w:val="32"/>
          <w:highlight w:val="none"/>
          <w:lang w:eastAsia="zh-CN"/>
        </w:rPr>
        <w:t>财务管理制度</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体系，为项目的成功实施提供了坚实的制度保障</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突出管理制度对项目的有序推进的支撑作用</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在制度设计上，我们注重了制度的科学性</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完整性、执行有效性</w:t>
      </w:r>
      <w:r>
        <w:rPr>
          <w:rFonts w:hint="default" w:ascii="Times New Roman" w:hAnsi="Times New Roman" w:eastAsia="仿宋_GB2312" w:cs="Times New Roman"/>
          <w:color w:val="auto"/>
          <w:sz w:val="32"/>
          <w:szCs w:val="32"/>
          <w:highlight w:val="none"/>
          <w:lang w:eastAsia="zh-CN"/>
        </w:rPr>
        <w:t>，确保制度能够切实指导项目的执行与管理。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此外，管理制度的健全性不仅体现在制度的完善上，还体现在制度的执行与监督上。我们建立了有效的监督机制与反馈机制，对项目的实施情况进行定期检查与评估，及时发现并纠正可能存在的问题。</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w:t>
      </w:r>
      <w:r>
        <w:rPr>
          <w:rFonts w:hint="eastAsia" w:eastAsia="仿宋_GB2312" w:cs="Times New Roman"/>
          <w:color w:val="auto"/>
          <w:sz w:val="32"/>
          <w:szCs w:val="32"/>
          <w:highlight w:val="none"/>
          <w:lang w:eastAsia="zh-CN"/>
        </w:rPr>
        <w:t>支农专项-村级组织工作经费项目</w:t>
      </w:r>
      <w:r>
        <w:rPr>
          <w:rFonts w:hint="default" w:ascii="Times New Roman" w:hAnsi="Times New Roman" w:eastAsia="仿宋_GB2312" w:cs="Times New Roman"/>
          <w:color w:val="auto"/>
          <w:sz w:val="32"/>
          <w:szCs w:val="32"/>
          <w:highlight w:val="none"/>
          <w:lang w:eastAsia="zh-CN"/>
        </w:rPr>
        <w:t>的管理制度是健全</w:t>
      </w:r>
      <w:r>
        <w:rPr>
          <w:rFonts w:hint="eastAsia" w:eastAsia="仿宋_GB2312" w:cs="Times New Roman"/>
          <w:color w:val="auto"/>
          <w:sz w:val="32"/>
          <w:szCs w:val="32"/>
          <w:highlight w:val="none"/>
          <w:lang w:val="en-US" w:eastAsia="zh-CN"/>
        </w:rPr>
        <w:t>性，体现管理制度在保障项目规范运行、防范风险、提升效能方面的重要作用，</w:t>
      </w:r>
      <w:r>
        <w:rPr>
          <w:rFonts w:hint="default" w:ascii="Times New Roman" w:hAnsi="Times New Roman" w:eastAsia="仿宋_GB2312" w:cs="Times New Roman"/>
          <w:color w:val="auto"/>
          <w:sz w:val="32"/>
          <w:szCs w:val="32"/>
          <w:highlight w:val="none"/>
          <w:lang w:eastAsia="zh-CN"/>
        </w:rPr>
        <w:t>也为项目的绩效评价奠定了坚实的基础。</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此项权重分值为4分，得分为4分。</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eastAsia="zh-CN"/>
        </w:rPr>
        <w:t>支农专项-村级组织工作经费项目</w:t>
      </w:r>
      <w:r>
        <w:rPr>
          <w:rFonts w:hint="default" w:ascii="Times New Roman" w:hAnsi="Times New Roman" w:eastAsia="仿宋_GB2312" w:cs="Times New Roman"/>
          <w:color w:val="auto"/>
          <w:sz w:val="32"/>
          <w:szCs w:val="32"/>
          <w:highlight w:val="none"/>
          <w:lang w:eastAsia="zh-CN"/>
        </w:rPr>
        <w:t>在执行过程中，管理制度得到了全面、有效的落实，为确保项目的顺利实施与目标实现提供了坚实的保障。项目</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在具体执行过程中，</w:t>
      </w:r>
      <w:r>
        <w:rPr>
          <w:rFonts w:hint="eastAsia" w:eastAsia="仿宋_GB2312" w:cs="Times New Roman"/>
          <w:color w:val="auto"/>
          <w:sz w:val="32"/>
          <w:szCs w:val="32"/>
          <w:highlight w:val="none"/>
          <w:lang w:val="en-US" w:eastAsia="zh-CN"/>
        </w:rPr>
        <w:t>选取能体现制度执行效果的量化指标，用数据直接反映执行率与质量。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w:t>
      </w:r>
      <w:r>
        <w:rPr>
          <w:rFonts w:hint="eastAsia" w:eastAsia="仿宋_GB2312" w:cs="Times New Roman"/>
          <w:color w:val="auto"/>
          <w:sz w:val="32"/>
          <w:szCs w:val="32"/>
          <w:highlight w:val="none"/>
          <w:lang w:eastAsia="zh-CN"/>
        </w:rPr>
        <w:t>支农专项-村级组织工作经费项目</w:t>
      </w:r>
      <w:r>
        <w:rPr>
          <w:rFonts w:hint="default" w:ascii="Times New Roman" w:hAnsi="Times New Roman" w:eastAsia="仿宋_GB2312" w:cs="Times New Roman"/>
          <w:color w:val="auto"/>
          <w:sz w:val="32"/>
          <w:szCs w:val="32"/>
          <w:highlight w:val="none"/>
          <w:lang w:eastAsia="zh-CN"/>
        </w:rPr>
        <w:t>的管理制度在执行过程中表现出了高度的有效性，既确保了项目的顺利进行，又实现了项目目标的有效达成。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此项权重分值为4分，得分为4分。</w:t>
      </w:r>
    </w:p>
    <w:p>
      <w:pPr>
        <w:pStyle w:val="14"/>
        <w:pageBreakBefore w:val="0"/>
        <w:numPr>
          <w:ilvl w:val="0"/>
          <w:numId w:val="2"/>
        </w:numPr>
        <w:kinsoku/>
        <w:wordWrap/>
        <w:overflowPunct/>
        <w:topLinePunct w:val="0"/>
        <w:autoSpaceDE/>
        <w:autoSpaceDN/>
        <w:bidi w:val="0"/>
        <w:adjustRightInd/>
        <w:snapToGrid/>
        <w:spacing w:line="560" w:lineRule="exact"/>
        <w:ind w:firstLine="643"/>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指标1：保障</w:t>
      </w:r>
      <w:r>
        <w:rPr>
          <w:rFonts w:hint="eastAsia" w:eastAsia="仿宋_GB2312" w:cs="Times New Roman"/>
          <w:sz w:val="32"/>
          <w:szCs w:val="32"/>
          <w:highlight w:val="none"/>
          <w:lang w:val="en-US" w:eastAsia="zh-CN"/>
        </w:rPr>
        <w:t>日常</w:t>
      </w:r>
      <w:r>
        <w:rPr>
          <w:rFonts w:hint="default" w:ascii="Times New Roman" w:hAnsi="Times New Roman" w:eastAsia="仿宋_GB2312" w:cs="Times New Roman"/>
          <w:sz w:val="32"/>
          <w:szCs w:val="32"/>
          <w:highlight w:val="none"/>
        </w:rPr>
        <w:t>运转大村数量 ，指标值：&gt;=</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个，实际完成值：</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个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：保障</w:t>
      </w:r>
      <w:r>
        <w:rPr>
          <w:rFonts w:hint="eastAsia" w:eastAsia="仿宋_GB2312" w:cs="Times New Roman"/>
          <w:sz w:val="32"/>
          <w:szCs w:val="32"/>
          <w:highlight w:val="none"/>
          <w:lang w:val="en-US" w:eastAsia="zh-CN"/>
        </w:rPr>
        <w:t>村民小组</w:t>
      </w:r>
      <w:r>
        <w:rPr>
          <w:rFonts w:hint="default" w:ascii="Times New Roman" w:hAnsi="Times New Roman" w:eastAsia="仿宋_GB2312" w:cs="Times New Roman"/>
          <w:sz w:val="32"/>
          <w:szCs w:val="32"/>
          <w:highlight w:val="none"/>
        </w:rPr>
        <w:t>数量 ，指标值：&gt;=</w:t>
      </w:r>
      <w:r>
        <w:rPr>
          <w:rFonts w:hint="eastAsia" w:eastAsia="仿宋_GB2312" w:cs="Times New Roman"/>
          <w:sz w:val="32"/>
          <w:szCs w:val="32"/>
          <w:highlight w:val="none"/>
          <w:lang w:val="en-US" w:eastAsia="zh-CN"/>
        </w:rPr>
        <w:t>27</w:t>
      </w:r>
      <w:r>
        <w:rPr>
          <w:rFonts w:hint="default" w:ascii="Times New Roman" w:hAnsi="Times New Roman" w:eastAsia="仿宋_GB2312" w:cs="Times New Roman"/>
          <w:sz w:val="32"/>
          <w:szCs w:val="32"/>
          <w:highlight w:val="none"/>
        </w:rPr>
        <w:t>个，实际完成值：</w:t>
      </w:r>
      <w:r>
        <w:rPr>
          <w:rFonts w:hint="eastAsia" w:eastAsia="仿宋_GB2312" w:cs="Times New Roman"/>
          <w:sz w:val="32"/>
          <w:szCs w:val="32"/>
          <w:highlight w:val="none"/>
          <w:lang w:val="en-US" w:eastAsia="zh-CN"/>
        </w:rPr>
        <w:t>27</w:t>
      </w:r>
      <w:r>
        <w:rPr>
          <w:rFonts w:hint="default" w:ascii="Times New Roman" w:hAnsi="Times New Roman" w:eastAsia="仿宋_GB2312" w:cs="Times New Roman"/>
          <w:sz w:val="32"/>
          <w:szCs w:val="32"/>
          <w:highlight w:val="none"/>
        </w:rPr>
        <w:t>个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保障各村日常运转率</w:t>
      </w:r>
      <w:r>
        <w:rPr>
          <w:rFonts w:hint="default" w:ascii="Times New Roman" w:hAnsi="Times New Roman" w:eastAsia="仿宋_GB2312" w:cs="Times New Roman"/>
          <w:sz w:val="32"/>
          <w:szCs w:val="32"/>
          <w:highlight w:val="none"/>
        </w:rPr>
        <w:t xml:space="preserve"> ，指标值：=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：资金支付及时率 ，指标值：=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：保障</w:t>
      </w:r>
      <w:r>
        <w:rPr>
          <w:rFonts w:hint="eastAsia" w:eastAsia="仿宋_GB2312" w:cs="Times New Roman"/>
          <w:sz w:val="32"/>
          <w:szCs w:val="32"/>
          <w:highlight w:val="none"/>
          <w:lang w:val="en-US" w:eastAsia="zh-CN"/>
        </w:rPr>
        <w:t>各村</w:t>
      </w:r>
      <w:r>
        <w:rPr>
          <w:rFonts w:hint="default" w:ascii="Times New Roman" w:hAnsi="Times New Roman" w:eastAsia="仿宋_GB2312" w:cs="Times New Roman"/>
          <w:sz w:val="32"/>
          <w:szCs w:val="32"/>
          <w:highlight w:val="none"/>
        </w:rPr>
        <w:t>正常运转</w:t>
      </w:r>
      <w:r>
        <w:rPr>
          <w:rFonts w:hint="eastAsia" w:eastAsia="仿宋_GB2312" w:cs="Times New Roman"/>
          <w:sz w:val="32"/>
          <w:szCs w:val="32"/>
          <w:highlight w:val="none"/>
          <w:lang w:val="en-US" w:eastAsia="zh-CN"/>
        </w:rPr>
        <w:t>经费</w:t>
      </w:r>
      <w:r>
        <w:rPr>
          <w:rFonts w:hint="default" w:ascii="Times New Roman" w:hAnsi="Times New Roman" w:eastAsia="仿宋_GB2312" w:cs="Times New Roman"/>
          <w:sz w:val="32"/>
          <w:szCs w:val="32"/>
          <w:highlight w:val="none"/>
        </w:rPr>
        <w:t>成本 ，指标值：&lt;=</w:t>
      </w:r>
      <w:r>
        <w:rPr>
          <w:rFonts w:hint="eastAsia" w:eastAsia="仿宋_GB2312" w:cs="Times New Roman"/>
          <w:sz w:val="32"/>
          <w:szCs w:val="32"/>
          <w:highlight w:val="none"/>
          <w:lang w:val="en-US" w:eastAsia="zh-CN"/>
        </w:rPr>
        <w:t>11.20</w:t>
      </w:r>
      <w:r>
        <w:rPr>
          <w:rFonts w:hint="default" w:ascii="Times New Roman" w:hAnsi="Times New Roman" w:eastAsia="仿宋_GB2312" w:cs="Times New Roman"/>
          <w:sz w:val="32"/>
          <w:szCs w:val="32"/>
          <w:highlight w:val="none"/>
        </w:rPr>
        <w:t>万元，实际完成值：</w:t>
      </w:r>
      <w:r>
        <w:rPr>
          <w:rFonts w:hint="eastAsia" w:eastAsia="仿宋_GB2312" w:cs="Times New Roman"/>
          <w:sz w:val="32"/>
          <w:szCs w:val="32"/>
          <w:highlight w:val="none"/>
          <w:lang w:val="en-US" w:eastAsia="zh-CN"/>
        </w:rPr>
        <w:t>11.20</w:t>
      </w:r>
      <w:r>
        <w:rPr>
          <w:rFonts w:hint="default" w:ascii="Times New Roman" w:hAnsi="Times New Roman" w:eastAsia="仿宋_GB2312" w:cs="Times New Roman"/>
          <w:sz w:val="32"/>
          <w:szCs w:val="32"/>
          <w:highlight w:val="none"/>
        </w:rPr>
        <w:t>万元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lang w:val="en-US" w:eastAsia="zh-CN"/>
        </w:rPr>
        <w:t>此项权重分值为40分，得分为40分。</w:t>
      </w:r>
    </w:p>
    <w:p>
      <w:pPr>
        <w:pStyle w:val="14"/>
        <w:pageBreakBefore w:val="0"/>
        <w:numPr>
          <w:ilvl w:val="0"/>
          <w:numId w:val="2"/>
        </w:numPr>
        <w:kinsoku/>
        <w:wordWrap/>
        <w:overflowPunct/>
        <w:topLinePunct w:val="0"/>
        <w:autoSpaceDE/>
        <w:autoSpaceDN/>
        <w:bidi w:val="0"/>
        <w:adjustRightInd/>
        <w:snapToGrid/>
        <w:spacing w:line="560" w:lineRule="exact"/>
        <w:ind w:firstLine="643"/>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pageBreakBefore w:val="0"/>
        <w:numPr>
          <w:ilvl w:val="0"/>
          <w:numId w:val="3"/>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提高单位服务水平</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维护社会秩序，</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&gt;=95%</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此项权重分值为10分，得分为20分。</w:t>
      </w:r>
    </w:p>
    <w:p>
      <w:pPr>
        <w:pageBreakBefore w:val="0"/>
        <w:numPr>
          <w:ilvl w:val="0"/>
          <w:numId w:val="3"/>
        </w:numPr>
        <w:shd w:val="clear"/>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受益</w:t>
      </w:r>
      <w:r>
        <w:rPr>
          <w:rFonts w:hint="default" w:ascii="Times New Roman" w:hAnsi="Times New Roman" w:eastAsia="仿宋_GB2312" w:cs="Times New Roman"/>
          <w:sz w:val="32"/>
          <w:szCs w:val="32"/>
          <w:highlight w:val="none"/>
        </w:rPr>
        <w:t>村民满意度，指标值：</w:t>
      </w:r>
      <w:r>
        <w:rPr>
          <w:rFonts w:hint="eastAsia" w:eastAsia="仿宋_GB2312" w:cs="Times New Roman"/>
          <w:sz w:val="32"/>
          <w:szCs w:val="32"/>
          <w:highlight w:val="none"/>
          <w:lang w:val="en-US" w:eastAsia="zh-CN"/>
        </w:rPr>
        <w:t>&gt;=95%</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lang w:val="en-US" w:eastAsia="zh-CN"/>
        </w:rPr>
        <w:t>此项权重分值为10分，得分为10分。</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ageBreakBefore w:val="0"/>
        <w:kinsoku/>
        <w:wordWrap/>
        <w:overflowPunct/>
        <w:topLinePunct w:val="0"/>
        <w:autoSpaceDE/>
        <w:autoSpaceDN/>
        <w:bidi w:val="0"/>
        <w:adjustRightInd/>
        <w:snapToGrid/>
        <w:spacing w:line="560" w:lineRule="exact"/>
        <w:ind w:firstLine="640" w:firstLineChars="200"/>
        <w:textAlignment w:val="auto"/>
        <w:rPr>
          <w:rStyle w:val="20"/>
          <w:rFonts w:hint="default" w:ascii="Times New Roman" w:hAnsi="Times New Roman" w:cs="Times New Roman"/>
          <w:color w:val="auto"/>
        </w:rPr>
      </w:pPr>
      <w:r>
        <w:rPr>
          <w:rFonts w:hint="eastAsia" w:ascii="Times New Roman" w:hAnsi="Times New Roman" w:eastAsia="仿宋_GB2312" w:cs="Times New Roman"/>
          <w:sz w:val="32"/>
          <w:szCs w:val="32"/>
          <w:lang w:eastAsia="zh-CN"/>
        </w:rPr>
        <w:t>支农专项</w:t>
      </w:r>
      <w:r>
        <w:rPr>
          <w:rFonts w:hint="eastAsia" w:ascii="Times New Roman" w:hAnsi="Times New Roman" w:eastAsia="仿宋_GB2312" w:cs="Times New Roman"/>
          <w:sz w:val="32"/>
          <w:szCs w:val="32"/>
          <w:lang w:val="en-US" w:eastAsia="zh-CN"/>
        </w:rPr>
        <w:t>-村级组织工作经费</w:t>
      </w:r>
      <w:r>
        <w:rPr>
          <w:rFonts w:hint="default" w:ascii="Times New Roman" w:hAnsi="Times New Roman" w:eastAsia="仿宋_GB2312" w:cs="Times New Roman"/>
          <w:sz w:val="32"/>
          <w:szCs w:val="32"/>
        </w:rPr>
        <w:t>项目项目年初预算</w:t>
      </w:r>
      <w:r>
        <w:rPr>
          <w:rFonts w:hint="eastAsia" w:eastAsia="仿宋_GB2312" w:cs="Times New Roman"/>
          <w:sz w:val="32"/>
          <w:szCs w:val="32"/>
          <w:lang w:val="en-US" w:eastAsia="zh-CN"/>
        </w:rPr>
        <w:t>56</w:t>
      </w:r>
      <w:r>
        <w:rPr>
          <w:rFonts w:hint="default" w:ascii="Times New Roman" w:hAnsi="Times New Roman" w:eastAsia="仿宋_GB2312" w:cs="Times New Roman"/>
          <w:sz w:val="32"/>
          <w:szCs w:val="32"/>
        </w:rPr>
        <w:t>万元，全年预算</w:t>
      </w:r>
      <w:r>
        <w:rPr>
          <w:rFonts w:hint="eastAsia" w:eastAsia="仿宋_GB2312" w:cs="Times New Roman"/>
          <w:sz w:val="32"/>
          <w:szCs w:val="32"/>
          <w:lang w:val="en-US" w:eastAsia="zh-CN"/>
        </w:rPr>
        <w:t>56</w:t>
      </w:r>
      <w:r>
        <w:rPr>
          <w:rFonts w:hint="default" w:ascii="Times New Roman" w:hAnsi="Times New Roman" w:eastAsia="仿宋_GB2312" w:cs="Times New Roman"/>
          <w:sz w:val="32"/>
          <w:szCs w:val="32"/>
        </w:rPr>
        <w:t>万元，实际支出</w:t>
      </w:r>
      <w:r>
        <w:rPr>
          <w:rFonts w:hint="eastAsia" w:eastAsia="仿宋_GB2312" w:cs="Times New Roman"/>
          <w:sz w:val="32"/>
          <w:szCs w:val="32"/>
          <w:lang w:val="en-US" w:eastAsia="zh-CN"/>
        </w:rPr>
        <w:t>56</w:t>
      </w:r>
      <w:r>
        <w:rPr>
          <w:rFonts w:hint="default" w:ascii="Times New Roman" w:hAnsi="Times New Roman" w:eastAsia="仿宋_GB2312" w:cs="Times New Roman"/>
          <w:sz w:val="32"/>
          <w:szCs w:val="32"/>
        </w:rPr>
        <w:t>万元，预算执行率为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%，项目绩效指标总体完成率为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总体</w:t>
      </w:r>
      <w:r>
        <w:rPr>
          <w:rFonts w:hint="default" w:ascii="Times New Roman" w:hAnsi="Times New Roman" w:eastAsia="仿宋_GB2312" w:cs="Times New Roman"/>
          <w:sz w:val="32"/>
          <w:szCs w:val="32"/>
        </w:rPr>
        <w:t>偏差率为</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eastAsia="仿宋_GB2312" w:cs="Times New Roman"/>
          <w:sz w:val="32"/>
          <w:szCs w:val="32"/>
          <w:lang w:eastAsia="zh-CN"/>
        </w:rPr>
        <w:t>，</w:t>
      </w:r>
      <w:r>
        <w:rPr>
          <w:rFonts w:hint="eastAsia" w:eastAsia="仿宋_GB2312" w:cs="Times New Roman"/>
          <w:sz w:val="32"/>
          <w:szCs w:val="32"/>
          <w:lang w:val="en-US" w:eastAsia="zh-CN"/>
        </w:rPr>
        <w:t xml:space="preserve">无偏差 </w:t>
      </w:r>
      <w:r>
        <w:rPr>
          <w:rFonts w:hint="eastAsia"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pPr>
        <w:pageBreakBefore w:val="0"/>
        <w:kinsoku/>
        <w:wordWrap/>
        <w:overflowPunct/>
        <w:topLinePunct w:val="0"/>
        <w:autoSpaceDE/>
        <w:autoSpaceDN/>
        <w:bidi w:val="0"/>
        <w:adjustRightInd/>
        <w:snapToGrid/>
        <w:spacing w:line="560" w:lineRule="exact"/>
        <w:ind w:firstLine="627" w:firstLineChars="200"/>
        <w:textAlignment w:val="auto"/>
        <w:rPr>
          <w:rFonts w:hint="eastAsia" w:ascii="Times New Roman" w:hAnsi="Times New Roman" w:eastAsia="楷体" w:cs="Times New Roman"/>
          <w:b/>
          <w:spacing w:val="-4"/>
          <w:sz w:val="32"/>
          <w:szCs w:val="32"/>
          <w:lang w:eastAsia="zh-CN"/>
        </w:rPr>
      </w:pPr>
      <w:r>
        <w:rPr>
          <w:rFonts w:hint="default" w:ascii="Times New Roman" w:hAnsi="Times New Roman" w:eastAsia="楷体" w:cs="Times New Roman"/>
          <w:b/>
          <w:spacing w:val="-4"/>
          <w:sz w:val="32"/>
          <w:szCs w:val="32"/>
        </w:rPr>
        <w:t>（一）主要经验及做法</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在项目资金使用过程中，严格落实把关，再三审核。</w:t>
      </w:r>
      <w:r>
        <w:rPr>
          <w:rFonts w:hint="eastAsia" w:eastAsia="仿宋_GB2312" w:cs="Times New Roman"/>
          <w:sz w:val="32"/>
          <w:szCs w:val="32"/>
          <w:highlight w:val="none"/>
          <w:lang w:val="en-US" w:eastAsia="zh-CN"/>
        </w:rPr>
        <w:t>同时</w:t>
      </w:r>
      <w:r>
        <w:rPr>
          <w:rFonts w:hint="default" w:ascii="Times New Roman" w:hAnsi="Times New Roman" w:eastAsia="仿宋_GB2312" w:cs="Times New Roman"/>
          <w:sz w:val="32"/>
          <w:szCs w:val="32"/>
          <w:highlight w:val="none"/>
        </w:rPr>
        <w:t>做好监督检查</w:t>
      </w:r>
      <w:r>
        <w:rPr>
          <w:rFonts w:hint="eastAsia" w:eastAsia="仿宋_GB2312" w:cs="Times New Roman"/>
          <w:sz w:val="32"/>
          <w:szCs w:val="32"/>
          <w:highlight w:val="none"/>
          <w:lang w:val="en-US" w:eastAsia="zh-CN"/>
        </w:rPr>
        <w:t>工作</w:t>
      </w:r>
      <w:r>
        <w:rPr>
          <w:rFonts w:hint="default" w:ascii="Times New Roman" w:hAnsi="Times New Roman" w:eastAsia="仿宋_GB2312" w:cs="Times New Roman"/>
          <w:sz w:val="32"/>
          <w:szCs w:val="32"/>
          <w:highlight w:val="none"/>
        </w:rPr>
        <w:t>，严格按照项目管理规范进行，按照项目资金使用范围做好审核工作，让项目资金落于实处。</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在项目完成后，</w:t>
      </w:r>
      <w:r>
        <w:rPr>
          <w:rFonts w:hint="eastAsia" w:eastAsia="仿宋_GB2312" w:cs="Times New Roman"/>
          <w:sz w:val="32"/>
          <w:szCs w:val="32"/>
          <w:highlight w:val="none"/>
          <w:lang w:val="en-US" w:eastAsia="zh-CN"/>
        </w:rPr>
        <w:t>通过利益相关深度，公众参与评价，通过问卷满意度调查，盛情邀请退休人员进行评价填写，将群众的意见纳入评价结果，</w:t>
      </w:r>
      <w:r>
        <w:rPr>
          <w:rFonts w:hint="default" w:ascii="Times New Roman" w:hAnsi="Times New Roman" w:eastAsia="仿宋_GB2312" w:cs="Times New Roman"/>
          <w:sz w:val="32"/>
          <w:szCs w:val="32"/>
          <w:highlight w:val="none"/>
        </w:rPr>
        <w:t>做好调查工作。</w:t>
      </w:r>
    </w:p>
    <w:p>
      <w:pPr>
        <w:keepNext/>
        <w:keepLines/>
        <w:pageBreakBefore w:val="0"/>
        <w:numPr>
          <w:ilvl w:val="0"/>
          <w:numId w:val="4"/>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基层财务工作基础还需进一步夯实，财务工作人员少，工作压力大，财务工作水平仍需要进一步提高。面对这些问题我们将认真分析，切实加以解决，进一步完善财务制度，规范财经纪律，严格控制非生产性开支，进一步提高项目支出水平。</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eastAsia" w:eastAsia="黑体" w:cs="Times New Roman"/>
          <w:sz w:val="32"/>
          <w:szCs w:val="32"/>
          <w:lang w:val="en-US" w:eastAsia="zh-CN"/>
        </w:rPr>
        <w:t>、</w:t>
      </w:r>
      <w:r>
        <w:rPr>
          <w:rFonts w:hint="default" w:ascii="Times New Roman" w:hAnsi="Times New Roman" w:eastAsia="黑体" w:cs="Times New Roman"/>
          <w:sz w:val="32"/>
          <w:szCs w:val="32"/>
        </w:rPr>
        <w:t>有关建议</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多进行有关绩效管理工作方面的培训。积极组织第三方开展绩效管理工作培训，进一步夯实业务基础，提高我单位绩效人员水平。规范项目建设的程序严格执行资金管理办法和财政资金管理制度，严格按照项目实施方案稳步推进工作，根据自己项目的特点进行总结。</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r>
        <w:rPr>
          <w:rFonts w:hint="eastAsia" w:eastAsia="黑体" w:cs="Times New Roman"/>
          <w:sz w:val="32"/>
          <w:szCs w:val="32"/>
          <w:lang w:val="en-US" w:eastAsia="zh-CN"/>
        </w:rPr>
        <w:t>七、</w:t>
      </w:r>
      <w:bookmarkStart w:id="4" w:name="_GoBack"/>
      <w:bookmarkEnd w:id="4"/>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pPr>
        <w:pStyle w:val="15"/>
        <w:pageBreakBefore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5"/>
        <w:pageBreakBefore w:val="0"/>
        <w:kinsoku/>
        <w:wordWrap/>
        <w:overflowPunct/>
        <w:topLinePunct w:val="0"/>
        <w:autoSpaceDE/>
        <w:autoSpaceDN/>
        <w:bidi w:val="0"/>
        <w:adjustRightInd/>
        <w:snapToGrid/>
        <w:spacing w:after="0" w:line="560" w:lineRule="exact"/>
        <w:ind w:left="0" w:leftChars="0" w:firstLine="640"/>
        <w:textAlignment w:val="auto"/>
        <w:rPr>
          <w:rFonts w:hint="eastAsia" w:ascii="Times New Roman" w:hAnsi="Times New Roman" w:eastAsia="仿宋_GB2312" w:cs="Times New Roman"/>
          <w:sz w:val="32"/>
          <w:szCs w:val="32"/>
          <w:lang w:eastAsia="zh-CN"/>
        </w:rPr>
      </w:pPr>
    </w:p>
    <w:p>
      <w:pPr>
        <w:pStyle w:val="15"/>
        <w:pageBreakBefore w:val="0"/>
        <w:kinsoku/>
        <w:wordWrap/>
        <w:overflowPunct/>
        <w:topLinePunct w:val="0"/>
        <w:autoSpaceDE/>
        <w:autoSpaceDN/>
        <w:bidi w:val="0"/>
        <w:adjustRightInd/>
        <w:snapToGrid/>
        <w:spacing w:after="0" w:line="560" w:lineRule="exact"/>
        <w:ind w:left="0" w:leftChars="0" w:firstLine="640"/>
        <w:textAlignment w:val="auto"/>
        <w:rPr>
          <w:rFonts w:hint="eastAsia" w:ascii="Times New Roman" w:hAnsi="Times New Roman" w:eastAsia="仿宋_GB2312" w:cs="Times New Roman"/>
          <w:sz w:val="32"/>
          <w:szCs w:val="32"/>
          <w:lang w:eastAsia="zh-CN"/>
        </w:rPr>
      </w:pPr>
    </w:p>
    <w:p>
      <w:pPr>
        <w:pStyle w:val="15"/>
        <w:pageBreakBefore w:val="0"/>
        <w:kinsoku/>
        <w:wordWrap/>
        <w:overflowPunct/>
        <w:topLinePunct w:val="0"/>
        <w:autoSpaceDE/>
        <w:autoSpaceDN/>
        <w:bidi w:val="0"/>
        <w:adjustRightInd/>
        <w:snapToGrid/>
        <w:spacing w:after="0" w:line="560" w:lineRule="exact"/>
        <w:ind w:left="0" w:leftChars="0" w:firstLine="640"/>
        <w:textAlignment w:val="auto"/>
        <w:rPr>
          <w:rFonts w:hint="eastAsia" w:ascii="Times New Roman" w:hAnsi="Times New Roman" w:eastAsia="仿宋_GB2312" w:cs="Times New Roman"/>
          <w:sz w:val="32"/>
          <w:szCs w:val="32"/>
          <w:lang w:eastAsia="zh-CN"/>
        </w:rPr>
      </w:pPr>
    </w:p>
    <w:p>
      <w:pPr>
        <w:pStyle w:val="15"/>
        <w:pageBreakBefore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sz w:val="32"/>
          <w:szCs w:val="32"/>
        </w:rPr>
      </w:pPr>
    </w:p>
    <w:p>
      <w:pPr>
        <w:pStyle w:val="15"/>
        <w:pageBreakBefore w:val="0"/>
        <w:kinsoku/>
        <w:wordWrap/>
        <w:overflowPunct/>
        <w:topLinePunct w:val="0"/>
        <w:autoSpaceDE/>
        <w:autoSpaceDN/>
        <w:bidi w:val="0"/>
        <w:adjustRightInd/>
        <w:snapToGrid/>
        <w:spacing w:after="0" w:line="560" w:lineRule="exact"/>
        <w:ind w:left="0" w:leftChars="0" w:firstLine="0" w:firstLineChars="0"/>
        <w:textAlignment w:val="auto"/>
        <w:rPr>
          <w:rFonts w:hint="default" w:ascii="Times New Roman" w:hAnsi="Times New Roman" w:eastAsia="仿宋_GB2312" w:cs="Times New Roman"/>
          <w:sz w:val="32"/>
          <w:szCs w:val="32"/>
        </w:rPr>
      </w:pP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pPr>
        <w:pageBreakBefore w:val="0"/>
        <w:kinsoku/>
        <w:wordWrap/>
        <w:overflowPunct/>
        <w:topLinePunct w:val="0"/>
        <w:autoSpaceDE/>
        <w:autoSpaceDN/>
        <w:bidi w:val="0"/>
        <w:adjustRightInd/>
        <w:snapToGrid/>
        <w:spacing w:line="560" w:lineRule="exact"/>
        <w:textAlignment w:val="auto"/>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1"/>
        <w:pageBreakBefore w:val="0"/>
        <w:kinsoku/>
        <w:wordWrap/>
        <w:overflowPunct/>
        <w:topLinePunct w:val="0"/>
        <w:autoSpaceDE/>
        <w:autoSpaceDN/>
        <w:bidi w:val="0"/>
        <w:adjustRightInd/>
        <w:snapToGrid/>
        <w:spacing w:line="560" w:lineRule="exact"/>
        <w:ind w:firstLine="562"/>
        <w:jc w:val="center"/>
        <w:textAlignment w:val="auto"/>
        <w:rPr>
          <w:rFonts w:hint="eastAsia" w:ascii="仿宋_GB2312" w:hAnsi="仿宋_GB2312" w:eastAsia="仿宋_GB2312" w:cs="仿宋_GB2312"/>
          <w:sz w:val="28"/>
          <w:szCs w:val="40"/>
          <w:highlight w:val="none"/>
        </w:rPr>
      </w:pPr>
      <w:bookmarkStart w:id="2" w:name="_Toc30064_WPSOffice_Level1"/>
      <w:bookmarkStart w:id="3" w:name="_Toc26499_WPSOffice_Level2"/>
      <w:r>
        <w:rPr>
          <w:rFonts w:hint="eastAsia" w:ascii="仿宋_GB2312" w:hAnsi="仿宋_GB2312" w:eastAsia="仿宋_GB2312" w:cs="仿宋_GB2312"/>
          <w:b/>
          <w:bCs/>
          <w:sz w:val="28"/>
          <w:szCs w:val="40"/>
          <w:highlight w:val="none"/>
          <w:lang w:eastAsia="zh-CN"/>
        </w:rPr>
        <w:t>支农专项</w:t>
      </w:r>
      <w:r>
        <w:rPr>
          <w:rFonts w:hint="eastAsia" w:ascii="仿宋_GB2312" w:hAnsi="仿宋_GB2312" w:eastAsia="仿宋_GB2312" w:cs="仿宋_GB2312"/>
          <w:b/>
          <w:bCs/>
          <w:sz w:val="28"/>
          <w:szCs w:val="40"/>
          <w:highlight w:val="none"/>
          <w:lang w:val="en-US" w:eastAsia="zh-CN"/>
        </w:rPr>
        <w:t>-村级组织工作经费</w:t>
      </w:r>
      <w:r>
        <w:rPr>
          <w:rFonts w:hint="default"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highlight w:val="none"/>
        </w:rPr>
        <w:t>项目绩效评价指标体系及综合评分表</w:t>
      </w:r>
      <w:bookmarkEnd w:id="2"/>
      <w:bookmarkEnd w:id="3"/>
    </w:p>
    <w:tbl>
      <w:tblPr>
        <w:tblStyle w:val="16"/>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394"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680" w:type="pct"/>
            <w:shd w:val="clear" w:color="auto"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2055" w:type="pct"/>
            <w:shd w:val="clear" w:color="auto" w:fill="FFFFFF"/>
            <w:vAlign w:val="center"/>
          </w:tcPr>
          <w:p>
            <w:pPr>
              <w:pageBreakBefore w:val="0"/>
              <w:widowControl/>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680" w:type="pct"/>
            <w:shd w:val="clear" w:color="auto"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2055" w:type="pct"/>
            <w:shd w:val="clear" w:color="auto" w:fill="FFFFFF"/>
            <w:vAlign w:val="center"/>
          </w:tcPr>
          <w:p>
            <w:pPr>
              <w:pageBreakBefore w:val="0"/>
              <w:widowControl/>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2055"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pPr>
              <w:pageBreakBefore w:val="0"/>
              <w:widowControl/>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680"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2055"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680" w:type="pct"/>
            <w:shd w:val="clear" w:color="auto"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auto"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394"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680"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2055"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680" w:type="pct"/>
            <w:shd w:val="clear" w:color="auto"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2055" w:type="pct"/>
            <w:shd w:val="clear" w:color="auto"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076" w:hRule="atLeast"/>
          <w:jc w:val="center"/>
        </w:trPr>
        <w:tc>
          <w:tcPr>
            <w:tcW w:w="396" w:type="pct"/>
            <w:vMerge w:val="continue"/>
            <w:shd w:val="clear" w:color="auto" w:fill="FFFFF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680"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2055"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680"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2055"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680"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2055"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394"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680"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2055"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680"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2055"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680"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2055"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680"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2055"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394"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680" w:type="pct"/>
            <w:shd w:val="clear" w:color="auto" w:fill="FFFFFF"/>
            <w:vAlign w:val="center"/>
          </w:tcPr>
          <w:p>
            <w:pPr>
              <w:pageBreakBefore w:val="0"/>
              <w:widowControl/>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2055" w:type="pct"/>
            <w:shd w:val="clear" w:color="auto"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51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2055" w:type="pct"/>
            <w:shd w:val="clear" w:color="000000" w:fill="FFFFFF"/>
            <w:vAlign w:val="center"/>
          </w:tcPr>
          <w:p>
            <w:pPr>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512"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sectPr>
          <w:pgSz w:w="16838" w:h="11906" w:orient="landscape"/>
          <w:pgMar w:top="1800" w:right="1440" w:bottom="1558" w:left="1440" w:header="851" w:footer="992" w:gutter="0"/>
          <w:cols w:space="425" w:num="1"/>
          <w:docGrid w:type="lines" w:linePitch="312" w:charSpace="0"/>
        </w:sectPr>
      </w:pPr>
    </w:p>
    <w:p>
      <w:pPr>
        <w:pStyle w:val="3"/>
        <w:pageBreakBefore w:val="0"/>
        <w:kinsoku/>
        <w:wordWrap/>
        <w:overflowPunct/>
        <w:topLinePunct w:val="0"/>
        <w:autoSpaceDE/>
        <w:autoSpaceDN/>
        <w:bidi w:val="0"/>
        <w:adjustRightInd/>
        <w:snapToGrid/>
        <w:spacing w:line="560" w:lineRule="exact"/>
        <w:ind w:left="840" w:leftChars="200" w:right="716" w:rightChars="341" w:hanging="420" w:hangingChars="161"/>
        <w:textAlignment w:val="auto"/>
        <w:rPr>
          <w:rFonts w:hint="default"/>
        </w:rPr>
      </w:pPr>
      <w:r>
        <w:drawing>
          <wp:inline distT="0" distB="0" distL="114300" distR="114300">
            <wp:extent cx="8006715" cy="5834380"/>
            <wp:effectExtent l="0" t="0" r="13335"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8006715" cy="5834380"/>
                    </a:xfrm>
                    <a:prstGeom prst="rect">
                      <a:avLst/>
                    </a:prstGeom>
                    <a:noFill/>
                    <a:ln>
                      <a:noFill/>
                    </a:ln>
                  </pic:spPr>
                </pic:pic>
              </a:graphicData>
            </a:graphic>
          </wp:inline>
        </w:drawing>
      </w: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9"/>
          <w:jc w:val="center"/>
        </w:pPr>
        <w:r>
          <w:fldChar w:fldCharType="begin"/>
        </w:r>
        <w:r>
          <w:instrText xml:space="preserve">PAGE   \* MERGEFORMAT</w:instrText>
        </w:r>
        <w:r>
          <w:fldChar w:fldCharType="separate"/>
        </w:r>
        <w:r>
          <w:rPr>
            <w:lang w:val="zh-CN"/>
          </w:rPr>
          <w:t>13</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A60CD5"/>
    <w:multiLevelType w:val="singleLevel"/>
    <w:tmpl w:val="93A60CD5"/>
    <w:lvl w:ilvl="0" w:tentative="0">
      <w:start w:val="1"/>
      <w:numFmt w:val="decimal"/>
      <w:suff w:val="nothing"/>
      <w:lvlText w:val="（%1）"/>
      <w:lvlJc w:val="left"/>
      <w:pPr>
        <w:ind w:left="-10"/>
      </w:pPr>
    </w:lvl>
  </w:abstractNum>
  <w:abstractNum w:abstractNumId="1">
    <w:nsid w:val="97D7F9AE"/>
    <w:multiLevelType w:val="singleLevel"/>
    <w:tmpl w:val="97D7F9AE"/>
    <w:lvl w:ilvl="0" w:tentative="0">
      <w:start w:val="1"/>
      <w:numFmt w:val="decimal"/>
      <w:lvlText w:val="%1."/>
      <w:lvlJc w:val="left"/>
      <w:pPr>
        <w:tabs>
          <w:tab w:val="left" w:pos="312"/>
        </w:tabs>
      </w:pPr>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0MWZjNjQ5YmNlOTY1OTZmNGJlNjM0OWY5ZWQwNjMifQ=="/>
  </w:docVars>
  <w:rsids>
    <w:rsidRoot w:val="FF6C4049"/>
    <w:rsid w:val="001C7FF5"/>
    <w:rsid w:val="00591E23"/>
    <w:rsid w:val="006F7242"/>
    <w:rsid w:val="007B168A"/>
    <w:rsid w:val="008B2CFE"/>
    <w:rsid w:val="008D138C"/>
    <w:rsid w:val="00A87F74"/>
    <w:rsid w:val="00F26FF6"/>
    <w:rsid w:val="011B0745"/>
    <w:rsid w:val="013E4434"/>
    <w:rsid w:val="015772A4"/>
    <w:rsid w:val="0159126E"/>
    <w:rsid w:val="01610122"/>
    <w:rsid w:val="016749CD"/>
    <w:rsid w:val="01875DDB"/>
    <w:rsid w:val="01DD3C4D"/>
    <w:rsid w:val="02510197"/>
    <w:rsid w:val="029B3DDC"/>
    <w:rsid w:val="02D23086"/>
    <w:rsid w:val="03AA7B5F"/>
    <w:rsid w:val="03C76963"/>
    <w:rsid w:val="03EC461B"/>
    <w:rsid w:val="042E5A91"/>
    <w:rsid w:val="04542A71"/>
    <w:rsid w:val="0461077D"/>
    <w:rsid w:val="057E1C87"/>
    <w:rsid w:val="05C3717F"/>
    <w:rsid w:val="06055520"/>
    <w:rsid w:val="060A0BB9"/>
    <w:rsid w:val="060D1576"/>
    <w:rsid w:val="065D535C"/>
    <w:rsid w:val="071579E5"/>
    <w:rsid w:val="0729286A"/>
    <w:rsid w:val="07397B77"/>
    <w:rsid w:val="07524795"/>
    <w:rsid w:val="0797664C"/>
    <w:rsid w:val="08381BDD"/>
    <w:rsid w:val="08741DFB"/>
    <w:rsid w:val="088D5040"/>
    <w:rsid w:val="095011A8"/>
    <w:rsid w:val="09CE391E"/>
    <w:rsid w:val="09E0252C"/>
    <w:rsid w:val="0AD007F3"/>
    <w:rsid w:val="0B494416"/>
    <w:rsid w:val="0B666A61"/>
    <w:rsid w:val="0B7F2452"/>
    <w:rsid w:val="0BF422BF"/>
    <w:rsid w:val="0C0B7609"/>
    <w:rsid w:val="0C3B1C9C"/>
    <w:rsid w:val="0CC47EE3"/>
    <w:rsid w:val="0CCC323C"/>
    <w:rsid w:val="0CCF4ADA"/>
    <w:rsid w:val="0CE40585"/>
    <w:rsid w:val="0D330BC5"/>
    <w:rsid w:val="0D444B80"/>
    <w:rsid w:val="0D95362E"/>
    <w:rsid w:val="0DBF68FD"/>
    <w:rsid w:val="0DD8218E"/>
    <w:rsid w:val="0E3C619F"/>
    <w:rsid w:val="0E4451A9"/>
    <w:rsid w:val="0E5F0CB7"/>
    <w:rsid w:val="0ED91C40"/>
    <w:rsid w:val="0F264E85"/>
    <w:rsid w:val="0F4E1CE6"/>
    <w:rsid w:val="0FD22917"/>
    <w:rsid w:val="10075BFE"/>
    <w:rsid w:val="100F38EC"/>
    <w:rsid w:val="10725EA8"/>
    <w:rsid w:val="10A45151"/>
    <w:rsid w:val="10AF0EAA"/>
    <w:rsid w:val="10C34956"/>
    <w:rsid w:val="11170296"/>
    <w:rsid w:val="115C39A7"/>
    <w:rsid w:val="11A26319"/>
    <w:rsid w:val="11C5312D"/>
    <w:rsid w:val="11F12DFD"/>
    <w:rsid w:val="120E1C01"/>
    <w:rsid w:val="12435D4E"/>
    <w:rsid w:val="12546907"/>
    <w:rsid w:val="126F6B43"/>
    <w:rsid w:val="1272218F"/>
    <w:rsid w:val="127C4DBC"/>
    <w:rsid w:val="129C720C"/>
    <w:rsid w:val="12C66037"/>
    <w:rsid w:val="12CD1ABC"/>
    <w:rsid w:val="12CF313E"/>
    <w:rsid w:val="12D90460"/>
    <w:rsid w:val="12E43A7C"/>
    <w:rsid w:val="12F26E2C"/>
    <w:rsid w:val="130641CC"/>
    <w:rsid w:val="13280AA0"/>
    <w:rsid w:val="13471461"/>
    <w:rsid w:val="13B90F01"/>
    <w:rsid w:val="147D695C"/>
    <w:rsid w:val="14DA401C"/>
    <w:rsid w:val="14F66817"/>
    <w:rsid w:val="153C6A85"/>
    <w:rsid w:val="155E4C4D"/>
    <w:rsid w:val="15613208"/>
    <w:rsid w:val="15896A68"/>
    <w:rsid w:val="15AF54A9"/>
    <w:rsid w:val="15BB3E4D"/>
    <w:rsid w:val="15D2752D"/>
    <w:rsid w:val="15FA4976"/>
    <w:rsid w:val="16313A49"/>
    <w:rsid w:val="16854873"/>
    <w:rsid w:val="169923E1"/>
    <w:rsid w:val="16B234A2"/>
    <w:rsid w:val="16BD0602"/>
    <w:rsid w:val="17190E2C"/>
    <w:rsid w:val="177C760C"/>
    <w:rsid w:val="181066D2"/>
    <w:rsid w:val="187D363C"/>
    <w:rsid w:val="188B3FAB"/>
    <w:rsid w:val="19662322"/>
    <w:rsid w:val="199B0ED5"/>
    <w:rsid w:val="19BD17EE"/>
    <w:rsid w:val="1A3348FA"/>
    <w:rsid w:val="1AD339E7"/>
    <w:rsid w:val="1AEB2ADF"/>
    <w:rsid w:val="1AF03B8E"/>
    <w:rsid w:val="1B6603B7"/>
    <w:rsid w:val="1B7900EB"/>
    <w:rsid w:val="1B862808"/>
    <w:rsid w:val="1BAE69A3"/>
    <w:rsid w:val="1C5B1EE6"/>
    <w:rsid w:val="1C671E73"/>
    <w:rsid w:val="1CAE0268"/>
    <w:rsid w:val="1D0E7994"/>
    <w:rsid w:val="1D322C47"/>
    <w:rsid w:val="1D3E15EC"/>
    <w:rsid w:val="1D8E3BF5"/>
    <w:rsid w:val="1E2C4BE0"/>
    <w:rsid w:val="1E391DB3"/>
    <w:rsid w:val="1E7D7EF2"/>
    <w:rsid w:val="1E8A6AB3"/>
    <w:rsid w:val="1EEB7551"/>
    <w:rsid w:val="1F00542E"/>
    <w:rsid w:val="1F533349"/>
    <w:rsid w:val="1F770DE5"/>
    <w:rsid w:val="1FB913FE"/>
    <w:rsid w:val="1FBD5916"/>
    <w:rsid w:val="1FD06747"/>
    <w:rsid w:val="1FD75D28"/>
    <w:rsid w:val="20607ACB"/>
    <w:rsid w:val="20DA787E"/>
    <w:rsid w:val="20DB53A4"/>
    <w:rsid w:val="214C004F"/>
    <w:rsid w:val="21BD15F0"/>
    <w:rsid w:val="22714212"/>
    <w:rsid w:val="22B440FE"/>
    <w:rsid w:val="22B81E40"/>
    <w:rsid w:val="22BA56A5"/>
    <w:rsid w:val="22C81958"/>
    <w:rsid w:val="22E105FD"/>
    <w:rsid w:val="22EC5646"/>
    <w:rsid w:val="23161237"/>
    <w:rsid w:val="23525321"/>
    <w:rsid w:val="23616034"/>
    <w:rsid w:val="23696C97"/>
    <w:rsid w:val="23D507D0"/>
    <w:rsid w:val="23D5257E"/>
    <w:rsid w:val="23DE58D7"/>
    <w:rsid w:val="23DF2E0A"/>
    <w:rsid w:val="23E34C9B"/>
    <w:rsid w:val="24062738"/>
    <w:rsid w:val="24480FA2"/>
    <w:rsid w:val="24613E12"/>
    <w:rsid w:val="248F4E23"/>
    <w:rsid w:val="24AF1515"/>
    <w:rsid w:val="24AF2DCF"/>
    <w:rsid w:val="252208EA"/>
    <w:rsid w:val="25227A45"/>
    <w:rsid w:val="254A26F8"/>
    <w:rsid w:val="25B368EF"/>
    <w:rsid w:val="25BC6855"/>
    <w:rsid w:val="26213859"/>
    <w:rsid w:val="265A5783"/>
    <w:rsid w:val="26753246"/>
    <w:rsid w:val="267C3185"/>
    <w:rsid w:val="26AC3A6A"/>
    <w:rsid w:val="26D44D6F"/>
    <w:rsid w:val="26E2748C"/>
    <w:rsid w:val="27086F37"/>
    <w:rsid w:val="2729330D"/>
    <w:rsid w:val="27321A96"/>
    <w:rsid w:val="275D2FB6"/>
    <w:rsid w:val="27AD0247"/>
    <w:rsid w:val="27D86AE1"/>
    <w:rsid w:val="27EB6814"/>
    <w:rsid w:val="27F7006F"/>
    <w:rsid w:val="28620159"/>
    <w:rsid w:val="28D23530"/>
    <w:rsid w:val="29E4351B"/>
    <w:rsid w:val="2A2F6883"/>
    <w:rsid w:val="2A30050E"/>
    <w:rsid w:val="2A5C7555"/>
    <w:rsid w:val="2A7448C0"/>
    <w:rsid w:val="2B1E45AE"/>
    <w:rsid w:val="2B4369D2"/>
    <w:rsid w:val="2B560448"/>
    <w:rsid w:val="2B591CE7"/>
    <w:rsid w:val="2B9D7E25"/>
    <w:rsid w:val="2BA26604"/>
    <w:rsid w:val="2BC03B14"/>
    <w:rsid w:val="2BEE0681"/>
    <w:rsid w:val="2C2B3683"/>
    <w:rsid w:val="2C790273"/>
    <w:rsid w:val="2C7C7A3B"/>
    <w:rsid w:val="2C901738"/>
    <w:rsid w:val="2CCE42A0"/>
    <w:rsid w:val="2CFC0B7C"/>
    <w:rsid w:val="2D0619FA"/>
    <w:rsid w:val="2D2B1461"/>
    <w:rsid w:val="2D3534CA"/>
    <w:rsid w:val="2D371BB4"/>
    <w:rsid w:val="2D4A7B39"/>
    <w:rsid w:val="2D5E1D13"/>
    <w:rsid w:val="2DBB27E5"/>
    <w:rsid w:val="2DDB4C35"/>
    <w:rsid w:val="2DF31F7F"/>
    <w:rsid w:val="2E16133D"/>
    <w:rsid w:val="2EB060C2"/>
    <w:rsid w:val="2F364819"/>
    <w:rsid w:val="2F3E36CD"/>
    <w:rsid w:val="2FD2011D"/>
    <w:rsid w:val="2FD63906"/>
    <w:rsid w:val="30085A89"/>
    <w:rsid w:val="302A1EA4"/>
    <w:rsid w:val="30313232"/>
    <w:rsid w:val="30722079"/>
    <w:rsid w:val="30DC1823"/>
    <w:rsid w:val="30F21F70"/>
    <w:rsid w:val="310B19E4"/>
    <w:rsid w:val="315D3273"/>
    <w:rsid w:val="318B24CE"/>
    <w:rsid w:val="31E14B66"/>
    <w:rsid w:val="31ED089C"/>
    <w:rsid w:val="3212329D"/>
    <w:rsid w:val="325925CC"/>
    <w:rsid w:val="326A47D9"/>
    <w:rsid w:val="329B4993"/>
    <w:rsid w:val="32E37F83"/>
    <w:rsid w:val="3353526D"/>
    <w:rsid w:val="33863C3A"/>
    <w:rsid w:val="33BE302F"/>
    <w:rsid w:val="33F151B2"/>
    <w:rsid w:val="34076784"/>
    <w:rsid w:val="340842AA"/>
    <w:rsid w:val="35775243"/>
    <w:rsid w:val="35AD5109"/>
    <w:rsid w:val="35E33745"/>
    <w:rsid w:val="360B0081"/>
    <w:rsid w:val="364A2958"/>
    <w:rsid w:val="36612A35"/>
    <w:rsid w:val="36745C27"/>
    <w:rsid w:val="3676374D"/>
    <w:rsid w:val="36AA5AEC"/>
    <w:rsid w:val="36B9188B"/>
    <w:rsid w:val="36E37827"/>
    <w:rsid w:val="37215DAE"/>
    <w:rsid w:val="378E0F6A"/>
    <w:rsid w:val="3790083E"/>
    <w:rsid w:val="379522F8"/>
    <w:rsid w:val="37D921E5"/>
    <w:rsid w:val="37DA5F5D"/>
    <w:rsid w:val="37DF1769"/>
    <w:rsid w:val="386A57EF"/>
    <w:rsid w:val="387F02E6"/>
    <w:rsid w:val="38A649C1"/>
    <w:rsid w:val="38CA40DD"/>
    <w:rsid w:val="39047736"/>
    <w:rsid w:val="395F2B56"/>
    <w:rsid w:val="39FA4695"/>
    <w:rsid w:val="3A4A73CA"/>
    <w:rsid w:val="3A9E3BD3"/>
    <w:rsid w:val="3B084B8F"/>
    <w:rsid w:val="3B706E2F"/>
    <w:rsid w:val="3B7B47DC"/>
    <w:rsid w:val="3B900A1C"/>
    <w:rsid w:val="3BBA0580"/>
    <w:rsid w:val="3BECE841"/>
    <w:rsid w:val="3C197FB3"/>
    <w:rsid w:val="3C51034C"/>
    <w:rsid w:val="3C591B47"/>
    <w:rsid w:val="3C5E715D"/>
    <w:rsid w:val="3C6E1E8A"/>
    <w:rsid w:val="3C6F3118"/>
    <w:rsid w:val="3C8A7F52"/>
    <w:rsid w:val="3CDE204C"/>
    <w:rsid w:val="3D017F7A"/>
    <w:rsid w:val="3D0D2931"/>
    <w:rsid w:val="3D363C36"/>
    <w:rsid w:val="3D5E4F3B"/>
    <w:rsid w:val="3D761BAF"/>
    <w:rsid w:val="3D9B417C"/>
    <w:rsid w:val="3DC70D32"/>
    <w:rsid w:val="3DC77914"/>
    <w:rsid w:val="3DF71617"/>
    <w:rsid w:val="3E10092B"/>
    <w:rsid w:val="3E7762B4"/>
    <w:rsid w:val="3E9055C8"/>
    <w:rsid w:val="3E9C3F6D"/>
    <w:rsid w:val="3E9C5D1B"/>
    <w:rsid w:val="3EC053F3"/>
    <w:rsid w:val="3EE91C93"/>
    <w:rsid w:val="3F9B06C8"/>
    <w:rsid w:val="3FF7797D"/>
    <w:rsid w:val="40C477AB"/>
    <w:rsid w:val="40CE4185"/>
    <w:rsid w:val="40FD375C"/>
    <w:rsid w:val="414D77A0"/>
    <w:rsid w:val="41A53138"/>
    <w:rsid w:val="41C31810"/>
    <w:rsid w:val="41E719A3"/>
    <w:rsid w:val="421309EA"/>
    <w:rsid w:val="42310E70"/>
    <w:rsid w:val="42497F67"/>
    <w:rsid w:val="42D75573"/>
    <w:rsid w:val="43362BE2"/>
    <w:rsid w:val="43746C04"/>
    <w:rsid w:val="43D63A7D"/>
    <w:rsid w:val="440C56F0"/>
    <w:rsid w:val="445F1CC4"/>
    <w:rsid w:val="447F5BB5"/>
    <w:rsid w:val="448F1309"/>
    <w:rsid w:val="449C6A74"/>
    <w:rsid w:val="44B30B1E"/>
    <w:rsid w:val="44B57B36"/>
    <w:rsid w:val="44E65F41"/>
    <w:rsid w:val="45140D01"/>
    <w:rsid w:val="453834D3"/>
    <w:rsid w:val="454809AA"/>
    <w:rsid w:val="4574179F"/>
    <w:rsid w:val="458B0897"/>
    <w:rsid w:val="4597723C"/>
    <w:rsid w:val="46690BD8"/>
    <w:rsid w:val="46B1257F"/>
    <w:rsid w:val="46F030A7"/>
    <w:rsid w:val="471054F8"/>
    <w:rsid w:val="472E3BD0"/>
    <w:rsid w:val="47925F0D"/>
    <w:rsid w:val="47F44E19"/>
    <w:rsid w:val="48286871"/>
    <w:rsid w:val="48693111"/>
    <w:rsid w:val="48C25E9E"/>
    <w:rsid w:val="48C3519D"/>
    <w:rsid w:val="48E94252"/>
    <w:rsid w:val="490C7F41"/>
    <w:rsid w:val="493A4AAE"/>
    <w:rsid w:val="49CF169A"/>
    <w:rsid w:val="49F70BF1"/>
    <w:rsid w:val="4A6C342C"/>
    <w:rsid w:val="4A985F30"/>
    <w:rsid w:val="4ABE526B"/>
    <w:rsid w:val="4B337A07"/>
    <w:rsid w:val="4B3C2D5F"/>
    <w:rsid w:val="4B413ED2"/>
    <w:rsid w:val="4B4340EE"/>
    <w:rsid w:val="4B517E8D"/>
    <w:rsid w:val="4B6D7BF9"/>
    <w:rsid w:val="4B700C5B"/>
    <w:rsid w:val="4B8B339F"/>
    <w:rsid w:val="4BBF129A"/>
    <w:rsid w:val="4BFC24EE"/>
    <w:rsid w:val="4C5B7C02"/>
    <w:rsid w:val="4C96649F"/>
    <w:rsid w:val="4CC748AA"/>
    <w:rsid w:val="4D090A1F"/>
    <w:rsid w:val="4D5346B3"/>
    <w:rsid w:val="4D875DE8"/>
    <w:rsid w:val="4E1A4EAE"/>
    <w:rsid w:val="4E630603"/>
    <w:rsid w:val="4F231B40"/>
    <w:rsid w:val="4F843A9F"/>
    <w:rsid w:val="4F9F566B"/>
    <w:rsid w:val="4FB01626"/>
    <w:rsid w:val="4FC155E1"/>
    <w:rsid w:val="4FED4628"/>
    <w:rsid w:val="503D507A"/>
    <w:rsid w:val="507E6CAB"/>
    <w:rsid w:val="508571B2"/>
    <w:rsid w:val="50D94BAC"/>
    <w:rsid w:val="50DB26D2"/>
    <w:rsid w:val="51A7228E"/>
    <w:rsid w:val="51E21234"/>
    <w:rsid w:val="51FA74D0"/>
    <w:rsid w:val="52162B6D"/>
    <w:rsid w:val="52AA4A52"/>
    <w:rsid w:val="52B7716F"/>
    <w:rsid w:val="531B5950"/>
    <w:rsid w:val="541A1764"/>
    <w:rsid w:val="541D3002"/>
    <w:rsid w:val="545804DE"/>
    <w:rsid w:val="549F610D"/>
    <w:rsid w:val="54AF45A2"/>
    <w:rsid w:val="551209A8"/>
    <w:rsid w:val="55197C6D"/>
    <w:rsid w:val="55450A62"/>
    <w:rsid w:val="55A473AA"/>
    <w:rsid w:val="55B33C1E"/>
    <w:rsid w:val="55DE70E2"/>
    <w:rsid w:val="55E53FF3"/>
    <w:rsid w:val="57566F57"/>
    <w:rsid w:val="578F06BB"/>
    <w:rsid w:val="57B63E99"/>
    <w:rsid w:val="582C415B"/>
    <w:rsid w:val="584D65AC"/>
    <w:rsid w:val="586E6522"/>
    <w:rsid w:val="589F1B38"/>
    <w:rsid w:val="58B16202"/>
    <w:rsid w:val="58D854DF"/>
    <w:rsid w:val="592F3F03"/>
    <w:rsid w:val="59771406"/>
    <w:rsid w:val="59943D66"/>
    <w:rsid w:val="59E051FD"/>
    <w:rsid w:val="59E6355E"/>
    <w:rsid w:val="59F91E1B"/>
    <w:rsid w:val="5A236E98"/>
    <w:rsid w:val="5A7F67C4"/>
    <w:rsid w:val="5A981634"/>
    <w:rsid w:val="5B4F263B"/>
    <w:rsid w:val="5B667984"/>
    <w:rsid w:val="5B821531"/>
    <w:rsid w:val="5BCC223B"/>
    <w:rsid w:val="5BFF6039"/>
    <w:rsid w:val="5CA73DB1"/>
    <w:rsid w:val="5CAA6C36"/>
    <w:rsid w:val="5CF8460C"/>
    <w:rsid w:val="5D76A616"/>
    <w:rsid w:val="5D7F20B9"/>
    <w:rsid w:val="5DAC7D0E"/>
    <w:rsid w:val="5E453D00"/>
    <w:rsid w:val="5E771F92"/>
    <w:rsid w:val="5EF54CCE"/>
    <w:rsid w:val="5F0454EA"/>
    <w:rsid w:val="5F98B5AF"/>
    <w:rsid w:val="5FC27334"/>
    <w:rsid w:val="5FF437B1"/>
    <w:rsid w:val="5FFE8511"/>
    <w:rsid w:val="5FFEACE2"/>
    <w:rsid w:val="60624BBE"/>
    <w:rsid w:val="609D5BF6"/>
    <w:rsid w:val="60D31669"/>
    <w:rsid w:val="60E870DA"/>
    <w:rsid w:val="60F90953"/>
    <w:rsid w:val="60FB46CB"/>
    <w:rsid w:val="61073070"/>
    <w:rsid w:val="611C2FBF"/>
    <w:rsid w:val="611F2AAF"/>
    <w:rsid w:val="614E49B4"/>
    <w:rsid w:val="61B9080E"/>
    <w:rsid w:val="61DF3FED"/>
    <w:rsid w:val="63491158"/>
    <w:rsid w:val="63CB65D6"/>
    <w:rsid w:val="63EA249B"/>
    <w:rsid w:val="642B176B"/>
    <w:rsid w:val="643EE26D"/>
    <w:rsid w:val="646B7DB9"/>
    <w:rsid w:val="64F63B27"/>
    <w:rsid w:val="656019A0"/>
    <w:rsid w:val="656E5DB3"/>
    <w:rsid w:val="65CB2C2E"/>
    <w:rsid w:val="65D5373C"/>
    <w:rsid w:val="65F242EE"/>
    <w:rsid w:val="662D3578"/>
    <w:rsid w:val="6646288C"/>
    <w:rsid w:val="664D59C9"/>
    <w:rsid w:val="666D7E19"/>
    <w:rsid w:val="667B2536"/>
    <w:rsid w:val="668869BA"/>
    <w:rsid w:val="674A015A"/>
    <w:rsid w:val="675C3092"/>
    <w:rsid w:val="68376930"/>
    <w:rsid w:val="687F3E33"/>
    <w:rsid w:val="68AB4C28"/>
    <w:rsid w:val="68F44821"/>
    <w:rsid w:val="68F91E38"/>
    <w:rsid w:val="69690F4E"/>
    <w:rsid w:val="69715E72"/>
    <w:rsid w:val="6985191D"/>
    <w:rsid w:val="6A1D3904"/>
    <w:rsid w:val="6A440E91"/>
    <w:rsid w:val="6A8035F7"/>
    <w:rsid w:val="6A95793E"/>
    <w:rsid w:val="6AA55DB5"/>
    <w:rsid w:val="6AC75E25"/>
    <w:rsid w:val="6B1E7934"/>
    <w:rsid w:val="6B3158B9"/>
    <w:rsid w:val="6B6F3824"/>
    <w:rsid w:val="6BA02A3F"/>
    <w:rsid w:val="6C1E5A53"/>
    <w:rsid w:val="6C315445"/>
    <w:rsid w:val="6C53360D"/>
    <w:rsid w:val="6CA65E33"/>
    <w:rsid w:val="6CC8224D"/>
    <w:rsid w:val="6E4B6C92"/>
    <w:rsid w:val="6E662A0A"/>
    <w:rsid w:val="6E761BBE"/>
    <w:rsid w:val="6E930639"/>
    <w:rsid w:val="6E9C129B"/>
    <w:rsid w:val="6EA2087C"/>
    <w:rsid w:val="6F4162E7"/>
    <w:rsid w:val="6F54601A"/>
    <w:rsid w:val="6F5C41AC"/>
    <w:rsid w:val="6F7E3097"/>
    <w:rsid w:val="6F863CF9"/>
    <w:rsid w:val="6FAF6C78"/>
    <w:rsid w:val="6FE74798"/>
    <w:rsid w:val="70271038"/>
    <w:rsid w:val="703267DA"/>
    <w:rsid w:val="708169F7"/>
    <w:rsid w:val="70B30FCE"/>
    <w:rsid w:val="70E30E4B"/>
    <w:rsid w:val="70E8591E"/>
    <w:rsid w:val="71341C5F"/>
    <w:rsid w:val="715E1EA1"/>
    <w:rsid w:val="716167CC"/>
    <w:rsid w:val="718A7AD1"/>
    <w:rsid w:val="729F135A"/>
    <w:rsid w:val="72A44BC2"/>
    <w:rsid w:val="72E90827"/>
    <w:rsid w:val="7306587D"/>
    <w:rsid w:val="73133AF6"/>
    <w:rsid w:val="7317C656"/>
    <w:rsid w:val="732301DD"/>
    <w:rsid w:val="732E6B82"/>
    <w:rsid w:val="734ED73F"/>
    <w:rsid w:val="739F12D3"/>
    <w:rsid w:val="73C82B32"/>
    <w:rsid w:val="73F43927"/>
    <w:rsid w:val="73F94DAE"/>
    <w:rsid w:val="74220495"/>
    <w:rsid w:val="74402617"/>
    <w:rsid w:val="7452064E"/>
    <w:rsid w:val="747D1B6F"/>
    <w:rsid w:val="748C590E"/>
    <w:rsid w:val="749E5641"/>
    <w:rsid w:val="750556C0"/>
    <w:rsid w:val="751C1388"/>
    <w:rsid w:val="752913AF"/>
    <w:rsid w:val="75377F70"/>
    <w:rsid w:val="75A16E99"/>
    <w:rsid w:val="75AD2CAB"/>
    <w:rsid w:val="75C15A8B"/>
    <w:rsid w:val="75DF4163"/>
    <w:rsid w:val="75EA4FE2"/>
    <w:rsid w:val="76271066"/>
    <w:rsid w:val="762A53DF"/>
    <w:rsid w:val="76A72ED3"/>
    <w:rsid w:val="76E14E07"/>
    <w:rsid w:val="76FB4FCD"/>
    <w:rsid w:val="772E02B0"/>
    <w:rsid w:val="77CD0717"/>
    <w:rsid w:val="77F55EC0"/>
    <w:rsid w:val="77FD8BE9"/>
    <w:rsid w:val="78000AED"/>
    <w:rsid w:val="782347DB"/>
    <w:rsid w:val="782F13D2"/>
    <w:rsid w:val="785B3F75"/>
    <w:rsid w:val="787D038F"/>
    <w:rsid w:val="788D09EA"/>
    <w:rsid w:val="7890380D"/>
    <w:rsid w:val="789C15D4"/>
    <w:rsid w:val="789C633C"/>
    <w:rsid w:val="78B763C8"/>
    <w:rsid w:val="78BD69DE"/>
    <w:rsid w:val="791D747D"/>
    <w:rsid w:val="79A9BD3F"/>
    <w:rsid w:val="7A3C3932"/>
    <w:rsid w:val="7A477F85"/>
    <w:rsid w:val="7A561431"/>
    <w:rsid w:val="7A7E219D"/>
    <w:rsid w:val="7A811C8D"/>
    <w:rsid w:val="7A8552D9"/>
    <w:rsid w:val="7B476A33"/>
    <w:rsid w:val="7B566C76"/>
    <w:rsid w:val="7B5B0730"/>
    <w:rsid w:val="7B713AB0"/>
    <w:rsid w:val="7B776F12"/>
    <w:rsid w:val="7BBD0AA3"/>
    <w:rsid w:val="7BF93F08"/>
    <w:rsid w:val="7BFFFDD0"/>
    <w:rsid w:val="7C336E5F"/>
    <w:rsid w:val="7C6D4277"/>
    <w:rsid w:val="7C7750F6"/>
    <w:rsid w:val="7C8D4919"/>
    <w:rsid w:val="7CB170D7"/>
    <w:rsid w:val="7CE04A49"/>
    <w:rsid w:val="7D080444"/>
    <w:rsid w:val="7D7A5F86"/>
    <w:rsid w:val="7D7D6D7A"/>
    <w:rsid w:val="7E4B683A"/>
    <w:rsid w:val="7E551467"/>
    <w:rsid w:val="7E5E656D"/>
    <w:rsid w:val="7E8F2BCB"/>
    <w:rsid w:val="7EED5B43"/>
    <w:rsid w:val="7F0A2251"/>
    <w:rsid w:val="7F37BB4E"/>
    <w:rsid w:val="7F8A15E4"/>
    <w:rsid w:val="7FD56CB8"/>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widowControl/>
      <w:spacing w:before="240" w:after="60"/>
      <w:jc w:val="left"/>
      <w:outlineLvl w:val="0"/>
    </w:pPr>
    <w:rPr>
      <w:rFonts w:ascii="Cambria" w:hAnsi="Cambria" w:eastAsia="宋体" w:cs="Times New Roman"/>
      <w:b/>
      <w:bCs/>
      <w:kern w:val="32"/>
      <w:sz w:val="32"/>
      <w:szCs w:val="32"/>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4"/>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Plain Text"/>
    <w:basedOn w:val="1"/>
    <w:next w:val="1"/>
    <w:qFormat/>
    <w:uiPriority w:val="0"/>
    <w:rPr>
      <w:rFonts w:hAnsi="Courier New" w:cs="Courier New"/>
      <w:szCs w:val="21"/>
    </w:rPr>
  </w:style>
  <w:style w:type="paragraph" w:styleId="8">
    <w:name w:val="Balloon Text"/>
    <w:basedOn w:val="1"/>
    <w:link w:val="22"/>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4"/>
    <w:next w:val="4"/>
    <w:link w:val="25"/>
    <w:qFormat/>
    <w:uiPriority w:val="0"/>
    <w:rPr>
      <w:b/>
      <w:bCs/>
    </w:rPr>
  </w:style>
  <w:style w:type="paragraph" w:styleId="14">
    <w:name w:val="Body Text First Indent"/>
    <w:basedOn w:val="5"/>
    <w:qFormat/>
    <w:uiPriority w:val="0"/>
    <w:pPr>
      <w:spacing w:after="0"/>
      <w:ind w:firstLine="200" w:firstLineChars="200"/>
    </w:pPr>
  </w:style>
  <w:style w:type="paragraph" w:styleId="15">
    <w:name w:val="Body Text First Indent 2"/>
    <w:basedOn w:val="6"/>
    <w:qFormat/>
    <w:uiPriority w:val="0"/>
    <w:pPr>
      <w:ind w:firstLine="420" w:firstLineChars="200"/>
    </w:pPr>
  </w:style>
  <w:style w:type="character" w:styleId="18">
    <w:name w:val="Strong"/>
    <w:basedOn w:val="17"/>
    <w:qFormat/>
    <w:uiPriority w:val="0"/>
    <w:rPr>
      <w:b/>
      <w:bCs/>
    </w:rPr>
  </w:style>
  <w:style w:type="character" w:styleId="19">
    <w:name w:val="annotation reference"/>
    <w:basedOn w:val="17"/>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7"/>
    <w:link w:val="8"/>
    <w:qFormat/>
    <w:uiPriority w:val="0"/>
    <w:rPr>
      <w:rFonts w:ascii="Times New Roman" w:hAnsi="Times New Roman" w:eastAsia="宋体" w:cs="Times New Roman"/>
      <w:kern w:val="2"/>
      <w:sz w:val="18"/>
      <w:szCs w:val="18"/>
    </w:rPr>
  </w:style>
  <w:style w:type="character" w:customStyle="1" w:styleId="23">
    <w:name w:val="页眉 字符"/>
    <w:basedOn w:val="17"/>
    <w:link w:val="10"/>
    <w:qFormat/>
    <w:uiPriority w:val="0"/>
    <w:rPr>
      <w:rFonts w:ascii="Times New Roman" w:hAnsi="Times New Roman" w:eastAsia="宋体" w:cs="Times New Roman"/>
      <w:kern w:val="2"/>
      <w:sz w:val="18"/>
      <w:szCs w:val="18"/>
    </w:rPr>
  </w:style>
  <w:style w:type="character" w:customStyle="1" w:styleId="24">
    <w:name w:val="批注文字 字符"/>
    <w:basedOn w:val="17"/>
    <w:link w:val="4"/>
    <w:qFormat/>
    <w:uiPriority w:val="0"/>
    <w:rPr>
      <w:rFonts w:ascii="Times New Roman" w:hAnsi="Times New Roman" w:eastAsia="宋体" w:cs="Times New Roman"/>
      <w:kern w:val="2"/>
      <w:sz w:val="21"/>
      <w:szCs w:val="24"/>
    </w:rPr>
  </w:style>
  <w:style w:type="character" w:customStyle="1" w:styleId="25">
    <w:name w:val="批注主题 字符"/>
    <w:basedOn w:val="24"/>
    <w:link w:val="13"/>
    <w:qFormat/>
    <w:uiPriority w:val="0"/>
    <w:rPr>
      <w:rFonts w:ascii="Times New Roman" w:hAnsi="Times New Roman" w:eastAsia="宋体" w:cs="Times New Roman"/>
      <w:b/>
      <w:bCs/>
      <w:kern w:val="2"/>
      <w:sz w:val="21"/>
      <w:szCs w:val="24"/>
    </w:rPr>
  </w:style>
  <w:style w:type="paragraph" w:customStyle="1" w:styleId="26">
    <w:name w:val="样式1"/>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5347</Words>
  <Characters>5425</Characters>
  <Lines>58</Lines>
  <Paragraphs>16</Paragraphs>
  <TotalTime>16</TotalTime>
  <ScaleCrop>false</ScaleCrop>
  <LinksUpToDate>false</LinksUpToDate>
  <CharactersWithSpaces>5847</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lenovo</cp:lastModifiedBy>
  <cp:lastPrinted>2025-05-22T05:47:00Z</cp:lastPrinted>
  <dcterms:modified xsi:type="dcterms:W3CDTF">2025-08-18T10:16:53Z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CFE6DFC9A59545FC9EE586A777DD0D6B_13</vt:lpwstr>
  </property>
  <property fmtid="{D5CDD505-2E9C-101B-9397-08002B2CF9AE}" pid="4" name="KSOTemplateDocerSaveRecord">
    <vt:lpwstr>eyJoZGlkIjoiZDRmNmJmZGEzYzE4NDkxYTYyZmVjYzI3ZWFlM2ZiZDUifQ==</vt:lpwstr>
  </property>
</Properties>
</file>