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keepNext w:val="0"/>
        <w:keepLines w:val="0"/>
        <w:pageBreakBefore w:val="0"/>
        <w:kinsoku/>
        <w:wordWrap/>
        <w:overflowPunct/>
        <w:topLinePunct w:val="0"/>
        <w:autoSpaceDE/>
        <w:autoSpaceDN/>
        <w:bidi w:val="0"/>
        <w:adjustRightInd/>
        <w:spacing w:line="560" w:lineRule="exact"/>
        <w:ind w:firstLine="964" w:firstLineChars="200"/>
        <w:jc w:val="center"/>
        <w:textAlignment w:val="auto"/>
        <w:rPr>
          <w:rFonts w:ascii="方正小标宋_GBK" w:hAnsi="华文中宋" w:eastAsia="方正小标宋_GBK" w:cs="宋体"/>
          <w:b/>
          <w:kern w:val="0"/>
          <w:sz w:val="48"/>
          <w:szCs w:val="48"/>
        </w:rPr>
      </w:pPr>
    </w:p>
    <w:p>
      <w:pPr>
        <w:keepNext w:val="0"/>
        <w:keepLines w:val="0"/>
        <w:pageBreakBefore w:val="0"/>
        <w:kinsoku/>
        <w:wordWrap/>
        <w:overflowPunct/>
        <w:topLinePunct w:val="0"/>
        <w:autoSpaceDE/>
        <w:autoSpaceDN/>
        <w:bidi w:val="0"/>
        <w:adjustRightInd/>
        <w:spacing w:line="560" w:lineRule="exact"/>
        <w:ind w:firstLine="964" w:firstLineChars="200"/>
        <w:jc w:val="center"/>
        <w:textAlignment w:val="auto"/>
        <w:rPr>
          <w:rFonts w:ascii="方正小标宋_GBK" w:hAnsi="华文中宋" w:eastAsia="方正小标宋_GBK" w:cs="宋体"/>
          <w:b/>
          <w:kern w:val="0"/>
          <w:sz w:val="48"/>
          <w:szCs w:val="48"/>
        </w:rPr>
      </w:pPr>
    </w:p>
    <w:p>
      <w:pPr>
        <w:keepNext w:val="0"/>
        <w:keepLines w:val="0"/>
        <w:pageBreakBefore w:val="0"/>
        <w:kinsoku/>
        <w:wordWrap/>
        <w:overflowPunct/>
        <w:topLinePunct w:val="0"/>
        <w:autoSpaceDE/>
        <w:autoSpaceDN/>
        <w:bidi w:val="0"/>
        <w:adjustRightInd/>
        <w:spacing w:line="560" w:lineRule="exact"/>
        <w:ind w:firstLine="964" w:firstLineChars="200"/>
        <w:jc w:val="center"/>
        <w:textAlignment w:val="auto"/>
        <w:rPr>
          <w:rFonts w:ascii="方正小标宋_GBK" w:hAnsi="华文中宋" w:eastAsia="方正小标宋_GBK" w:cs="宋体"/>
          <w:b/>
          <w:kern w:val="0"/>
          <w:sz w:val="48"/>
          <w:szCs w:val="48"/>
        </w:rPr>
      </w:pPr>
    </w:p>
    <w:p>
      <w:pPr>
        <w:keepNext w:val="0"/>
        <w:keepLines w:val="0"/>
        <w:pageBreakBefore w:val="0"/>
        <w:kinsoku/>
        <w:wordWrap/>
        <w:overflowPunct/>
        <w:topLinePunct w:val="0"/>
        <w:autoSpaceDE/>
        <w:autoSpaceDN/>
        <w:bidi w:val="0"/>
        <w:adjustRightInd/>
        <w:spacing w:line="560" w:lineRule="exact"/>
        <w:ind w:firstLine="964" w:firstLineChars="200"/>
        <w:jc w:val="center"/>
        <w:textAlignment w:val="auto"/>
        <w:rPr>
          <w:rFonts w:ascii="方正小标宋_GBK" w:hAnsi="华文中宋" w:eastAsia="方正小标宋_GBK" w:cs="宋体"/>
          <w:b/>
          <w:kern w:val="0"/>
          <w:sz w:val="48"/>
          <w:szCs w:val="48"/>
        </w:rPr>
      </w:pPr>
    </w:p>
    <w:p>
      <w:pPr>
        <w:keepNext w:val="0"/>
        <w:keepLines w:val="0"/>
        <w:pageBreakBefore w:val="0"/>
        <w:kinsoku/>
        <w:wordWrap/>
        <w:overflowPunct/>
        <w:topLinePunct w:val="0"/>
        <w:autoSpaceDE/>
        <w:autoSpaceDN/>
        <w:bidi w:val="0"/>
        <w:adjustRightInd/>
        <w:spacing w:line="560" w:lineRule="exact"/>
        <w:ind w:firstLine="964" w:firstLineChars="200"/>
        <w:jc w:val="center"/>
        <w:textAlignment w:val="auto"/>
        <w:rPr>
          <w:rFonts w:ascii="方正小标宋_GBK" w:hAnsi="华文中宋" w:eastAsia="方正小标宋_GBK" w:cs="宋体"/>
          <w:b/>
          <w:kern w:val="0"/>
          <w:sz w:val="48"/>
          <w:szCs w:val="48"/>
        </w:rPr>
      </w:pPr>
    </w:p>
    <w:p>
      <w:pPr>
        <w:keepNext w:val="0"/>
        <w:keepLines w:val="0"/>
        <w:pageBreakBefore w:val="0"/>
        <w:kinsoku/>
        <w:wordWrap/>
        <w:overflowPunct/>
        <w:topLinePunct w:val="0"/>
        <w:autoSpaceDE/>
        <w:autoSpaceDN/>
        <w:bidi w:val="0"/>
        <w:adjustRightInd/>
        <w:spacing w:line="560" w:lineRule="exact"/>
        <w:ind w:firstLine="964" w:firstLineChars="200"/>
        <w:jc w:val="center"/>
        <w:textAlignment w:val="auto"/>
        <w:rPr>
          <w:rFonts w:ascii="方正小标宋_GBK" w:hAnsi="华文中宋" w:eastAsia="方正小标宋_GBK" w:cs="宋体"/>
          <w:b/>
          <w:kern w:val="0"/>
          <w:sz w:val="48"/>
          <w:szCs w:val="48"/>
        </w:rPr>
      </w:pPr>
    </w:p>
    <w:p>
      <w:pPr>
        <w:keepNext w:val="0"/>
        <w:keepLines w:val="0"/>
        <w:pageBreakBefore w:val="0"/>
        <w:kinsoku/>
        <w:wordWrap/>
        <w:overflowPunct/>
        <w:topLinePunct w:val="0"/>
        <w:autoSpaceDE/>
        <w:autoSpaceDN/>
        <w:bidi w:val="0"/>
        <w:adjustRightInd/>
        <w:spacing w:line="560" w:lineRule="exact"/>
        <w:ind w:firstLine="964" w:firstLineChars="200"/>
        <w:jc w:val="center"/>
        <w:textAlignment w:val="auto"/>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keepNext w:val="0"/>
        <w:keepLines w:val="0"/>
        <w:pageBreakBefore w:val="0"/>
        <w:kinsoku/>
        <w:wordWrap/>
        <w:overflowPunct/>
        <w:topLinePunct w:val="0"/>
        <w:autoSpaceDE/>
        <w:autoSpaceDN/>
        <w:bidi w:val="0"/>
        <w:adjustRightInd/>
        <w:spacing w:line="560" w:lineRule="exact"/>
        <w:ind w:firstLine="964" w:firstLineChars="200"/>
        <w:jc w:val="center"/>
        <w:textAlignment w:val="auto"/>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keepNext w:val="0"/>
        <w:keepLines w:val="0"/>
        <w:pageBreakBefore w:val="0"/>
        <w:kinsoku/>
        <w:wordWrap/>
        <w:overflowPunct/>
        <w:topLinePunct w:val="0"/>
        <w:autoSpaceDE/>
        <w:autoSpaceDN/>
        <w:bidi w:val="0"/>
        <w:adjustRightInd/>
        <w:spacing w:line="560" w:lineRule="exact"/>
        <w:ind w:firstLine="1044" w:firstLineChars="200"/>
        <w:jc w:val="center"/>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560" w:lineRule="exact"/>
        <w:ind w:firstLine="720" w:firstLineChars="200"/>
        <w:jc w:val="center"/>
        <w:textAlignment w:val="auto"/>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2024</w:t>
      </w:r>
      <w:r>
        <w:rPr>
          <w:rFonts w:hint="eastAsia" w:hAnsi="宋体" w:eastAsia="仿宋_GB2312" w:cs="宋体"/>
          <w:kern w:val="0"/>
          <w:sz w:val="36"/>
          <w:szCs w:val="36"/>
        </w:rPr>
        <w:t>年度）</w:t>
      </w:r>
    </w:p>
    <w:p>
      <w:pPr>
        <w:keepNext w:val="0"/>
        <w:keepLines w:val="0"/>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kern w:val="0"/>
          <w:sz w:val="36"/>
          <w:szCs w:val="36"/>
        </w:rPr>
      </w:pPr>
    </w:p>
    <w:p>
      <w:pPr>
        <w:keepNext w:val="0"/>
        <w:keepLines w:val="0"/>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kern w:val="0"/>
          <w:sz w:val="36"/>
          <w:szCs w:val="36"/>
        </w:rPr>
      </w:pPr>
    </w:p>
    <w:p>
      <w:pPr>
        <w:keepNext w:val="0"/>
        <w:keepLines w:val="0"/>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kern w:val="0"/>
          <w:sz w:val="36"/>
          <w:szCs w:val="36"/>
        </w:rPr>
      </w:pPr>
    </w:p>
    <w:p>
      <w:pPr>
        <w:keepNext w:val="0"/>
        <w:keepLines w:val="0"/>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kern w:val="0"/>
          <w:sz w:val="36"/>
          <w:szCs w:val="36"/>
        </w:rPr>
      </w:pPr>
    </w:p>
    <w:p>
      <w:pPr>
        <w:keepNext w:val="0"/>
        <w:keepLines w:val="0"/>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kern w:val="0"/>
          <w:sz w:val="36"/>
          <w:szCs w:val="36"/>
        </w:rPr>
      </w:pPr>
    </w:p>
    <w:p>
      <w:pPr>
        <w:keepNext w:val="0"/>
        <w:keepLines w:val="0"/>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kern w:val="0"/>
          <w:sz w:val="36"/>
          <w:szCs w:val="36"/>
        </w:rPr>
      </w:pPr>
    </w:p>
    <w:p>
      <w:pPr>
        <w:keepNext w:val="0"/>
        <w:keepLines w:val="0"/>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kern w:val="0"/>
          <w:sz w:val="36"/>
          <w:szCs w:val="36"/>
        </w:rPr>
      </w:pPr>
    </w:p>
    <w:p>
      <w:pPr>
        <w:keepNext w:val="0"/>
        <w:keepLines w:val="0"/>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kern w:val="0"/>
          <w:sz w:val="36"/>
          <w:szCs w:val="31"/>
        </w:rPr>
      </w:pPr>
    </w:p>
    <w:p>
      <w:pPr>
        <w:keepNext w:val="0"/>
        <w:keepLines w:val="0"/>
        <w:pageBreakBefore w:val="0"/>
        <w:kinsoku/>
        <w:wordWrap/>
        <w:overflowPunct/>
        <w:topLinePunct w:val="0"/>
        <w:autoSpaceDE/>
        <w:autoSpaceDN/>
        <w:bidi w:val="0"/>
        <w:adjustRightInd/>
        <w:spacing w:line="560" w:lineRule="exact"/>
        <w:ind w:firstLine="720" w:firstLineChars="200"/>
        <w:textAlignment w:val="auto"/>
        <w:rPr>
          <w:rFonts w:hint="eastAsia" w:ascii="方正仿宋_GBK" w:hAnsi="方正仿宋_GBK" w:eastAsia="方正仿宋_GBK" w:cs="方正仿宋_GBK"/>
          <w:kern w:val="0"/>
          <w:sz w:val="36"/>
          <w:szCs w:val="31"/>
        </w:rPr>
      </w:pPr>
      <w:r>
        <w:rPr>
          <w:rFonts w:hint="eastAsia" w:ascii="方正仿宋_GBK" w:hAnsi="方正仿宋_GBK" w:eastAsia="方正仿宋_GBK" w:cs="方正仿宋_GBK"/>
          <w:kern w:val="0"/>
          <w:sz w:val="36"/>
          <w:szCs w:val="31"/>
        </w:rPr>
        <w:t>部门单位名称（公章）：库尔勒市和什力克乡人民政府</w:t>
      </w:r>
    </w:p>
    <w:p>
      <w:pPr>
        <w:keepNext w:val="0"/>
        <w:keepLines w:val="0"/>
        <w:pageBreakBefore w:val="0"/>
        <w:kinsoku/>
        <w:wordWrap/>
        <w:overflowPunct/>
        <w:topLinePunct w:val="0"/>
        <w:autoSpaceDE/>
        <w:autoSpaceDN/>
        <w:bidi w:val="0"/>
        <w:adjustRightInd/>
        <w:spacing w:line="560" w:lineRule="exact"/>
        <w:ind w:firstLine="720" w:firstLineChars="200"/>
        <w:textAlignment w:val="auto"/>
        <w:rPr>
          <w:rFonts w:hint="eastAsia" w:ascii="方正仿宋_GBK" w:hAnsi="方正仿宋_GBK" w:eastAsia="方正仿宋_GBK" w:cs="方正仿宋_GBK"/>
          <w:kern w:val="0"/>
          <w:sz w:val="36"/>
          <w:szCs w:val="31"/>
        </w:rPr>
      </w:pPr>
      <w:r>
        <w:rPr>
          <w:rFonts w:hint="eastAsia" w:ascii="方正仿宋_GBK" w:hAnsi="方正仿宋_GBK" w:eastAsia="方正仿宋_GBK" w:cs="方正仿宋_GBK"/>
          <w:kern w:val="0"/>
          <w:sz w:val="36"/>
          <w:szCs w:val="31"/>
        </w:rPr>
        <w:t>填报时间：2025年04月29日</w:t>
      </w:r>
    </w:p>
    <w:p>
      <w:pPr>
        <w:keepNext w:val="0"/>
        <w:keepLines w:val="0"/>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kern w:val="0"/>
          <w:sz w:val="36"/>
          <w:szCs w:val="36"/>
        </w:rPr>
      </w:pP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eastAsia" w:ascii="黑体" w:hAnsi="黑体" w:eastAsia="黑体" w:cs="宋体"/>
          <w:b/>
          <w:color w:val="000000" w:themeColor="text1"/>
          <w:sz w:val="32"/>
          <w:szCs w:val="32"/>
          <w:lang w:bidi="ar"/>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eastAsia" w:ascii="黑体" w:hAnsi="黑体" w:eastAsia="黑体" w:cs="宋体"/>
          <w:b/>
          <w:color w:val="000000" w:themeColor="text1"/>
          <w:sz w:val="32"/>
          <w:szCs w:val="32"/>
          <w:lang w:val="en-US" w:eastAsia="zh-CN" w:bidi="ar"/>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val="0"/>
        <w:spacing w:line="560" w:lineRule="exact"/>
        <w:textAlignment w:val="auto"/>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一、</w:t>
      </w:r>
      <w:r>
        <w:rPr>
          <w:rFonts w:hint="eastAsia" w:ascii="黑体" w:hAnsi="黑体" w:eastAsia="黑体" w:cs="宋体"/>
          <w:b/>
          <w:color w:val="000000" w:themeColor="text1"/>
          <w:sz w:val="32"/>
          <w:szCs w:val="32"/>
          <w:lang w:bidi="ar"/>
          <w14:textFill>
            <w14:solidFill>
              <w14:schemeClr w14:val="tx1"/>
            </w14:solidFill>
          </w14:textFill>
        </w:rPr>
        <w:t>基本概况：</w:t>
      </w:r>
    </w:p>
    <w:p>
      <w:pPr>
        <w:keepNext w:val="0"/>
        <w:keepLines w:val="0"/>
        <w:pageBreakBefore w:val="0"/>
        <w:kinsoku/>
        <w:wordWrap/>
        <w:overflowPunct/>
        <w:topLinePunct w:val="0"/>
        <w:autoSpaceDE/>
        <w:autoSpaceDN/>
        <w:bidi w:val="0"/>
        <w:adjustRightInd/>
        <w:spacing w:line="560" w:lineRule="exact"/>
        <w:jc w:val="left"/>
        <w:textAlignment w:val="auto"/>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1.主要职能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lang w:eastAsia="zh-CN"/>
        </w:rPr>
      </w:pPr>
      <w:r>
        <w:rPr>
          <w:rFonts w:hint="eastAsia" w:ascii="仿宋_GB2312" w:hAnsi="宋体" w:eastAsia="仿宋_GB2312"/>
          <w:bCs/>
          <w:sz w:val="32"/>
          <w:szCs w:val="32"/>
        </w:rPr>
        <w:t>乡（镇）党委要紧紧围绕新时代党的治疆方略、特别是社会稳定和长治久安总目标，不断加强基层基础建设，充分发挥统揽全局的核心领导作用，夯实党在农村的执政基础。乡（镇）人民政府要紧紧围绕促进经济发展、增加农民收入，强化公共服务、着力改善民生，加强社会管理、维护农村稳定，推进基层民主、促进农村和谐四个方面全面履行职责，提高农村公共服务水平，努力做好“三农”服务工作</w:t>
      </w:r>
      <w:r>
        <w:rPr>
          <w:rFonts w:hint="eastAsia" w:ascii="仿宋_GB2312" w:hAnsi="宋体" w:eastAsia="仿宋_GB2312"/>
          <w:bCs/>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乡（镇）党委主要职责：1.宣传和贯彻执行党的路线方针政策和党中央、上级党组织及乡（镇）党员代表大会（党员大会）的决议。2.研究决定本乡（镇）经济社会发展中重大问题的意见、建议。3.领导本乡（镇）政权机关、群团组织和其他各类组织，加强指导和规范，支持和保证这些机关和组织依照国家法律法规以及各自章程履行职责。4.加强本乡（镇）党委自身建设和村党组织建设，以及其他隶属乡（镇）党委的党组织建设，抓好发展党员工作，加强党员队伍建设。维护和执行党的纪律，监督党员干部和其他任何工作人员严格遵守国家法律法规。5.按照干部管理权限，负责对干部的教育、培训、选拔、考核和监督工作。协助管理上级有关部门派驻本乡（镇）的干部。做好人才服务和引进工作。6.领导本乡（镇）的基层治理，加强社会主义民主法治建设和精神文明建设，加强社会治安综合治理，做好生态环保、美丽乡村建设、民生保障、乡村振兴、民族宗教等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lang w:eastAsia="zh-CN"/>
        </w:rPr>
        <w:t>（</w:t>
      </w:r>
      <w:r>
        <w:rPr>
          <w:rFonts w:hint="eastAsia" w:ascii="仿宋_GB2312" w:hAnsi="宋体" w:eastAsia="仿宋_GB2312"/>
          <w:bCs/>
          <w:sz w:val="32"/>
          <w:szCs w:val="32"/>
          <w:lang w:val="en-US" w:eastAsia="zh-CN"/>
        </w:rPr>
        <w:t>2</w:t>
      </w:r>
      <w:r>
        <w:rPr>
          <w:rFonts w:hint="eastAsia" w:ascii="仿宋_GB2312" w:hAnsi="宋体" w:eastAsia="仿宋_GB2312"/>
          <w:bCs/>
          <w:sz w:val="32"/>
          <w:szCs w:val="32"/>
          <w:lang w:eastAsia="zh-CN"/>
        </w:rPr>
        <w:t>）</w:t>
      </w:r>
      <w:r>
        <w:rPr>
          <w:rFonts w:hint="eastAsia" w:ascii="仿宋_GB2312" w:hAnsi="宋体" w:eastAsia="仿宋_GB2312"/>
          <w:bCs/>
          <w:sz w:val="32"/>
          <w:szCs w:val="32"/>
        </w:rPr>
        <w:t>乡（镇）人民政府主要职责：1.贯彻执行党的路线、方针、政策和国家法律法规，贯彻执行上级行政机关决定、命令及本级党委的决定，执行本级乡（镇）人民代表大会的决议；2.执行本乡（镇）行政区域内的经济和社会发展计划、预算，管理本乡镇行政区域内的经济、教育、科学、文化、卫生、体育等事业和生态环境保护、财政、民政、社会保障、公安、司法行政、人口与计划生育等行政工作；3.保护社会主义的全民所有的财产和劳动群众集体所有的财产，保护公民私人所有的合法财产，维护社会秩序，保障公民的人身权利、民主权利和其他权利；4.保护各种经济组织的合法权益；5.铸牢中华民族共同体意识，促进各民族广泛交往交流交融，保障少数民族的合法权利和利益，保障少数民族保持或者改革自己的风俗习惯的自由；6.保障宪法和法律赋予妇女的男女平等、同工同酬和婚姻自由等各项权利；7.办理库尔勒市委、人民政府交办的其他事项。街道党工委作为库尔勒市委派出机关，要紧紧围绕新时代党的治疆方略、特别是社会稳定和长治久安总目标，不断加强基层基础建设，充分发挥统揽全局的核心领导作用，夯实党在城市的执政基础。街道办事处作为库尔勒市人民政府派出机关，在本辖区内办理库尔勒市人民政府交办的公共服务、公共管理、公共安全等工作，依法履行综合管理、统筹协调、应急处置和行政执法等职责，反映居民的意见和要求，对基层群众性自治组织的工作给予指导、支持和帮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2.机构设置及人员情况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库尔勒市和什力克乡人民政府无下属预算单位，下设了5办5中心，分别是：党政综合办公室、党建工作办公室、经济发展和财政办公室、社会事务办公室（退伍军人服务站）、综合执法办公室农业发展服务中心、公共文化服务中心、村镇建设发展中心、综合和网格化服务中心、便民服务中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仿宋_GB2312" w:hAnsi="宋体" w:eastAsia="仿宋_GB2312"/>
          <w:bCs/>
          <w:sz w:val="32"/>
          <w:szCs w:val="32"/>
        </w:rPr>
      </w:pPr>
      <w:r>
        <w:rPr>
          <w:rFonts w:hint="eastAsia" w:ascii="仿宋_GB2312" w:hAnsi="宋体" w:eastAsia="仿宋_GB2312"/>
          <w:bCs/>
          <w:sz w:val="32"/>
          <w:szCs w:val="32"/>
        </w:rPr>
        <w:t>库尔勒市和什力克乡人民政府编制数72人，实有人数100人，其中在职人数76人，减少人数0人，退休人数24人，增加人数0人：离休人数0人，增加人数0人。</w:t>
      </w:r>
      <w:bookmarkStart w:id="0" w:name="_Hlk43849111"/>
      <w:bookmarkEnd w:id="0"/>
    </w:p>
    <w:p>
      <w:pPr>
        <w:keepNext w:val="0"/>
        <w:keepLines w:val="0"/>
        <w:pageBreakBefore w:val="0"/>
        <w:kinsoku/>
        <w:wordWrap/>
        <w:overflowPunct/>
        <w:topLinePunct w:val="0"/>
        <w:autoSpaceDE/>
        <w:autoSpaceDN/>
        <w:bidi w:val="0"/>
        <w:adjustRightInd/>
        <w:spacing w:line="560" w:lineRule="exact"/>
        <w:ind w:firstLine="643" w:firstLineChars="200"/>
        <w:jc w:val="left"/>
        <w:textAlignment w:val="auto"/>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keepNext w:val="0"/>
        <w:keepLines w:val="0"/>
        <w:pageBreakBefore w:val="0"/>
        <w:kinsoku/>
        <w:wordWrap/>
        <w:overflowPunct/>
        <w:topLinePunct w:val="0"/>
        <w:autoSpaceDE/>
        <w:autoSpaceDN/>
        <w:bidi w:val="0"/>
        <w:adjustRightInd/>
        <w:spacing w:line="560" w:lineRule="exact"/>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1.年度总体目标</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目标1：覆盖基层组织个数6个，有效解决乡镇公共服务运行经费保障，服务乡村数量不少于6个，要提升村、组党组织服务群众能力，减轻农民负担；</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目标2：通过村社区、组党组织惠民政策的实施，村社区、组党建服务品牌建设，村社区组公共事业的补助和实施等为民办实事的开展，确保为民实施件数达到10件，为民办实事工作覆盖率达到100%以上。提升村社区、组党组织服务群众能力；</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目标3：在乡镇开展各项教育培训活动，提高干部及群众综合素质，有效提升服务群众水平，提高职业介绍和就业指导次数不少于10次，提高就业问题；</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目标4：明显改善农村村容村貌，清洁卫生，促进农村建设，改善老百胜生产生活环境，提高人民生说水平，农牧民使用技能培训场次不少于10次；</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目标5：抓好财政收支管理及村集体经济审计工作，审计单位6个，做好编制、公开、达到预算绩效全覆盖，将绩效管理纳入编辑，执行、监督全过程，强化绩效目标管理。</w:t>
      </w:r>
      <w:r>
        <w:rPr>
          <w:rFonts w:hint="eastAsia" w:ascii="仿宋_GB2312" w:hAnsi="宋体" w:eastAsia="仿宋_GB2312"/>
          <w:bCs/>
          <w:sz w:val="32"/>
          <w:szCs w:val="32"/>
        </w:rPr>
        <w:br w:type="textWrapping"/>
      </w:r>
      <w:r>
        <w:rPr>
          <w:rFonts w:hint="eastAsia" w:ascii="仿宋_GB2312" w:hAnsi="宋体" w:eastAsia="仿宋_GB2312"/>
          <w:bCs/>
          <w:sz w:val="32"/>
          <w:szCs w:val="32"/>
        </w:rPr>
        <w:t>2.重点工作计划</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2024年，库尔勒市和什力克乡坚持把学习习近平新时代中国特色社会主义思想作为主线，坚定坚决贯彻落实以习近平同志为核心的党中央治疆方略，特别是社会稳定和长治久安总目标，在市党委、市政府的坚强领导下，扎实落实中央第三次新疆工作座谈会的总体工作部署，以饱满的热情和更加有力的举措推动各项工作落实。</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具体如下：</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我单位深入学习贯彻党的二十大精神，坚持以习近平新时代中国特色社会主义思想为指引，着力解决突出问题，深入推进干部能力建设，把坚定理想信念作为根本目标、把培育先进典型作为重要举措、把党群共建作为重要内容、把创建活动作为重要载体，开展好每月主题党日和每周政治学习。</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聚焦“两个维护”，把政治建设摆在首位、落到实处。推动各级党组织和广大党员坚决落实“两个维护”；深入学习贯彻习近平新时代中国特色社会主义思想和党的二十大精神。</w:t>
      </w:r>
      <w:r>
        <w:rPr>
          <w:rFonts w:hint="eastAsia" w:ascii="仿宋_GB2312" w:hAnsi="宋体" w:eastAsia="仿宋_GB2312"/>
          <w:bCs/>
          <w:sz w:val="32"/>
          <w:szCs w:val="32"/>
        </w:rPr>
        <w:br w:type="textWrapping"/>
      </w:r>
      <w:r>
        <w:rPr>
          <w:rFonts w:hint="eastAsia" w:ascii="仿宋_GB2312" w:hAnsi="宋体" w:eastAsia="仿宋_GB2312"/>
          <w:bCs/>
          <w:sz w:val="32"/>
          <w:szCs w:val="32"/>
        </w:rPr>
        <w:t>聚焦高素质专业化，打造忠诚干净担当的干部队伍。严格标准，坚持正确用人导向；严格教育，推进干部能力建设；严格考察，着力考准考实干部；严格考核，提升工作动能；严管与厚爱并重，激励干部新担当新作为。</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聚焦组织力提升，推进基层党组织全面进步、全面过硬。层层压实责任；全力推进抓党建促脱贫；推进“九项重点任务”落实；统筹推进城市等其他领域党建工作；全面从严加强党员教育管理。</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仿宋_GB2312" w:hAnsi="宋体" w:eastAsia="仿宋_GB2312"/>
          <w:bCs/>
          <w:sz w:val="32"/>
          <w:szCs w:val="32"/>
        </w:rPr>
      </w:pPr>
      <w:r>
        <w:rPr>
          <w:rFonts w:hint="eastAsia" w:ascii="仿宋_GB2312" w:hAnsi="宋体" w:eastAsia="仿宋_GB2312"/>
          <w:bCs/>
          <w:sz w:val="32"/>
          <w:szCs w:val="32"/>
        </w:rPr>
        <w:t>库尔勒市和什力克乡人民政府2024年通过本部门预算支出，确保了76名在职人员的工资、津贴、补贴、社保、绩效、公积金等以及24名离退休人员的工资、医疗费等。人员保障性经费能够依规、按时、足额发放或缴纳，提升部门人员工作积极性和服务质量。同时，保障了部门全年正常运转，为部门正常履职和开展综合性事务管理提供有效支撑，确保了公用保障性经费按照财政安排和相关工作要求及时支出。</w:t>
      </w:r>
    </w:p>
    <w:p>
      <w:pPr>
        <w:keepNext w:val="0"/>
        <w:keepLines w:val="0"/>
        <w:pageBreakBefore w:val="0"/>
        <w:kinsoku/>
        <w:wordWrap/>
        <w:overflowPunct/>
        <w:topLinePunct w:val="0"/>
        <w:autoSpaceDE/>
        <w:autoSpaceDN/>
        <w:bidi w:val="0"/>
        <w:adjustRightInd/>
        <w:spacing w:line="560" w:lineRule="exact"/>
        <w:jc w:val="left"/>
        <w:textAlignment w:val="auto"/>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keepNext w:val="0"/>
        <w:keepLines w:val="0"/>
        <w:pageBreakBefore w:val="0"/>
        <w:kinsoku/>
        <w:wordWrap/>
        <w:overflowPunct/>
        <w:topLinePunct w:val="0"/>
        <w:autoSpaceDE/>
        <w:autoSpaceDN/>
        <w:bidi w:val="0"/>
        <w:adjustRightInd/>
        <w:spacing w:line="560" w:lineRule="exact"/>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（三）部门单位整体预算规模及安排情况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2024年库尔勒市和什力克乡年初预算安排2233.75万元，其中财政拨款2233.75万元，其他资金0.00万元，主要用于基本工资、津贴补贴、奖金、机关事业单位基本养老保险缴费、职业年金缴费、职工基本医疗保险缴费、办公费、差旅费、维修（护）费、福利费、退休费，生活补助，其他个人补助支出，和什力克乡实施的2021年援疆项目第一批资金[库尔勒市和什力克乡上和什力克村村级组织活动场所建设项目]、2024年塔里木河干流生态综合治理项目（乡镇52.96万）、2024年新疆中央基建专项[第一批]（2024年和乡柳林村村级组织场所）、2021年第三批新疆专项中央基建投资预算巴财建[2021]105号（上和村萨依力克村级活动场所）、2024年自治区财政衔接推进乡村振兴补助资金（萨依力克村污水管网一期建设项目）、2023年中央财政衔接推进乡村振兴补助资金预算（和乡柳林村-库勒村养殖小区建设项目）、2024年自治区财政衔接推进乡村振兴补助资金（萨依力克村自来水管网改造项目）项目等资金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年中调整155.14万元，调整后全年预算2388.89万元，预算调整率6.94%，调整预算的主要原因为：年中增加“三北”工程建设、农村基础设施建设支出及附属单位上缴收入。</w:t>
      </w:r>
    </w:p>
    <w:p>
      <w:pPr>
        <w:keepNext w:val="0"/>
        <w:keepLines w:val="0"/>
        <w:pageBreakBefore w:val="0"/>
        <w:numPr>
          <w:ilvl w:val="0"/>
          <w:numId w:val="2"/>
        </w:numPr>
        <w:kinsoku/>
        <w:wordWrap/>
        <w:overflowPunct/>
        <w:topLinePunct w:val="0"/>
        <w:autoSpaceDE/>
        <w:autoSpaceDN/>
        <w:bidi w:val="0"/>
        <w:adjustRightInd/>
        <w:snapToGrid w:val="0"/>
        <w:spacing w:line="560" w:lineRule="exact"/>
        <w:ind w:firstLine="643" w:firstLineChars="200"/>
        <w:textAlignment w:val="auto"/>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keepNext w:val="0"/>
        <w:keepLines w:val="0"/>
        <w:pageBreakBefore w:val="0"/>
        <w:numPr>
          <w:ilvl w:val="0"/>
          <w:numId w:val="3"/>
        </w:numPr>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部门单位整体支出管理情况</w:t>
      </w:r>
      <w:r>
        <w:rPr>
          <w:rFonts w:hint="eastAsia" w:ascii="仿宋_GB2312" w:hAnsi="宋体" w:eastAsia="仿宋_GB2312"/>
          <w:bCs/>
          <w:sz w:val="32"/>
          <w:szCs w:val="32"/>
        </w:rPr>
        <w:br w:type="textWrapping"/>
      </w:r>
      <w:r>
        <w:rPr>
          <w:rFonts w:hint="eastAsia" w:ascii="仿宋_GB2312" w:hAnsi="宋体" w:eastAsia="仿宋_GB2312"/>
          <w:bCs/>
          <w:sz w:val="32"/>
          <w:szCs w:val="32"/>
        </w:rPr>
        <w:t>1.预算编制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2024年我部门坚持围绕中心工作，科学谋划预算资金安排，依据规定程序和要求，及时完成部门预算编制申报，同时合理设定入库项目绩效指标、年度目标值，科学构建部门整体支出核心绩效指标体系和编报部门整体预算申请绩效报告，推动提高财政资金配置效益。</w:t>
      </w:r>
      <w:r>
        <w:rPr>
          <w:rFonts w:hint="eastAsia" w:ascii="仿宋_GB2312" w:hAnsi="宋体" w:eastAsia="仿宋_GB2312"/>
          <w:bCs/>
          <w:sz w:val="32"/>
          <w:szCs w:val="32"/>
        </w:rPr>
        <w:br w:type="textWrapping"/>
      </w:r>
      <w:r>
        <w:rPr>
          <w:rFonts w:hint="eastAsia" w:ascii="仿宋_GB2312" w:hAnsi="宋体" w:eastAsia="仿宋_GB2312"/>
          <w:bCs/>
          <w:sz w:val="32"/>
          <w:szCs w:val="32"/>
        </w:rPr>
        <w:t>2.预算执行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库尔勒市财政批复预算后，我单位按要求及时制定并报批部门预算支出计划，严格落实预算执行定期分析机制，靠前抓好支出执行，坚持严肃财经纪律，硬化预算约束，持续树牢厉行节约理念，严控一般性支出，努力降低行政、事业运行成本。</w:t>
      </w:r>
      <w:r>
        <w:rPr>
          <w:rFonts w:hint="eastAsia" w:ascii="仿宋_GB2312" w:hAnsi="宋体" w:eastAsia="仿宋_GB2312"/>
          <w:bCs/>
          <w:sz w:val="32"/>
          <w:szCs w:val="32"/>
        </w:rPr>
        <w:br w:type="textWrapping"/>
      </w:r>
      <w:r>
        <w:rPr>
          <w:rFonts w:hint="eastAsia" w:ascii="仿宋_GB2312" w:hAnsi="宋体" w:eastAsia="仿宋_GB2312"/>
          <w:bCs/>
          <w:sz w:val="32"/>
          <w:szCs w:val="32"/>
        </w:rPr>
        <w:t>3.绩效管理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2024年，我单位严格按照财政要求，落实预算绩效管理全过程，包括①注重绩效目标编制，预算编制环节注重编细编实预算需求，科学选择绩效指标，合理设置绩效目标值，并严格按照财政统一要求，规范编制事前绩效报告，为财政资金发挥效益夯实基础。②落实绩效“双监控”，预算执行过程中，以年度支出计划为基础，定期分析预算执行和绩效目标落实情况，并依托财政预算绩效管理平台分5月、8月对预算执行动态进行实时监控，发现问题及时纠偏，确保绩效目标落地落实。③扎实开展自评工作，年度终了，扎实开展预算绩效目标完成情况部门审核和自评工作。</w:t>
      </w:r>
      <w:r>
        <w:rPr>
          <w:rFonts w:hint="eastAsia" w:ascii="仿宋_GB2312" w:hAnsi="宋体" w:eastAsia="仿宋_GB2312"/>
          <w:bCs/>
          <w:sz w:val="32"/>
          <w:szCs w:val="32"/>
        </w:rPr>
        <w:br w:type="textWrapping"/>
      </w:r>
      <w:r>
        <w:rPr>
          <w:rFonts w:hint="eastAsia" w:ascii="仿宋_GB2312" w:hAnsi="宋体" w:eastAsia="仿宋_GB2312"/>
          <w:bCs/>
          <w:sz w:val="32"/>
          <w:szCs w:val="32"/>
        </w:rPr>
        <w:t>4.信息公开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我单位已按要求在我单位库尔勒市人民政府门户网站公开部门预算信息，同步公开绩效目标表；在我单位库尔勒市人民政府门户网站公开部门决算信息，同步公开自评表及自评报告。</w:t>
      </w:r>
      <w:r>
        <w:rPr>
          <w:rFonts w:hint="eastAsia" w:ascii="仿宋_GB2312" w:hAnsi="宋体" w:eastAsia="仿宋_GB2312"/>
          <w:bCs/>
          <w:sz w:val="32"/>
          <w:szCs w:val="32"/>
        </w:rPr>
        <w:br w:type="textWrapping"/>
      </w:r>
      <w:r>
        <w:rPr>
          <w:rFonts w:hint="eastAsia" w:ascii="仿宋_GB2312" w:hAnsi="宋体" w:eastAsia="仿宋_GB2312"/>
          <w:bCs/>
          <w:sz w:val="32"/>
          <w:szCs w:val="32"/>
        </w:rPr>
        <w:t>（二）部门单位整体支出使用情况</w:t>
      </w:r>
      <w:r>
        <w:rPr>
          <w:rFonts w:hint="eastAsia" w:ascii="仿宋_GB2312" w:hAnsi="宋体" w:eastAsia="仿宋_GB2312"/>
          <w:bCs/>
          <w:sz w:val="32"/>
          <w:szCs w:val="32"/>
        </w:rPr>
        <w:br w:type="textWrapping"/>
      </w:r>
      <w:r>
        <w:rPr>
          <w:rFonts w:hint="eastAsia" w:ascii="仿宋_GB2312" w:hAnsi="宋体" w:eastAsia="仿宋_GB2312"/>
          <w:bCs/>
          <w:sz w:val="32"/>
          <w:szCs w:val="32"/>
        </w:rPr>
        <w:t>1.基本支出情况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2024年基本支出1736.42万元，包括工资福利支出1424.11万元，商品和服务支出185.68万元，对个人和家庭的补助124.83万元，资本性支出1.8万元。其中：“三公”经费支出15.86万元，比上年减少3.33万元，主要原因是公务车辆维修次数比去年减少；会议费支出0万元，比上年增加0；培训费支出5.23万元，比上年减少1.5万元，主要原因是2024年在职干部安排考察培训次数比去年减少。</w:t>
      </w:r>
      <w:r>
        <w:rPr>
          <w:rFonts w:hint="eastAsia" w:ascii="仿宋_GB2312" w:hAnsi="宋体" w:eastAsia="仿宋_GB2312"/>
          <w:bCs/>
          <w:sz w:val="32"/>
          <w:szCs w:val="32"/>
        </w:rPr>
        <w:br w:type="textWrapping"/>
      </w:r>
      <w:r>
        <w:rPr>
          <w:rFonts w:hint="eastAsia" w:ascii="仿宋_GB2312" w:hAnsi="宋体" w:eastAsia="仿宋_GB2312"/>
          <w:bCs/>
          <w:sz w:val="32"/>
          <w:szCs w:val="32"/>
        </w:rPr>
        <w:t>2.专项资金支出情况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2024年专项项目支出652.46万元，占总支出的29.20％，和什力克乡实施的2021年援疆项目第一批资金[库尔勒市和什力克乡上和什力克村村级组织活动场所建设项目]、2024年塔里木河干流生态综合治理项目（乡镇52.96万）、2024年新疆中央基建专项[第一批]（2024年和乡柳林村村级组织场所）、2021年第三批新疆专项中央基建投资预算巴财建[2021]105号（上和村萨依力克村级活动场所）、2024年自治区财政衔接推进乡村振兴补助资金（萨依力克村污水管网一期建设项目）、2023年中央财政衔接推进乡村振兴补助资金预算（和乡柳林村-库勒村养殖小区建设项目）、2024年自治区财政衔接推进乡村振兴补助资金（萨依力克村自来水管网改造项目）项目等资金支出。</w:t>
      </w:r>
      <w:r>
        <w:rPr>
          <w:rFonts w:hint="eastAsia" w:ascii="仿宋_GB2312" w:hAnsi="宋体" w:eastAsia="仿宋_GB2312"/>
          <w:bCs/>
          <w:sz w:val="32"/>
          <w:szCs w:val="32"/>
        </w:rPr>
        <w:br w:type="textWrapping"/>
      </w:r>
      <w:r>
        <w:rPr>
          <w:rFonts w:hint="eastAsia" w:ascii="仿宋_GB2312" w:hAnsi="宋体" w:eastAsia="仿宋_GB2312"/>
          <w:bCs/>
          <w:sz w:val="32"/>
          <w:szCs w:val="32"/>
        </w:rPr>
        <w:t>3.部门单位专项组织实施情况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年初我单位下发的6专项、6专项按照年初工作计划，对项目的工作分工、任务分配、资金落实、完成时限等提出了明确、具体的要求，以确保项目保质、保量、按时完成。截至2024年12月31日，完成专项2个，未完成专项4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bCs/>
          <w:sz w:val="32"/>
          <w:szCs w:val="32"/>
        </w:rPr>
      </w:pPr>
      <w:r>
        <w:rPr>
          <w:rFonts w:hint="eastAsia" w:ascii="仿宋_GB2312" w:hAnsi="宋体" w:eastAsia="仿宋_GB2312"/>
          <w:bCs/>
          <w:sz w:val="32"/>
          <w:szCs w:val="32"/>
        </w:rPr>
        <w:t>为规范专项资金使用，提高专项资金使用效益，我单位主要采取四项措施。制订专项资金管理制度；资金使用严格遵循了国家相关法律法规与财务制度，保证资金的合理使用，便于上级主管部门检查、监督，实行转款专用，不得以任何理由按部门切块或挪作</w:t>
      </w:r>
      <w:r>
        <w:rPr>
          <w:rFonts w:hint="eastAsia" w:ascii="仿宋_GB2312" w:hAnsi="宋体" w:eastAsia="仿宋_GB2312"/>
          <w:bCs/>
          <w:sz w:val="32"/>
          <w:szCs w:val="32"/>
          <w:lang w:val="en-US" w:eastAsia="zh-CN"/>
        </w:rPr>
        <w:t>他</w:t>
      </w:r>
      <w:bookmarkStart w:id="1" w:name="_GoBack"/>
      <w:bookmarkEnd w:id="1"/>
      <w:r>
        <w:rPr>
          <w:rFonts w:hint="eastAsia" w:ascii="仿宋_GB2312" w:hAnsi="宋体" w:eastAsia="仿宋_GB2312"/>
          <w:bCs/>
          <w:sz w:val="32"/>
          <w:szCs w:val="32"/>
        </w:rPr>
        <w:t>用，严格执行财务制度，各级领导及部门财务支出严格按制度办事，加强资金使用的跟踪检查和审计。</w:t>
      </w:r>
    </w:p>
    <w:p>
      <w:pPr>
        <w:keepNext w:val="0"/>
        <w:keepLines w:val="0"/>
        <w:pageBreakBefore w:val="0"/>
        <w:numPr>
          <w:ilvl w:val="0"/>
          <w:numId w:val="0"/>
        </w:numPr>
        <w:kinsoku/>
        <w:wordWrap/>
        <w:overflowPunct/>
        <w:topLinePunct w:val="0"/>
        <w:autoSpaceDE/>
        <w:autoSpaceDN/>
        <w:bidi w:val="0"/>
        <w:adjustRightInd/>
        <w:snapToGrid w:val="0"/>
        <w:spacing w:line="560" w:lineRule="exact"/>
        <w:textAlignment w:val="auto"/>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二、</w:t>
      </w: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keepNext w:val="0"/>
        <w:keepLines w:val="0"/>
        <w:pageBreakBefore w:val="0"/>
        <w:kinsoku/>
        <w:wordWrap/>
        <w:overflowPunct/>
        <w:topLinePunct w:val="0"/>
        <w:autoSpaceDE/>
        <w:autoSpaceDN/>
        <w:bidi w:val="0"/>
        <w:adjustRightInd/>
        <w:spacing w:line="560" w:lineRule="exact"/>
        <w:jc w:val="left"/>
        <w:textAlignment w:val="auto"/>
        <w:rPr>
          <w:rFonts w:hint="eastAsia" w:ascii="仿宋_GB2312" w:hAnsi="宋体" w:eastAsia="仿宋_GB2312"/>
          <w:bCs/>
          <w:sz w:val="32"/>
          <w:szCs w:val="32"/>
        </w:rPr>
      </w:pPr>
      <w:r>
        <w:rPr>
          <w:rFonts w:hint="eastAsia" w:ascii="仿宋_GB2312" w:hAnsi="宋体" w:eastAsia="仿宋_GB2312"/>
          <w:bCs/>
          <w:sz w:val="32"/>
          <w:szCs w:val="32"/>
        </w:rPr>
        <w:t>（一）预算执行情况分析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2024年库尔勒市和什力克乡总支出2388.89万元，预算执行率100%，其中一般公共服务支出1205.11万元，教育支出5.06万元，科学技术支出1.30万元，文化旅游体育与传媒支出12.58万元，社会保障和就业支出231.40万元，卫生健康支出76.73万元，节能环保支出2.89万元，城乡社区支出96.50万元，农林水支出629.08万元，住房保障支出116.62万元，其他支出11.62万元。</w:t>
      </w:r>
      <w:r>
        <w:rPr>
          <w:rFonts w:hint="eastAsia" w:ascii="仿宋_GB2312" w:hAnsi="宋体" w:eastAsia="仿宋_GB2312"/>
          <w:bCs/>
          <w:sz w:val="32"/>
          <w:szCs w:val="32"/>
        </w:rPr>
        <w:br w:type="textWrapping"/>
      </w:r>
      <w:r>
        <w:rPr>
          <w:rFonts w:hint="eastAsia" w:ascii="仿宋_GB2312" w:hAnsi="宋体" w:eastAsia="仿宋_GB2312"/>
          <w:bCs/>
          <w:sz w:val="32"/>
          <w:szCs w:val="32"/>
        </w:rPr>
        <w:t>1.基本支出使用情况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2024年，库尔勒市和什力克乡基本支出1736.42万元，占总支出的72.68％，其中：一般公共服务支出1166.12万元，教育支出5.06万元，科学支出1.3万元，文化旅游体育与传媒支出12.58万元，社会保障和就业支出231.4万元，卫生健康支出76.73万元，农林水支出114.99万元，住房保障支出116.62万元，其他支出11.62万元。</w:t>
      </w:r>
      <w:r>
        <w:rPr>
          <w:rFonts w:hint="eastAsia" w:ascii="仿宋_GB2312" w:hAnsi="宋体" w:eastAsia="仿宋_GB2312"/>
          <w:bCs/>
          <w:sz w:val="32"/>
          <w:szCs w:val="32"/>
        </w:rPr>
        <w:br w:type="textWrapping"/>
      </w:r>
      <w:r>
        <w:rPr>
          <w:rFonts w:hint="eastAsia" w:ascii="仿宋_GB2312" w:hAnsi="宋体" w:eastAsia="仿宋_GB2312"/>
          <w:bCs/>
          <w:sz w:val="32"/>
          <w:szCs w:val="32"/>
        </w:rPr>
        <w:t>2.项目支出使用情况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2024年，库尔勒市和什力克乡项目支出652.46万元，占总支出的27.31％。其中：一般公共服务支出38.99万元，科学技术支出0万元，文化旅游体育与传媒支出0万元，节能环保支出2.89万元，城乡社区支出96.5万元，农林水支出514.08万元。</w:t>
      </w:r>
      <w:r>
        <w:rPr>
          <w:rFonts w:hint="eastAsia" w:ascii="仿宋_GB2312" w:hAnsi="宋体" w:eastAsia="仿宋_GB2312"/>
          <w:bCs/>
          <w:sz w:val="32"/>
          <w:szCs w:val="32"/>
        </w:rPr>
        <w:br w:type="textWrapping"/>
      </w:r>
      <w:r>
        <w:rPr>
          <w:rFonts w:hint="eastAsia" w:ascii="仿宋_GB2312" w:hAnsi="宋体" w:eastAsia="仿宋_GB2312"/>
          <w:bCs/>
          <w:sz w:val="32"/>
          <w:szCs w:val="32"/>
        </w:rPr>
        <w:t>（二）部门单位整体支出绩效指标完成情况分析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年初我单位设置部门整体绩效目标中包括一级指标1个（履职效能）二级指标1个，三级指标4个，指标完成情况分析如下：</w:t>
      </w:r>
      <w:r>
        <w:rPr>
          <w:rFonts w:hint="eastAsia" w:ascii="仿宋_GB2312" w:hAnsi="宋体" w:eastAsia="仿宋_GB2312"/>
          <w:bCs/>
          <w:sz w:val="32"/>
          <w:szCs w:val="32"/>
        </w:rPr>
        <w:br w:type="textWrapping"/>
      </w:r>
      <w:r>
        <w:rPr>
          <w:rFonts w:hint="eastAsia" w:ascii="仿宋_GB2312" w:hAnsi="宋体" w:eastAsia="仿宋_GB2312"/>
          <w:bCs/>
          <w:sz w:val="32"/>
          <w:szCs w:val="32"/>
        </w:rPr>
        <w:t>1.运行成本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无此项指标。</w:t>
      </w:r>
      <w:r>
        <w:rPr>
          <w:rFonts w:hint="eastAsia" w:ascii="仿宋_GB2312" w:hAnsi="宋体" w:eastAsia="仿宋_GB2312"/>
          <w:bCs/>
          <w:sz w:val="32"/>
          <w:szCs w:val="32"/>
        </w:rPr>
        <w:br w:type="textWrapping"/>
      </w:r>
      <w:r>
        <w:rPr>
          <w:rFonts w:hint="eastAsia" w:ascii="仿宋_GB2312" w:hAnsi="宋体" w:eastAsia="仿宋_GB2312"/>
          <w:bCs/>
          <w:sz w:val="32"/>
          <w:szCs w:val="32"/>
        </w:rPr>
        <w:t>2.管理效率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无此项指标。</w:t>
      </w:r>
      <w:r>
        <w:rPr>
          <w:rFonts w:hint="eastAsia" w:ascii="仿宋_GB2312" w:hAnsi="宋体" w:eastAsia="仿宋_GB2312"/>
          <w:bCs/>
          <w:sz w:val="32"/>
          <w:szCs w:val="32"/>
        </w:rPr>
        <w:br w:type="textWrapping"/>
      </w:r>
      <w:r>
        <w:rPr>
          <w:rFonts w:hint="eastAsia" w:ascii="仿宋_GB2312" w:hAnsi="宋体" w:eastAsia="仿宋_GB2312"/>
          <w:bCs/>
          <w:sz w:val="32"/>
          <w:szCs w:val="32"/>
        </w:rPr>
        <w:t>3.履职效能</w:t>
      </w:r>
      <w:r>
        <w:rPr>
          <w:rFonts w:hint="eastAsia" w:ascii="仿宋_GB2312" w:hAnsi="宋体" w:eastAsia="仿宋_GB2312"/>
          <w:bCs/>
          <w:sz w:val="32"/>
          <w:szCs w:val="32"/>
        </w:rPr>
        <w:br w:type="textWrapping"/>
      </w:r>
      <w:r>
        <w:rPr>
          <w:rFonts w:hint="eastAsia" w:ascii="仿宋_GB2312" w:hAnsi="宋体" w:eastAsia="仿宋_GB2312"/>
          <w:bCs/>
          <w:sz w:val="32"/>
          <w:szCs w:val="32"/>
        </w:rPr>
        <w:t>（1）数量指标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指标1：覆盖基层组织个数，指标值：&gt;=6个，年中监控完成值：=6个，自评完成值：=6个，指标完成率=100%，偏差0%。指标成效分析：覆盖基层组织正常运转，提高了工作效率或改善了工作质量及服务水平。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指标2：工作队在职人数，指标值：&gt;=14人，年中监控完成值：=14人，自评完成值：=14人，指标完成率100%，偏差0%。指标成效分析：通过在职工作队队员的各项工作有效完成，提高了工作质量及服务水平。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指标3：农牧民实用技能培训场次数，指标值：&gt;=10次，年中监控完成值：=10次，自评完成值：=10次，指标完成率100%，偏差0%。指标成效分析：通过常态化开展农牧民使用技能培训，提高了农牧民的各种种植知识和增值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指</w:t>
      </w:r>
      <w:r>
        <w:rPr>
          <w:rFonts w:hint="eastAsia" w:ascii="仿宋_GB2312" w:hAnsi="宋体" w:eastAsia="仿宋_GB2312"/>
          <w:bCs/>
          <w:sz w:val="32"/>
          <w:szCs w:val="32"/>
          <w:lang w:val="en-US" w:eastAsia="zh-CN"/>
        </w:rPr>
        <w:t>标</w:t>
      </w:r>
      <w:r>
        <w:rPr>
          <w:rFonts w:hint="eastAsia" w:ascii="仿宋_GB2312" w:hAnsi="宋体" w:eastAsia="仿宋_GB2312"/>
          <w:bCs/>
          <w:sz w:val="32"/>
          <w:szCs w:val="32"/>
        </w:rPr>
        <w:t>4：为民办实事件数量，指标值：&gt;=10件，年中监控完成值：=10件，自评完成值：=10件，指标完成率100%，偏差0%。指标成效分析：通过开展为民办实事工作，提高了给农牧民服务服务意识和便于农牧民办事和及时率。</w:t>
      </w:r>
      <w:r>
        <w:rPr>
          <w:rFonts w:hint="eastAsia" w:ascii="仿宋_GB2312" w:hAnsi="宋体" w:eastAsia="仿宋_GB2312"/>
          <w:bCs/>
          <w:sz w:val="32"/>
          <w:szCs w:val="32"/>
        </w:rPr>
        <w:br w:type="textWrapping"/>
      </w:r>
      <w:r>
        <w:rPr>
          <w:rFonts w:hint="eastAsia" w:ascii="仿宋_GB2312" w:hAnsi="宋体" w:eastAsia="仿宋_GB2312"/>
          <w:bCs/>
          <w:sz w:val="32"/>
          <w:szCs w:val="32"/>
        </w:rPr>
        <w:t>4.社会效益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无此项指标。</w:t>
      </w:r>
      <w:r>
        <w:rPr>
          <w:rFonts w:hint="eastAsia" w:ascii="仿宋_GB2312" w:hAnsi="宋体" w:eastAsia="仿宋_GB2312"/>
          <w:bCs/>
          <w:sz w:val="32"/>
          <w:szCs w:val="32"/>
        </w:rPr>
        <w:br w:type="textWrapping"/>
      </w:r>
      <w:r>
        <w:rPr>
          <w:rFonts w:hint="eastAsia" w:ascii="仿宋_GB2312" w:hAnsi="宋体" w:eastAsia="仿宋_GB2312"/>
          <w:bCs/>
          <w:sz w:val="32"/>
          <w:szCs w:val="32"/>
        </w:rPr>
        <w:t>5.可持续发展能力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无此项指标。</w:t>
      </w:r>
      <w:r>
        <w:rPr>
          <w:rFonts w:hint="eastAsia" w:ascii="仿宋_GB2312" w:hAnsi="宋体" w:eastAsia="仿宋_GB2312"/>
          <w:bCs/>
          <w:sz w:val="32"/>
          <w:szCs w:val="32"/>
        </w:rPr>
        <w:br w:type="textWrapping"/>
      </w:r>
      <w:r>
        <w:rPr>
          <w:rFonts w:hint="eastAsia" w:ascii="仿宋_GB2312" w:hAnsi="宋体" w:eastAsia="仿宋_GB2312"/>
          <w:bCs/>
          <w:sz w:val="32"/>
          <w:szCs w:val="32"/>
        </w:rPr>
        <w:t>6.服务对象满意度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宋体" w:eastAsia="仿宋_GB2312"/>
          <w:b/>
          <w:sz w:val="32"/>
          <w:szCs w:val="32"/>
        </w:rPr>
      </w:pPr>
      <w:r>
        <w:rPr>
          <w:rFonts w:hint="eastAsia" w:ascii="仿宋_GB2312" w:hAnsi="宋体" w:eastAsia="仿宋_GB2312"/>
          <w:bCs/>
          <w:sz w:val="32"/>
          <w:szCs w:val="32"/>
        </w:rPr>
        <w:t>无此项指标。</w:t>
      </w:r>
    </w:p>
    <w:p>
      <w:pPr>
        <w:keepNext w:val="0"/>
        <w:keepLines w:val="0"/>
        <w:pageBreakBefore w:val="0"/>
        <w:numPr>
          <w:ilvl w:val="0"/>
          <w:numId w:val="0"/>
        </w:numPr>
        <w:kinsoku/>
        <w:wordWrap/>
        <w:overflowPunct/>
        <w:topLinePunct w:val="0"/>
        <w:autoSpaceDE/>
        <w:autoSpaceDN/>
        <w:bidi w:val="0"/>
        <w:adjustRightInd/>
        <w:snapToGrid w:val="0"/>
        <w:spacing w:line="560" w:lineRule="exact"/>
        <w:textAlignment w:val="auto"/>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三、</w:t>
      </w:r>
      <w:r>
        <w:rPr>
          <w:rFonts w:hint="eastAsia" w:ascii="黑体" w:hAnsi="黑体" w:eastAsia="黑体" w:cs="宋体"/>
          <w:b/>
          <w:color w:val="000000" w:themeColor="text1"/>
          <w:sz w:val="32"/>
          <w:szCs w:val="32"/>
          <w:lang w:bidi="ar"/>
          <w14:textFill>
            <w14:solidFill>
              <w14:schemeClr w14:val="tx1"/>
            </w14:solidFill>
          </w14:textFill>
        </w:rPr>
        <w:t>评价结论：</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ascii="仿宋_GB2312" w:hAnsi="宋体" w:eastAsia="仿宋_GB2312"/>
          <w:bCs/>
          <w:sz w:val="32"/>
          <w:szCs w:val="32"/>
        </w:rPr>
      </w:pPr>
      <w:r>
        <w:rPr>
          <w:rFonts w:hint="eastAsia" w:ascii="仿宋_GB2312" w:hAnsi="宋体" w:eastAsia="仿宋_GB2312"/>
          <w:bCs/>
          <w:sz w:val="32"/>
          <w:szCs w:val="32"/>
        </w:rPr>
        <w:t>2024年度部门整体支出绩效自评综合得分100分，评价结果为“优”。</w:t>
      </w:r>
    </w:p>
    <w:p>
      <w:pPr>
        <w:keepNext w:val="0"/>
        <w:keepLines w:val="0"/>
        <w:pageBreakBefore w:val="0"/>
        <w:numPr>
          <w:ilvl w:val="0"/>
          <w:numId w:val="0"/>
        </w:numPr>
        <w:kinsoku/>
        <w:wordWrap/>
        <w:overflowPunct/>
        <w:topLinePunct w:val="0"/>
        <w:autoSpaceDE/>
        <w:autoSpaceDN/>
        <w:bidi w:val="0"/>
        <w:adjustRightInd/>
        <w:snapToGrid w:val="0"/>
        <w:spacing w:line="560" w:lineRule="exact"/>
        <w:jc w:val="both"/>
        <w:textAlignment w:val="auto"/>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四、</w:t>
      </w: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keepNext w:val="0"/>
        <w:keepLines w:val="0"/>
        <w:pageBreakBefore w:val="0"/>
        <w:kinsoku/>
        <w:wordWrap/>
        <w:overflowPunct/>
        <w:topLinePunct w:val="0"/>
        <w:autoSpaceDE/>
        <w:autoSpaceDN/>
        <w:bidi w:val="0"/>
        <w:adjustRightInd/>
        <w:spacing w:line="560" w:lineRule="exact"/>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1.预算绩效观念不深入。</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在日常绩效监控工作中存在着一定程度的“重分配、轻管理、重支出、轻绩效”的情况，造成该问题的主要原因是自身绩效理念较薄弱，单位绩效目标编制仍有缺失，需要进一步加强对资金绩效管理的重视程度。</w:t>
      </w:r>
      <w:r>
        <w:rPr>
          <w:rFonts w:hint="eastAsia" w:ascii="仿宋_GB2312" w:hAnsi="宋体" w:eastAsia="仿宋_GB2312"/>
          <w:bCs/>
          <w:sz w:val="32"/>
          <w:szCs w:val="32"/>
        </w:rPr>
        <w:br w:type="textWrapping"/>
      </w:r>
      <w:r>
        <w:rPr>
          <w:rFonts w:hint="eastAsia" w:ascii="仿宋_GB2312" w:hAnsi="宋体" w:eastAsia="仿宋_GB2312"/>
          <w:bCs/>
          <w:sz w:val="32"/>
          <w:szCs w:val="32"/>
        </w:rPr>
        <w:t>2.预算绩效规范管理有盲点。</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ascii="仿宋_GB2312" w:hAnsi="宋体" w:eastAsia="仿宋_GB2312"/>
          <w:bCs/>
          <w:sz w:val="32"/>
          <w:szCs w:val="32"/>
        </w:rPr>
      </w:pPr>
      <w:r>
        <w:rPr>
          <w:rFonts w:hint="eastAsia" w:ascii="仿宋_GB2312" w:hAnsi="宋体" w:eastAsia="仿宋_GB2312"/>
          <w:bCs/>
          <w:sz w:val="32"/>
          <w:szCs w:val="32"/>
        </w:rPr>
        <w:t>财务人员面对当前绩效管理工作既没有现成的经验可供借鉴，又缺乏专业性很强的技能储备，只能是边工作、边学习、边积累，短期内部分工作只能停留在表面，难以做到程序规范、管理科学，难以满足当前绩效管理要求。</w:t>
      </w:r>
    </w:p>
    <w:p>
      <w:pPr>
        <w:keepNext w:val="0"/>
        <w:keepLines w:val="0"/>
        <w:pageBreakBefore w:val="0"/>
        <w:numPr>
          <w:ilvl w:val="0"/>
          <w:numId w:val="0"/>
        </w:numPr>
        <w:kinsoku/>
        <w:wordWrap/>
        <w:overflowPunct/>
        <w:topLinePunct w:val="0"/>
        <w:autoSpaceDE/>
        <w:autoSpaceDN/>
        <w:bidi w:val="0"/>
        <w:adjustRightInd/>
        <w:snapToGrid w:val="0"/>
        <w:spacing w:line="560" w:lineRule="exact"/>
        <w:textAlignment w:val="auto"/>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五、</w:t>
      </w:r>
      <w:r>
        <w:rPr>
          <w:rFonts w:hint="eastAsia" w:ascii="黑体" w:hAnsi="黑体" w:eastAsia="黑体" w:cs="宋体"/>
          <w:b/>
          <w:color w:val="000000" w:themeColor="text1"/>
          <w:sz w:val="32"/>
          <w:szCs w:val="32"/>
          <w:lang w:bidi="ar"/>
          <w14:textFill>
            <w14:solidFill>
              <w14:schemeClr w14:val="tx1"/>
            </w14:solidFill>
          </w14:textFill>
        </w:rPr>
        <w:t>改进措施和建议：</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1.加强学习。进一步明确如何参照考核体系，科学合理设定绩效目标，充分发挥预算绩效管理工作效用。</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ascii="仿宋_GB2312" w:hAnsi="宋体" w:eastAsia="仿宋_GB2312"/>
          <w:bCs/>
          <w:sz w:val="32"/>
          <w:szCs w:val="32"/>
        </w:rPr>
      </w:pPr>
      <w:r>
        <w:rPr>
          <w:rFonts w:hint="eastAsia" w:ascii="仿宋_GB2312" w:hAnsi="宋体" w:eastAsia="仿宋_GB2312"/>
          <w:bCs/>
          <w:sz w:val="32"/>
          <w:szCs w:val="32"/>
        </w:rPr>
        <w:t>2.财务上，会计核算要更加详细，为本单位各项工作的开展、总结、评估提供有效数据资料支撑,为各项业务工作更好的开展提供帮助。主要体现为基层财务工作基础还需进一步夯实，财务工作人员少，工作压力大，财务工作水平仍需要进一步提高。面对这些问题我们将认真分析，切实加以解决，进一步完善财务制度，规范财经纪律，严格控制非生产性开支，进一步提高项目支出水平。</w:t>
      </w:r>
    </w:p>
    <w:p>
      <w:pPr>
        <w:keepNext w:val="0"/>
        <w:keepLines w:val="0"/>
        <w:pageBreakBefore w:val="0"/>
        <w:kinsoku/>
        <w:wordWrap/>
        <w:overflowPunct/>
        <w:topLinePunct w:val="0"/>
        <w:autoSpaceDE/>
        <w:autoSpaceDN/>
        <w:bidi w:val="0"/>
        <w:adjustRightInd/>
        <w:spacing w:line="560" w:lineRule="exact"/>
        <w:ind w:firstLine="420" w:firstLineChars="200"/>
        <w:textAlignment w:val="auto"/>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7E307F"/>
    <w:multiLevelType w:val="singleLevel"/>
    <w:tmpl w:val="CF7E307F"/>
    <w:lvl w:ilvl="0" w:tentative="0">
      <w:start w:val="1"/>
      <w:numFmt w:val="decimal"/>
      <w:suff w:val="nothing"/>
      <w:lvlText w:val="（%1）"/>
      <w:lvlJc w:val="left"/>
    </w:lvl>
  </w:abstractNum>
  <w:abstractNum w:abstractNumId="1">
    <w:nsid w:val="DCC62A05"/>
    <w:multiLevelType w:val="singleLevel"/>
    <w:tmpl w:val="DCC62A05"/>
    <w:lvl w:ilvl="0" w:tentative="0">
      <w:start w:val="1"/>
      <w:numFmt w:val="chineseCounting"/>
      <w:suff w:val="nothing"/>
      <w:lvlText w:val="（%1）"/>
      <w:lvlJc w:val="left"/>
      <w:rPr>
        <w:rFonts w:hint="eastAsia"/>
      </w:rPr>
    </w:lvl>
  </w:abstractNum>
  <w:abstractNum w:abstractNumId="2">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56D45296"/>
    <w:rsid w:val="64F5745B"/>
    <w:rsid w:val="656071F2"/>
    <w:rsid w:val="6BF1756B"/>
    <w:rsid w:val="6F5E1AA3"/>
    <w:rsid w:val="72A57359"/>
    <w:rsid w:val="77E70532"/>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11</TotalTime>
  <ScaleCrop>false</ScaleCrop>
  <LinksUpToDate>false</LinksUpToDate>
  <CharactersWithSpaces>384</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lenovo</cp:lastModifiedBy>
  <dcterms:modified xsi:type="dcterms:W3CDTF">2025-09-02T08:06:17Z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4E2A216151A24EE5A190066F518526B7</vt:lpwstr>
  </property>
</Properties>
</file>