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库尔勒市司法局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承担全面依法治市重大问题的政策研究，协调有关方面提出全面依法治市中长期规划建议，负责有关重大决策部署督察工作；参与起草或者组织起草与库尔勒市有关的自治州地方性法规、政府规章草案。承办市属各部门报送州人民政府的地方性法规、政府规章 草案前期审查工作。承办法律草案、行政法规草案、地方性法规草案征求意见工作；负责行政规范性文件合法性审核、备案审查工作， 并对乡镇（街道）、市政府各部门的规范性文件审查工作进行指导和监督。组织开展行政规范性文件清理工作；承担统筹推进法治政 府建设的责任。指导、监督全市依法行政工作，负责行政执法的监督管理、综合协调工作，承担推进行政执法体制改革有关工作，推进严格规范公正文明执法。指导、监督全市行政复议和行政应诉工作。负责行政复议和应诉案件办理工作；承担统筹规划法治社会建设的责任。负责拟订法治宣传教育规划，组织实施普法宣传工作，组织对外法治宣传。推动人民参与和促进法治建设。指导依法治理和法治创建工作。负责人民监督员选任管理工作。负责促进和预防犯罪宣传教育工作；指导、管理社区矫正工作；指导刑满释放人员 帮教安置工作。刑满释放人员的安置教育工作。负责“去极端化”工作；指导、监督人民调解、行政调解、人民陪审员选任工作，推进司法所建设；负责拟订公共法律服务体系建设规划并指导实施，统筹和布局城乡法律服务资源。指导、监督律师、法律援助、公证和基层法律服务管理工作；负责本系统服装和警车管理工作，指导监督本系统财务、装备、设施、场所等保障工作；规划、协调、指导 法治人才队伍建设相关工作指导、监督本系统队伍建设。负责本系统警务管理工作；承办市党委、市人民政府交办的其他任务。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库尔勒市司法局2024年度，实有人数79人，其中：在职人员51人，减少1人；离休人员0人，较上年无变化；退休人员28人，增加3人。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ascii="仿宋_GB2312" w:eastAsia="仿宋_GB2312"/>
          <w:b w:val="0"/>
          <w:sz w:val="32"/>
          <w:szCs w:val="32"/>
        </w:rPr>
        <w:t>库尔勒市司法局无下属预算单位，</w:t>
      </w:r>
      <w:r>
        <w:rPr>
          <w:rFonts w:hint="eastAsia" w:ascii="仿宋_GB2312" w:eastAsia="仿宋_GB2312"/>
          <w:b w:val="0"/>
          <w:sz w:val="32"/>
          <w:szCs w:val="32"/>
        </w:rPr>
        <w:t>下设8个处室，分别是：办公室、法宣股、规范性文件管理室、矫正教育股、行政复议与应诉室、行政执法协调监督室、人民参与和促进法 治股、公证律师管理股</w:t>
      </w:r>
    </w:p>
    <w:p>
      <w:pPr>
        <w:widowControl/>
        <w:spacing w:before="0" w:beforeLines="0" w:beforeAutospacing="0" w:after="0" w:afterLines="0" w:afterAutospacing="0" w:line="240" w:lineRule="auto"/>
        <w:jc w:val="both"/>
        <w:rPr>
          <w:rFonts w:hint="eastAsia" w:ascii="仿宋_GB2312" w:eastAsia="仿宋_GB2312"/>
          <w:sz w:val="32"/>
          <w:szCs w:val="32"/>
          <w:lang w:val="en-US" w:eastAsia="zh-CN"/>
        </w:rPr>
      </w:pPr>
    </w:p>
    <w:p>
      <w:pPr>
        <w:widowControl/>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2024年度收入总计1,466.17万元，其中：本年收入合计1,466.17万元，使用非财政拨款结余（含专用结余）0.00万元，年初结转和结余0.00万元。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2024年度支出总计1,466.17万元，其中：本年支出合计1,466.17万元，结余分配0.00万元，年末结转和结余0.00万元。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收入支出总体与上年相比，增加171.55万元，增长13.25%，主要原因是：</w:t>
      </w:r>
      <w:r>
        <w:rPr>
          <w:rFonts w:hint="eastAsia" w:ascii="仿宋_GB2312" w:eastAsia="仿宋_GB2312"/>
          <w:b w:val="0"/>
          <w:sz w:val="32"/>
          <w:szCs w:val="32"/>
        </w:rPr>
        <w:t>上年度中央政法转移资金未拨付完全的于本年度拨付，导致本年度收入增加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本年收入1,466.17万元，其中：财政拨款收入1,466.17万元,占100.00%；上级补助收入0.00万元,占0.00%；事业收入0.00万元，占0.00%；经营收入0.00万元,占0.00%；附属单位上缴收入0.00万元，占0.00%；其他收入0.00万元，占0.00%。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本年支出1,466.17万元，其中：基本支出1,099.50万元，占74.99%；项目支出366.67万元，占25.01%；上缴上级支出0.00万元，占0.00%；经营支出0.00万元，占0.00%；对附属单位补助支出0.00万元，占0.00%。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1,466.17万元，其中：年初财政拨款结转和结余0.00万元，本年财政拨款收入1,466.17万元。财政拨款支出总计1,466.17万元，其中：年末财政拨款结转和结余0.00万元，本年财政拨款支出1,466.17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财政拨款收入支出总体与上年相比，增加171.55万元，增长13.25%，主要原因是：</w:t>
      </w:r>
      <w:r>
        <w:rPr>
          <w:rFonts w:hint="eastAsia" w:ascii="仿宋_GB2312" w:eastAsia="仿宋_GB2312"/>
          <w:b w:val="0"/>
          <w:sz w:val="32"/>
          <w:szCs w:val="32"/>
        </w:rPr>
        <w:t>上年度中央政法转移资金未拨付完全的于本年度拨付，导致本年度收入增加</w:t>
      </w:r>
      <w:r>
        <w:rPr>
          <w:rFonts w:ascii="仿宋_GB2312" w:eastAsia="仿宋_GB2312"/>
          <w:b w:val="0"/>
          <w:sz w:val="32"/>
          <w:szCs w:val="32"/>
        </w:rPr>
        <w:t>。与年初预算相比，年初预算数1,639.28万元，决算数1,466.17万元，预决算差异率-10.56%，主要原因是：</w:t>
      </w:r>
      <w:r>
        <w:rPr>
          <w:rFonts w:hint="eastAsia" w:ascii="仿宋_GB2312" w:eastAsia="仿宋_GB2312"/>
          <w:b w:val="0"/>
          <w:sz w:val="32"/>
          <w:szCs w:val="32"/>
        </w:rPr>
        <w:t>上年度未使用的中央政法转移资金结转于本年度，上年度未支付的中央政法支出于本年度支付</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2024年度一般公共预算财政拨款支出1,466.17万元，占本年支出合计的100.00%。与上年相比，增加171.55万元，增长13.25%，主要原因是：</w:t>
      </w:r>
      <w:r>
        <w:rPr>
          <w:rFonts w:hint="eastAsia" w:ascii="仿宋_GB2312" w:eastAsia="仿宋_GB2312"/>
          <w:b w:val="0"/>
          <w:sz w:val="32"/>
          <w:szCs w:val="32"/>
        </w:rPr>
        <w:t>上年度未使用的中央政法转移资金结转于本年度，上年度未支付的中央政法支出于本年度支付</w:t>
      </w:r>
      <w:r>
        <w:rPr>
          <w:rFonts w:ascii="仿宋_GB2312" w:eastAsia="仿宋_GB2312"/>
          <w:b w:val="0"/>
          <w:sz w:val="32"/>
          <w:szCs w:val="32"/>
        </w:rPr>
        <w:t>。与年初预算相比，年初预算数1,639.28万元，决算数1,466.17万元，预决算差异率-10.56%，主要原因是：</w:t>
      </w:r>
      <w:r>
        <w:rPr>
          <w:rFonts w:hint="eastAsia" w:ascii="仿宋_GB2312" w:eastAsia="仿宋_GB2312"/>
          <w:b w:val="0"/>
          <w:sz w:val="32"/>
          <w:szCs w:val="32"/>
        </w:rPr>
        <w:t>上年度未使用的中央政法转移资金结转于本年度，上年度未支付的中央政法支出于本年度支付</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公共安全支出（类）1,157.53万元，占78.95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社会保障和就业支出（类）159.09万元，占10.85%。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卫生健康支出（类）61.69万元，占4.21%。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住房保障支出（类）72.87万元，占4.97%。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其他支出（类）15.00万元，占1.02%。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公共安全支出（类）司法（款）行政运行（项）：支出决算数为790.86万元，比上年决算增加56.35万元，增长7.67%，主要原因是：</w:t>
      </w:r>
      <w:r>
        <w:rPr>
          <w:rFonts w:hint="eastAsia" w:ascii="仿宋_GB2312" w:eastAsia="仿宋_GB2312"/>
          <w:b w:val="0"/>
          <w:sz w:val="32"/>
          <w:szCs w:val="32"/>
          <w:lang w:val="en-US" w:eastAsia="zh-CN"/>
        </w:rPr>
        <w:t>本年度新增调入4人，工资社保基数调增。</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公共安全支出（类）司法（款）其他司法支出（项）：支出决算数为366.07万元，比上年决算增加132.29万元，增长56.59%，主要原因是：</w:t>
      </w:r>
      <w:r>
        <w:rPr>
          <w:rFonts w:hint="eastAsia" w:ascii="仿宋_GB2312" w:eastAsia="仿宋_GB2312"/>
          <w:b w:val="0"/>
          <w:sz w:val="32"/>
          <w:szCs w:val="32"/>
          <w:lang w:val="en-US" w:eastAsia="zh-CN"/>
        </w:rPr>
        <w:t>本年度新增调入4人，办公经费增加，同时新增购入一批办公设备。</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公共安全支出（类）其他公共安全支出（款）其他公共安全支出（项）：支出决算数为0.60万元，比上年决算增加0.60万元，增长100.00%，主要原因是：</w:t>
      </w:r>
      <w:r>
        <w:rPr>
          <w:rFonts w:hint="eastAsia" w:ascii="仿宋_GB2312" w:eastAsia="仿宋_GB2312"/>
          <w:b w:val="0"/>
          <w:sz w:val="32"/>
          <w:szCs w:val="32"/>
          <w:lang w:val="en-US" w:eastAsia="zh-CN"/>
        </w:rPr>
        <w:t>本年度新增调入4人，办公经费增加。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社会保障和就业支出（类）行政事业单位养老支出（款）行政单位离退休（项）：支出决算数为21.30万元，比上年决算增加5.00万元，增长30.67%，主要原因是：</w:t>
      </w:r>
      <w:r>
        <w:rPr>
          <w:rFonts w:hint="eastAsia" w:ascii="仿宋_GB2312" w:eastAsia="仿宋_GB2312"/>
          <w:b w:val="0"/>
          <w:sz w:val="32"/>
          <w:szCs w:val="32"/>
          <w:lang w:val="en-US" w:eastAsia="zh-CN"/>
        </w:rPr>
        <w:t>本年度新增退休人员5名。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社会保障和就业支出（类）行政事业单位养老支出（款）机关事业单位基本养老保险缴费支出（项）：支出决算数为98.12万元，比上年决算增加4.11万元，增长4.37%，主要原因是：</w:t>
      </w:r>
      <w:r>
        <w:rPr>
          <w:rFonts w:hint="eastAsia" w:ascii="仿宋_GB2312" w:eastAsia="仿宋_GB2312"/>
          <w:b w:val="0"/>
          <w:sz w:val="32"/>
          <w:szCs w:val="32"/>
          <w:lang w:val="en-US" w:eastAsia="zh-CN"/>
        </w:rPr>
        <w:t>本年度工资社保基数调增，同时新增调入4人。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社会保障和就业支出（类）行政事业单位养老支出（款）机关事业单位职业年金缴费支出（项）：支出决算数为39.67万元，比上年决算增加25.29万元，增长175.87%，主要原因是：</w:t>
      </w:r>
      <w:r>
        <w:rPr>
          <w:rFonts w:hint="eastAsia" w:ascii="仿宋_GB2312" w:eastAsia="仿宋_GB2312"/>
          <w:b w:val="0"/>
          <w:sz w:val="32"/>
          <w:szCs w:val="32"/>
          <w:lang w:val="en-US" w:eastAsia="zh-CN"/>
        </w:rPr>
        <w:t>本年度工资基数调增，同时新增调入4人。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社会保障和就业支出（类）就业补助（款）公益性岗位补贴（项）：支出决算数为0.00万元，比上年决算减少66.52万元，下降100.00%，主要原因是：</w:t>
      </w:r>
      <w:r>
        <w:rPr>
          <w:rFonts w:hint="eastAsia" w:ascii="仿宋_GB2312" w:eastAsia="仿宋_GB2312"/>
          <w:b w:val="0"/>
          <w:sz w:val="32"/>
          <w:szCs w:val="32"/>
          <w:lang w:val="en-US" w:eastAsia="zh-CN"/>
        </w:rPr>
        <w:t>本年度因决算口径调整，公益性岗位补贴全部调入行政运行。</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卫生健康支出（类）行政事业单位医疗（款）行政单位医疗（项）：支出决算数为44.30万元，比上年决算减少5.49万元，下降11.03%，主要原因是：</w:t>
      </w:r>
      <w:r>
        <w:rPr>
          <w:rFonts w:hint="eastAsia" w:ascii="仿宋_GB2312" w:eastAsia="仿宋_GB2312"/>
          <w:b w:val="0"/>
          <w:sz w:val="32"/>
          <w:szCs w:val="32"/>
          <w:lang w:val="en-US" w:eastAsia="zh-CN"/>
        </w:rPr>
        <w:t>本年度新增退休人员5名。</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卫生健康支出（类）行政事业单位医疗（款）公务员医疗补助（项）：支出决算数为17.39万元，比上年决算增加2.10万元，增长13.73%，主要原因是：</w:t>
      </w:r>
      <w:r>
        <w:rPr>
          <w:rFonts w:hint="eastAsia" w:ascii="仿宋_GB2312" w:eastAsia="仿宋_GB2312"/>
          <w:b w:val="0"/>
          <w:sz w:val="32"/>
          <w:szCs w:val="32"/>
          <w:lang w:val="en-US" w:eastAsia="zh-CN"/>
        </w:rPr>
        <w:t>本年度工资基数调增，同时新增调入4人。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住房保障支出（类）住房改革支出（款）住房公积金（项）：支出决算数为72.87万元，比上年决算增加2.84万元，增长4.06%，主要原因是：</w:t>
      </w:r>
      <w:r>
        <w:rPr>
          <w:rFonts w:hint="eastAsia" w:ascii="仿宋_GB2312" w:eastAsia="仿宋_GB2312"/>
          <w:b w:val="0"/>
          <w:sz w:val="32"/>
          <w:szCs w:val="32"/>
          <w:lang w:val="en-US" w:eastAsia="zh-CN"/>
        </w:rPr>
        <w:t>本年度工资基数调增，同时新增调入4人。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其他支出（类）其他支出（款）其他支出（项）：支出决算数为15.00万元，比上年决算增加15.00万元，增长100.00%，主要原因是：</w:t>
      </w:r>
      <w:r>
        <w:rPr>
          <w:rFonts w:hint="eastAsia" w:ascii="仿宋_GB2312" w:eastAsia="仿宋_GB2312"/>
          <w:b w:val="0"/>
          <w:sz w:val="32"/>
          <w:szCs w:val="32"/>
          <w:lang w:val="en-US" w:eastAsia="zh-CN"/>
        </w:rPr>
        <w:t>本年度访惠聚工作队经费支出增加。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1,099.50万元，其中：人员经费1,045.56万元，包括：基本工资、津贴补贴、奖金、机关事业单位基本养老保险缴费、职业年金缴费、职工基本医疗保险缴费、公务员医疗补助缴费、其他社会保障缴费、住房公积金、其他工资福利支出、退休费、抚恤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公用经费53.94万元，包括：办公费、电费、差旅费、工会经费、福利费、公务用车运行维护费和其他交通费用。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2024年度财政拨款“三公”经费支出2.17万元，比上年减少0.23万元，下降9.58%，主要原因是：</w:t>
      </w:r>
      <w:r>
        <w:rPr>
          <w:rFonts w:hint="eastAsia" w:ascii="仿宋_GB2312" w:eastAsia="仿宋_GB2312"/>
          <w:b w:val="0"/>
          <w:sz w:val="32"/>
          <w:szCs w:val="32"/>
          <w:lang w:val="en-US" w:eastAsia="zh-CN"/>
        </w:rPr>
        <w:t>我单位严格控制三公经费支出，厉行节约</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我单位本年无因公出国（境）费支出</w:t>
      </w:r>
      <w:r>
        <w:rPr>
          <w:rFonts w:ascii="仿宋_GB2312" w:eastAsia="仿宋_GB2312"/>
          <w:b w:val="0"/>
          <w:sz w:val="32"/>
          <w:szCs w:val="32"/>
        </w:rPr>
        <w:t>；公务用车购置及运行维护费支出2.17万元，占100.00%，比上年减少0.23万元，下降9.58%，主要原因是：</w:t>
      </w:r>
      <w:r>
        <w:rPr>
          <w:rFonts w:hint="eastAsia" w:ascii="仿宋_GB2312" w:eastAsia="仿宋_GB2312"/>
          <w:b w:val="0"/>
          <w:sz w:val="32"/>
          <w:szCs w:val="32"/>
          <w:lang w:val="en-US" w:eastAsia="zh-CN"/>
        </w:rPr>
        <w:t>我单位严格控制三公经费支出，厉行节约</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我单位本年无</w:t>
      </w:r>
      <w:r>
        <w:rPr>
          <w:rFonts w:hint="eastAsia" w:ascii="仿宋_GB2312" w:eastAsia="仿宋_GB2312"/>
          <w:color w:val="auto"/>
          <w:sz w:val="32"/>
          <w:szCs w:val="32"/>
          <w:highlight w:val="none"/>
          <w:lang w:val="en-US" w:eastAsia="zh-CN"/>
        </w:rPr>
        <w:t>公务接待费</w:t>
      </w:r>
      <w:r>
        <w:rPr>
          <w:rFonts w:hint="eastAsia" w:ascii="仿宋_GB2312" w:eastAsia="仿宋_GB2312"/>
          <w:color w:val="auto"/>
          <w:sz w:val="32"/>
          <w:szCs w:val="32"/>
          <w:highlight w:val="none"/>
          <w:lang w:val="zh-CN" w:eastAsia="zh-CN"/>
        </w:rPr>
        <w:t>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color w:val="auto"/>
          <w:sz w:val="32"/>
          <w:szCs w:val="32"/>
          <w:highlight w:val="none"/>
          <w:lang w:val="zh-CN" w:eastAsia="zh-CN"/>
        </w:rPr>
        <w:t>本年度未安排因公出国（境）费支出，无开支内容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公务用车购置及运行维护费2.17万元，其中：公务用车购置费0.00万元，公务用车运行维护费2.17万元。公务用车运行维护费开支内容包括</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把保险费、维护费、</w:t>
      </w:r>
      <w:r>
        <w:rPr>
          <w:rFonts w:hint="eastAsia" w:ascii="仿宋_GB2312" w:eastAsia="仿宋_GB2312"/>
          <w:color w:val="auto"/>
          <w:sz w:val="32"/>
          <w:szCs w:val="32"/>
          <w:highlight w:val="none"/>
          <w:lang w:val="zh-CN" w:eastAsia="zh-CN"/>
        </w:rPr>
        <w:t>燃油费支出</w:t>
      </w:r>
      <w:r>
        <w:rPr>
          <w:rFonts w:ascii="仿宋_GB2312" w:eastAsia="仿宋_GB2312"/>
          <w:b w:val="0"/>
          <w:sz w:val="32"/>
          <w:szCs w:val="32"/>
        </w:rPr>
        <w:t>。公务用车购置数0辆，公务用车保有量22辆。国有资产占用情况中固定资产车辆22辆，与公务用车保有量差异原因是：</w:t>
      </w:r>
      <w:r>
        <w:rPr>
          <w:rFonts w:hint="eastAsia" w:ascii="仿宋_GB2312" w:eastAsia="仿宋_GB2312"/>
          <w:b w:val="0"/>
          <w:sz w:val="32"/>
          <w:szCs w:val="32"/>
          <w:lang w:val="en-US" w:eastAsia="zh-CN"/>
        </w:rPr>
        <w:t>与公务用车保有量无差异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color w:val="auto"/>
          <w:sz w:val="32"/>
          <w:szCs w:val="32"/>
          <w:highlight w:val="none"/>
          <w:lang w:val="zh-CN" w:eastAsia="zh-CN"/>
        </w:rPr>
        <w:t>本年度未安排公务接待费支出，无开支内容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与全年预算相比，财政拨款“三公”经费支出全年预算数2.17万元，决算数2.17万元，预决算差异率0.00%，主要原因是：</w:t>
      </w:r>
      <w:r>
        <w:rPr>
          <w:rFonts w:hint="eastAsia" w:ascii="仿宋_GB2312" w:eastAsia="仿宋_GB2312"/>
          <w:b w:val="0"/>
          <w:sz w:val="32"/>
          <w:szCs w:val="32"/>
          <w:lang w:val="en-US" w:eastAsia="zh-CN"/>
        </w:rPr>
        <w:t>我单位严格控制三公经费支出，预决算保持一致</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我单位本年度无因公出国（境）费支出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我单位本年度未安排公务用车购置费</w:t>
      </w:r>
      <w:r>
        <w:rPr>
          <w:rFonts w:ascii="仿宋_GB2312" w:eastAsia="仿宋_GB2312"/>
          <w:b w:val="0"/>
          <w:sz w:val="32"/>
          <w:szCs w:val="32"/>
        </w:rPr>
        <w:t>。公务用车运行维护费全年预算数2.17万元，决算数2.17万元，预决算差异率0.00%，主要原因是：</w:t>
      </w:r>
      <w:r>
        <w:rPr>
          <w:rFonts w:hint="eastAsia" w:ascii="仿宋_GB2312" w:eastAsia="仿宋_GB2312"/>
          <w:b w:val="0"/>
          <w:sz w:val="32"/>
          <w:szCs w:val="32"/>
          <w:lang w:val="en-US" w:eastAsia="zh-CN"/>
        </w:rPr>
        <w:t>我单位严格控制三公经费支出，预决算保持一致</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我单位本年度未安排公务接待费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2024年度库尔勒市司法局单位机关运行经费支出53.94万元，比上年增加31.73万元，增长142.86%，主要原因是：</w:t>
      </w:r>
      <w:r>
        <w:rPr>
          <w:rFonts w:hint="eastAsia" w:ascii="仿宋_GB2312" w:eastAsia="仿宋_GB2312"/>
          <w:b w:val="0"/>
          <w:sz w:val="32"/>
          <w:szCs w:val="32"/>
          <w:lang w:val="en-US" w:eastAsia="zh-CN"/>
        </w:rPr>
        <w:t>本年度新增调入4人，同时访惠聚工作队经费支出增加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2024年度政府采购支出总额136.68万元，其中：政府采购货物支出65.54万元、政府采购工程支出0.00万元、政府采购服务支出71.14万元。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授予中小企业合同金额136.68万元，占政府采购支出总额的100.00%，其中：授予小微企业合同金额41.00万元，占政府采购支出总额的30.00%。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4,527.87平方米，价值1,983.16万元。车辆22辆，价值260.20万元，其中：副部（省）级及以上领导用车0辆、主要负责人用车0辆、机要通信用车0辆、应急保障用车0辆、执法执勤用车0辆、特种专业技术用车0辆、离退休干部服务用车0辆、其他用车22辆，其他用车主要是：;单价100万元（含）以上设备（不含车辆）0台（套）。</w:t>
      </w:r>
      <w:bookmarkStart w:id="0" w:name="_GoBack"/>
      <w:bookmarkEnd w:id="0"/>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1466.17</w:t>
      </w:r>
      <w:r>
        <w:rPr>
          <w:rFonts w:ascii="仿宋_GB2312" w:eastAsia="仿宋_GB2312"/>
          <w:b w:val="0"/>
          <w:sz w:val="32"/>
          <w:szCs w:val="32"/>
        </w:rPr>
        <w:t>万元，实际执行总额</w:t>
      </w:r>
      <w:r>
        <w:rPr>
          <w:rFonts w:hint="eastAsia" w:ascii="仿宋_GB2312" w:eastAsia="仿宋_GB2312"/>
          <w:b w:val="0"/>
          <w:sz w:val="32"/>
          <w:szCs w:val="32"/>
          <w:lang w:val="en-US" w:eastAsia="zh-CN"/>
        </w:rPr>
        <w:t>1466.17</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2</w:t>
      </w:r>
      <w:r>
        <w:rPr>
          <w:rFonts w:ascii="仿宋_GB2312" w:eastAsia="仿宋_GB2312"/>
          <w:b w:val="0"/>
          <w:sz w:val="32"/>
          <w:szCs w:val="32"/>
        </w:rPr>
        <w:t>个，全年预算数</w:t>
      </w:r>
      <w:r>
        <w:rPr>
          <w:rFonts w:hint="eastAsia" w:ascii="仿宋_GB2312" w:eastAsia="仿宋_GB2312"/>
          <w:b w:val="0"/>
          <w:sz w:val="32"/>
          <w:szCs w:val="32"/>
          <w:lang w:val="en-US" w:eastAsia="zh-CN"/>
        </w:rPr>
        <w:t>417.19</w:t>
      </w:r>
      <w:r>
        <w:rPr>
          <w:rFonts w:ascii="仿宋_GB2312" w:eastAsia="仿宋_GB2312"/>
          <w:b w:val="0"/>
          <w:sz w:val="32"/>
          <w:szCs w:val="32"/>
        </w:rPr>
        <w:t>万元，全年执行数</w:t>
      </w:r>
      <w:r>
        <w:rPr>
          <w:rFonts w:hint="eastAsia" w:ascii="仿宋_GB2312" w:eastAsia="仿宋_GB2312"/>
          <w:b w:val="0"/>
          <w:sz w:val="32"/>
          <w:szCs w:val="32"/>
          <w:lang w:val="en-US" w:eastAsia="zh-CN"/>
        </w:rPr>
        <w:t>262.05</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一是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二是资金拨付审批手续完整。项目资金专款专用，不存在支出依据不合规，序列项目支出，截留，挤占，挪用和超标准支出等现象，使项目资金的运用得到了合理的控制，项目得到了切实的保障。三是会计信息质量真实。严格执行《会计法》等财经法规，严格按照相关会计制度办理会计业务，进行会计核算，并做好会计记录，真实的反映项目资金管理情况，并接受财政、审批部门及上级主管部门的检查、监督。四是执行预决算管理。严格按预算管理要求使用资金，严格按进度和合同拨付资金，严格执行政府采购制度；严格执行国库集中支付制度，严防截留、挪用资金</w:t>
      </w:r>
      <w:r>
        <w:rPr>
          <w:rFonts w:ascii="仿宋_GB2312" w:eastAsia="仿宋_GB2312"/>
          <w:b w:val="0"/>
          <w:sz w:val="32"/>
          <w:szCs w:val="32"/>
        </w:rPr>
        <w:t>。发现的问题及原因：</w:t>
      </w:r>
      <w:r>
        <w:rPr>
          <w:rFonts w:hint="eastAsia" w:ascii="仿宋_GB2312" w:eastAsia="仿宋_GB2312"/>
          <w:b w:val="0"/>
          <w:sz w:val="32"/>
          <w:szCs w:val="32"/>
          <w:lang w:val="en-US" w:eastAsia="zh-CN"/>
        </w:rPr>
        <w:t>一是预算编制工作有待细化。预算编制不够明确和细化，预算编制的合理性需要提高，预算执行力度还要进一步加强。二是单位管理制度仍需完善，对财务制度执行力有待加强，资金使用流程有待细化；单位领导对财务重视不够，有些工作不能做到落实到具体的人和事，财务制度管理不到位；单位财务人员业务水平有待提高</w:t>
      </w:r>
      <w:r>
        <w:rPr>
          <w:rFonts w:ascii="仿宋_GB2312" w:eastAsia="仿宋_GB2312"/>
          <w:b w:val="0"/>
          <w:sz w:val="32"/>
          <w:szCs w:val="32"/>
        </w:rPr>
        <w:t>。下一步改进措施：</w:t>
      </w:r>
      <w:r>
        <w:rPr>
          <w:rFonts w:hint="eastAsia" w:ascii="仿宋_GB2312" w:eastAsia="仿宋_GB2312"/>
          <w:b w:val="0"/>
          <w:sz w:val="32"/>
          <w:szCs w:val="32"/>
          <w:lang w:val="en-US" w:eastAsia="zh-CN"/>
        </w:rPr>
        <w:t>一是提高预算编制的合法性，部门预算编制须符合预算法和国家相关法律、法规的规定，符合国家有关经济社会发展的各项方针、政策，在法律赋予部门的职能范围内。二是加强财政资金使用效益跟踪“回头看”，反馈业务科室针对资金绩效运行状况，及时预控、查找资金使用和管理过程中的薄弱环节，提出纠偏措施。三是继续加强项目实时监控，严格按照相关要求对相关项目的资金进行使用，确保资金使用及时有效。四是继续加强项目开展进度的跟踪，提前做好预算及资金的支付计划，保证项目顺利开展的同时资金使用规范合理。五是注重预算编制的科学性、完整性。即部门预算须遵循量入为出、收支平衡的原则，稳妥可靠，采取有效的程序和方法合理安排各项资金，达到综合预算、不偏不漏。</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59264" behindDoc="0" locked="0" layoutInCell="1" allowOverlap="1">
            <wp:simplePos x="0" y="0"/>
            <wp:positionH relativeFrom="column">
              <wp:posOffset>-92075</wp:posOffset>
            </wp:positionH>
            <wp:positionV relativeFrom="paragraph">
              <wp:posOffset>69215</wp:posOffset>
            </wp:positionV>
            <wp:extent cx="5809615" cy="6492240"/>
            <wp:effectExtent l="0" t="0" r="635" b="381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09615" cy="649224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0288" behindDoc="0" locked="0" layoutInCell="1" allowOverlap="1">
            <wp:simplePos x="0" y="0"/>
            <wp:positionH relativeFrom="column">
              <wp:posOffset>-64770</wp:posOffset>
            </wp:positionH>
            <wp:positionV relativeFrom="paragraph">
              <wp:posOffset>565785</wp:posOffset>
            </wp:positionV>
            <wp:extent cx="5783580" cy="6172200"/>
            <wp:effectExtent l="0" t="0" r="762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783580" cy="617220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1312" behindDoc="0" locked="0" layoutInCell="1" allowOverlap="1">
            <wp:simplePos x="0" y="0"/>
            <wp:positionH relativeFrom="column">
              <wp:posOffset>-105410</wp:posOffset>
            </wp:positionH>
            <wp:positionV relativeFrom="paragraph">
              <wp:posOffset>248285</wp:posOffset>
            </wp:positionV>
            <wp:extent cx="5793740" cy="6090920"/>
            <wp:effectExtent l="0" t="0" r="16510" b="508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793740" cy="609092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2336" behindDoc="0" locked="0" layoutInCell="1" allowOverlap="1">
            <wp:simplePos x="0" y="0"/>
            <wp:positionH relativeFrom="column">
              <wp:posOffset>-91440</wp:posOffset>
            </wp:positionH>
            <wp:positionV relativeFrom="paragraph">
              <wp:posOffset>372745</wp:posOffset>
            </wp:positionV>
            <wp:extent cx="5801360" cy="5722620"/>
            <wp:effectExtent l="0" t="0" r="8890" b="1143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801360" cy="572262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3360" behindDoc="0" locked="0" layoutInCell="1" allowOverlap="1">
            <wp:simplePos x="0" y="0"/>
            <wp:positionH relativeFrom="column">
              <wp:posOffset>-132715</wp:posOffset>
            </wp:positionH>
            <wp:positionV relativeFrom="paragraph">
              <wp:posOffset>565785</wp:posOffset>
            </wp:positionV>
            <wp:extent cx="5771515" cy="6638290"/>
            <wp:effectExtent l="0" t="0" r="635" b="1016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771515" cy="663829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4384" behindDoc="0" locked="0" layoutInCell="1" allowOverlap="1">
            <wp:simplePos x="0" y="0"/>
            <wp:positionH relativeFrom="column">
              <wp:posOffset>-245110</wp:posOffset>
            </wp:positionH>
            <wp:positionV relativeFrom="paragraph">
              <wp:posOffset>442595</wp:posOffset>
            </wp:positionV>
            <wp:extent cx="6116320" cy="6299835"/>
            <wp:effectExtent l="0" t="0" r="17780" b="571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6116320" cy="629983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5408" behindDoc="0" locked="0" layoutInCell="1" allowOverlap="1">
            <wp:simplePos x="0" y="0"/>
            <wp:positionH relativeFrom="column">
              <wp:posOffset>-78740</wp:posOffset>
            </wp:positionH>
            <wp:positionV relativeFrom="paragraph">
              <wp:posOffset>662305</wp:posOffset>
            </wp:positionV>
            <wp:extent cx="5801360" cy="3618865"/>
            <wp:effectExtent l="0" t="0" r="8890" b="63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801360" cy="361886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cols w:space="720" w:num="1"/>
        </w:sectPr>
      </w:pPr>
      <w:r>
        <w:drawing>
          <wp:anchor distT="0" distB="0" distL="114300" distR="114300" simplePos="0" relativeHeight="251666432" behindDoc="0" locked="0" layoutInCell="1" allowOverlap="1">
            <wp:simplePos x="0" y="0"/>
            <wp:positionH relativeFrom="column">
              <wp:posOffset>-104775</wp:posOffset>
            </wp:positionH>
            <wp:positionV relativeFrom="paragraph">
              <wp:posOffset>690245</wp:posOffset>
            </wp:positionV>
            <wp:extent cx="5702300" cy="3971290"/>
            <wp:effectExtent l="0" t="0" r="12700" b="1016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5702300" cy="397129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-257175</wp:posOffset>
            </wp:positionH>
            <wp:positionV relativeFrom="paragraph">
              <wp:posOffset>537845</wp:posOffset>
            </wp:positionV>
            <wp:extent cx="6028055" cy="2985135"/>
            <wp:effectExtent l="0" t="0" r="10795" b="571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6028055" cy="298513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文本框 2" o:spid="_x0000_s2049"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41D4E50"/>
    <w:rsid w:val="19226718"/>
    <w:rsid w:val="728A6903"/>
    <w:rsid w:val="791753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2025-08-15T10:44:00Z</dcterms:created>
  <dc:creator>Administrator</dc:creator>
  <cp:lastModifiedBy>Administrator</cp:lastModifiedBy>
  <dcterms:modified xsi:type="dcterms:W3CDTF">2025-08-19T10:23:09Z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