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新疆巴州库尔勒市发展和改革委员会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市发展和改革委员会贯彻落实中央关于发展改革工作的方针政策和决策部署</w:t>
      </w:r>
      <w:r>
        <w:rPr>
          <w:rFonts w:hint="eastAsia" w:ascii="仿宋_GB2312" w:eastAsia="仿宋_GB2312"/>
          <w:color w:val="auto"/>
          <w:sz w:val="32"/>
          <w:szCs w:val="32"/>
          <w:highlight w:val="none"/>
          <w:lang w:val="en-US" w:eastAsia="zh-CN"/>
        </w:rPr>
        <w:t>，</w:t>
      </w:r>
      <w:r>
        <w:rPr>
          <w:rFonts w:hint="default" w:ascii="仿宋_GB2312" w:eastAsia="仿宋_GB2312"/>
          <w:color w:val="auto"/>
          <w:sz w:val="32"/>
          <w:szCs w:val="32"/>
          <w:highlight w:val="none"/>
          <w:lang w:val="en-US" w:eastAsia="zh-CN"/>
        </w:rPr>
        <w:t>以及自治区、自治州、市党委</w:t>
      </w:r>
      <w:r>
        <w:rPr>
          <w:rFonts w:hint="eastAsia" w:ascii="仿宋_GB2312" w:eastAsia="仿宋_GB2312"/>
          <w:color w:val="auto"/>
          <w:sz w:val="32"/>
          <w:szCs w:val="32"/>
          <w:highlight w:val="none"/>
          <w:lang w:val="en-US" w:eastAsia="zh-CN"/>
        </w:rPr>
        <w:t>的</w:t>
      </w:r>
      <w:r>
        <w:rPr>
          <w:rFonts w:hint="default" w:ascii="仿宋_GB2312" w:eastAsia="仿宋_GB2312"/>
          <w:color w:val="auto"/>
          <w:sz w:val="32"/>
          <w:szCs w:val="32"/>
          <w:highlight w:val="none"/>
          <w:lang w:val="en-US" w:eastAsia="zh-CN"/>
        </w:rPr>
        <w:t>工作要求，在履行职责过程中坚持和加强党对发展改革工作的集中</w:t>
      </w:r>
      <w:r>
        <w:rPr>
          <w:rFonts w:hint="eastAsia" w:ascii="仿宋_GB2312" w:eastAsia="仿宋_GB2312"/>
          <w:color w:val="auto"/>
          <w:sz w:val="32"/>
          <w:szCs w:val="32"/>
          <w:highlight w:val="none"/>
          <w:lang w:val="en-US" w:eastAsia="zh-CN"/>
        </w:rPr>
        <w:t>统一</w:t>
      </w:r>
      <w:r>
        <w:rPr>
          <w:rFonts w:hint="default" w:ascii="仿宋_GB2312" w:eastAsia="仿宋_GB2312"/>
          <w:color w:val="auto"/>
          <w:sz w:val="32"/>
          <w:szCs w:val="32"/>
          <w:highlight w:val="none"/>
          <w:lang w:val="en-US" w:eastAsia="zh-CN"/>
        </w:rPr>
        <w:t>领导。</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（一）提出库尔勒市国民经济和社会发展战略、中长期规划和年度发展计划；贯彻执行国家、自治区、自治州国民经济和社会发展方针、政策；统筹协调库尔勒市经济社会发展，分析</w:t>
      </w:r>
      <w:r>
        <w:rPr>
          <w:rFonts w:hint="eastAsia" w:ascii="仿宋_GB2312" w:eastAsia="仿宋_GB2312"/>
          <w:color w:val="auto"/>
          <w:sz w:val="32"/>
          <w:szCs w:val="32"/>
          <w:highlight w:val="none"/>
          <w:lang w:val="en-US" w:eastAsia="zh-CN"/>
        </w:rPr>
        <w:t>市</w:t>
      </w:r>
      <w:r>
        <w:rPr>
          <w:rFonts w:hint="default" w:ascii="仿宋_GB2312" w:eastAsia="仿宋_GB2312"/>
          <w:color w:val="auto"/>
          <w:sz w:val="32"/>
          <w:szCs w:val="32"/>
          <w:highlight w:val="none"/>
          <w:lang w:val="en-US" w:eastAsia="zh-CN"/>
        </w:rPr>
        <w:t>内外经济形势，提出国民经济发展、价格总水平调控和优化重大经济结构的目标、政策，提出综合运用各种经济手段和政策的建议；受市人民政府委托向市人大常委会提交国民经济和社会发展计划的报告。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（二）负责监测宏观经济和社会发展态势，承担预测预警和信息引导的责任</w:t>
      </w:r>
      <w:r>
        <w:rPr>
          <w:rFonts w:hint="default" w:ascii="仿宋_GB2312" w:eastAsia="仿宋_GB2312"/>
          <w:color w:val="auto"/>
          <w:sz w:val="32"/>
          <w:szCs w:val="32"/>
          <w:highlight w:val="none"/>
          <w:lang w:eastAsia="zh-CN"/>
        </w:rPr>
        <w:t>；</w:t>
      </w:r>
      <w:r>
        <w:rPr>
          <w:rFonts w:hint="default" w:ascii="仿宋_GB2312" w:eastAsia="仿宋_GB2312"/>
          <w:color w:val="auto"/>
          <w:sz w:val="32"/>
          <w:szCs w:val="32"/>
          <w:highlight w:val="none"/>
          <w:lang w:val="en-US" w:eastAsia="zh-CN"/>
        </w:rPr>
        <w:t>提出促进库尔勒市经济高质量发展的政策建议；研究涉及经济安全及总体产业安全等重要问题并提出政策措施和建议；负责库尔勒市国民经济动员办公室</w:t>
      </w:r>
      <w:r>
        <w:rPr>
          <w:rFonts w:hint="eastAsia" w:ascii="仿宋_GB2312" w:eastAsia="仿宋_GB2312"/>
          <w:color w:val="auto"/>
          <w:sz w:val="32"/>
          <w:szCs w:val="32"/>
          <w:highlight w:val="none"/>
          <w:lang w:val="en-US" w:eastAsia="zh-CN"/>
        </w:rPr>
        <w:t>的工作</w:t>
      </w:r>
      <w:r>
        <w:rPr>
          <w:rFonts w:hint="default"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eastAsia="zh-CN"/>
        </w:rPr>
      </w:pPr>
      <w:r>
        <w:rPr>
          <w:rFonts w:hint="default" w:ascii="仿宋_GB2312" w:eastAsia="仿宋_GB2312"/>
          <w:color w:val="auto"/>
          <w:sz w:val="32"/>
          <w:szCs w:val="32"/>
          <w:highlight w:val="none"/>
          <w:lang w:val="en-US" w:eastAsia="zh-CN"/>
        </w:rPr>
        <w:t>（三）负责汇总分析库尔勒市财政、金融、产业、价格政策等方面的情况和执行效果，提出政策建议；开展价格成本监审，拟订组织实施价格政策；</w:t>
      </w:r>
      <w:r>
        <w:rPr>
          <w:rFonts w:hint="eastAsia" w:ascii="仿宋_GB2312" w:eastAsia="仿宋_GB2312"/>
          <w:color w:val="auto"/>
          <w:sz w:val="32"/>
          <w:szCs w:val="32"/>
          <w:highlight w:val="none"/>
          <w:lang w:val="en-US" w:eastAsia="zh-CN"/>
        </w:rPr>
        <w:t>拟定施行</w:t>
      </w:r>
      <w:r>
        <w:rPr>
          <w:rFonts w:hint="default" w:ascii="仿宋_GB2312" w:eastAsia="仿宋_GB2312"/>
          <w:color w:val="auto"/>
          <w:sz w:val="32"/>
          <w:szCs w:val="32"/>
          <w:highlight w:val="none"/>
          <w:lang w:val="en-US" w:eastAsia="zh-CN"/>
        </w:rPr>
        <w:t>政府管理的重要商品价格、服务价格和收费项目、标准；</w:t>
      </w:r>
      <w:r>
        <w:rPr>
          <w:rFonts w:hint="eastAsia" w:ascii="仿宋_GB2312" w:eastAsia="仿宋_GB2312"/>
          <w:color w:val="auto"/>
          <w:sz w:val="32"/>
          <w:szCs w:val="32"/>
          <w:highlight w:val="none"/>
          <w:lang w:val="en-US" w:eastAsia="zh-CN"/>
        </w:rPr>
        <w:t>组织价格听证，</w:t>
      </w:r>
      <w:r>
        <w:rPr>
          <w:rFonts w:hint="default" w:ascii="仿宋_GB2312" w:eastAsia="仿宋_GB2312"/>
          <w:color w:val="auto"/>
          <w:sz w:val="32"/>
          <w:szCs w:val="32"/>
          <w:highlight w:val="none"/>
          <w:lang w:val="en-US" w:eastAsia="zh-CN"/>
        </w:rPr>
        <w:t>发布重大价格信息等</w:t>
      </w:r>
      <w:r>
        <w:rPr>
          <w:rFonts w:hint="default"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四）承担指导推进和综合协调经济体制改革的责任，研究库尔勒市经济体制改革和对外开放的重大问题，组织拟订库尔勒市综合性经济体制改革方案，协调有关专项经济体制改革方案，指导经济体制改革试点工作；组织制定区域经济协调发展规划和政策；负责库尔勒市对口援疆有关综合协调工作；推进库尔勒市城镇化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eastAsia="zh-CN"/>
        </w:rPr>
      </w:pPr>
      <w:r>
        <w:rPr>
          <w:rFonts w:hint="default" w:ascii="仿宋_GB2312" w:eastAsia="仿宋_GB2312"/>
          <w:color w:val="auto"/>
          <w:sz w:val="32"/>
          <w:szCs w:val="32"/>
          <w:highlight w:val="none"/>
          <w:lang w:val="en-US" w:eastAsia="zh-CN"/>
        </w:rPr>
        <w:t>（五）承担规划重大建设项目和生产力布局的职责，提出库尔勒市全社会固定资产投资总规模和投资结构的目标政策及措施，规划重大项目和生产力布局；衔接平衡需要中央财政和自治区财政投资及涉及重大建设项目的专项规划；编制、下达库尔勒市固定资产投资计划、重点项目建设计划和前期项目计划；负责库尔勒市重大项目的管理和组织协调；按照管理权限，负责审核上报、备案</w:t>
      </w:r>
      <w:r>
        <w:rPr>
          <w:rFonts w:hint="eastAsia" w:ascii="仿宋_GB2312" w:eastAsia="仿宋_GB2312"/>
          <w:color w:val="auto"/>
          <w:sz w:val="32"/>
          <w:szCs w:val="32"/>
          <w:highlight w:val="none"/>
          <w:lang w:val="en-US" w:eastAsia="zh-CN"/>
        </w:rPr>
        <w:t>企业</w:t>
      </w:r>
      <w:r>
        <w:rPr>
          <w:rFonts w:hint="default" w:ascii="仿宋_GB2312" w:eastAsia="仿宋_GB2312"/>
          <w:color w:val="auto"/>
          <w:sz w:val="32"/>
          <w:szCs w:val="32"/>
          <w:highlight w:val="none"/>
          <w:lang w:val="en-US" w:eastAsia="zh-CN"/>
        </w:rPr>
        <w:t>固定资产投资项目，审核上报、审批</w:t>
      </w:r>
      <w:r>
        <w:rPr>
          <w:rFonts w:hint="eastAsia" w:ascii="仿宋_GB2312" w:eastAsia="仿宋_GB2312"/>
          <w:color w:val="auto"/>
          <w:sz w:val="32"/>
          <w:szCs w:val="32"/>
          <w:highlight w:val="none"/>
          <w:lang w:val="en-US" w:eastAsia="zh-CN"/>
        </w:rPr>
        <w:t>政府固定资产投资</w:t>
      </w:r>
      <w:r>
        <w:rPr>
          <w:rFonts w:hint="default" w:ascii="仿宋_GB2312" w:eastAsia="仿宋_GB2312"/>
          <w:color w:val="auto"/>
          <w:sz w:val="32"/>
          <w:szCs w:val="32"/>
          <w:highlight w:val="none"/>
          <w:lang w:val="en-US" w:eastAsia="zh-CN"/>
        </w:rPr>
        <w:t>项目</w:t>
      </w:r>
      <w:r>
        <w:rPr>
          <w:rFonts w:hint="eastAsia" w:ascii="仿宋_GB2312" w:eastAsia="仿宋_GB2312"/>
          <w:color w:val="auto"/>
          <w:sz w:val="32"/>
          <w:szCs w:val="32"/>
          <w:highlight w:val="none"/>
          <w:lang w:val="en-US" w:eastAsia="zh-CN"/>
        </w:rPr>
        <w:t>建议书、可行性研究报告及</w:t>
      </w:r>
      <w:r>
        <w:rPr>
          <w:rFonts w:hint="default" w:ascii="仿宋_GB2312" w:eastAsia="仿宋_GB2312"/>
          <w:color w:val="auto"/>
          <w:sz w:val="32"/>
          <w:szCs w:val="32"/>
          <w:highlight w:val="none"/>
          <w:lang w:val="en-US" w:eastAsia="zh-CN"/>
        </w:rPr>
        <w:t>初步设计</w:t>
      </w:r>
      <w:r>
        <w:rPr>
          <w:rFonts w:hint="eastAsia" w:ascii="仿宋_GB2312" w:eastAsia="仿宋_GB2312"/>
          <w:color w:val="auto"/>
          <w:sz w:val="32"/>
          <w:szCs w:val="32"/>
          <w:highlight w:val="none"/>
          <w:lang w:val="en-US" w:eastAsia="zh-CN"/>
        </w:rPr>
        <w:t>、概算</w:t>
      </w:r>
      <w:r>
        <w:rPr>
          <w:rFonts w:hint="default"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六）拟订库尔勒市综合性产业政策，负责协调第一、二、三产业发展的重大问题及国民经济和社会发展规划、计划的衔接平衡；提出库尔勒市国民经济重要产业的发展战略和规划，组织审核上报专项规划；研究农业和农村经济社会发展的有关重大问题，衔接农村专项规划和政策；提出能源发展战略、规划，负责油气管道保护及煤矿安全生产监管；组织拟订高技术产业发展、产业技术进步的战略、规划和政策，推动高技术产业化发展；规划、指导服务业的建设与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（七）提出利用外资和境外投资的战略、总量平衡和结构优化的目标和政策；监测国外资金利用和境外投资情况以及库尔勒市外债结构优化状况；负责审核上报权限</w:t>
      </w:r>
      <w:r>
        <w:rPr>
          <w:rFonts w:hint="eastAsia" w:ascii="仿宋_GB2312" w:eastAsia="仿宋_GB2312"/>
          <w:color w:val="auto"/>
          <w:sz w:val="32"/>
          <w:szCs w:val="32"/>
          <w:highlight w:val="none"/>
          <w:lang w:val="en-US" w:eastAsia="zh-CN"/>
        </w:rPr>
        <w:t>内的</w:t>
      </w:r>
      <w:r>
        <w:rPr>
          <w:rFonts w:hint="default" w:ascii="仿宋_GB2312" w:eastAsia="仿宋_GB2312"/>
          <w:color w:val="auto"/>
          <w:sz w:val="32"/>
          <w:szCs w:val="32"/>
          <w:highlight w:val="none"/>
          <w:lang w:val="en-US" w:eastAsia="zh-CN"/>
        </w:rPr>
        <w:t>国外贷款、外商直接投资和境外投资项目；会同有关部门协调和审核利用重大内外资项目</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（八）承担重要商品总量平衡和宏观调控的责任，分析国内外市场供求状况，编制库尔勒市重要农产品、工业品和原材料进出口总量计划并监督执行。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九）负责库尔勒市社会发展与国民经济发展的政策衔接，组织拟订社会发展战略、总体规划和年度计划，参与拟订人口和计划生育、科学技术、教育、文化、卫生、民政等发展政策，协调库尔勒市社会事业发展的重大问题；提出促进就业、调整收入分配、完善社会保障与经济协调发展的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十）负责库尔勒市全社会节能综合协调工作，组织拟订发展循环经济、全社会能源资源节约和综合利用规划及政策措施并协调实施；会同有关部门研究提出库尔勒市生态建设、环境保护规划、资源节约综合利用规划和政策；协调生态建设、环保产业和资源节约综合利用的重大问题，综合协调环保产业和清洁生产促进有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eastAsia="zh-CN"/>
        </w:rPr>
        <w:t>（十一）</w:t>
      </w:r>
      <w:r>
        <w:rPr>
          <w:rFonts w:hint="default" w:ascii="仿宋_GB2312" w:eastAsia="仿宋_GB2312"/>
          <w:color w:val="auto"/>
          <w:sz w:val="32"/>
          <w:szCs w:val="32"/>
          <w:highlight w:val="none"/>
          <w:lang w:val="en-US" w:eastAsia="zh-CN"/>
        </w:rPr>
        <w:t>指导和协调库尔勒市招投标工作</w:t>
      </w:r>
      <w:r>
        <w:rPr>
          <w:rFonts w:hint="eastAsia" w:ascii="仿宋_GB2312" w:eastAsia="仿宋_GB2312"/>
          <w:color w:val="auto"/>
          <w:sz w:val="32"/>
          <w:szCs w:val="32"/>
          <w:highlight w:val="none"/>
          <w:lang w:val="en-US" w:eastAsia="zh-CN"/>
        </w:rPr>
        <w:t>，</w:t>
      </w:r>
      <w:r>
        <w:rPr>
          <w:rFonts w:hint="default" w:ascii="仿宋_GB2312" w:eastAsia="仿宋_GB2312"/>
          <w:color w:val="auto"/>
          <w:sz w:val="32"/>
          <w:szCs w:val="32"/>
          <w:highlight w:val="none"/>
          <w:lang w:val="en-US" w:eastAsia="zh-CN"/>
        </w:rPr>
        <w:t>会同有关部门拟订库尔勒市招投标配套法规、综合性政策</w:t>
      </w:r>
      <w:r>
        <w:rPr>
          <w:rFonts w:hint="eastAsia" w:ascii="仿宋_GB2312" w:eastAsia="仿宋_GB2312"/>
          <w:color w:val="auto"/>
          <w:sz w:val="32"/>
          <w:szCs w:val="32"/>
          <w:highlight w:val="none"/>
          <w:lang w:val="en-US" w:eastAsia="zh-CN"/>
        </w:rPr>
        <w:t>，监督</w:t>
      </w:r>
      <w:r>
        <w:rPr>
          <w:rFonts w:hint="eastAsia" w:ascii="仿宋_GB2312" w:eastAsia="仿宋_GB2312"/>
          <w:color w:val="auto"/>
          <w:sz w:val="32"/>
          <w:szCs w:val="32"/>
          <w:highlight w:val="none"/>
          <w:lang w:eastAsia="zh-CN"/>
        </w:rPr>
        <w:t>政府投资项目、</w:t>
      </w:r>
      <w:r>
        <w:rPr>
          <w:rFonts w:hint="default" w:ascii="仿宋_GB2312" w:eastAsia="仿宋_GB2312"/>
          <w:color w:val="auto"/>
          <w:sz w:val="32"/>
          <w:szCs w:val="32"/>
          <w:highlight w:val="none"/>
          <w:lang w:eastAsia="zh-CN"/>
        </w:rPr>
        <w:t>项目勘察、设计、施工、采购、工程监理的</w:t>
      </w:r>
      <w:r>
        <w:rPr>
          <w:rFonts w:hint="default" w:ascii="仿宋_GB2312" w:eastAsia="仿宋_GB2312"/>
          <w:color w:val="auto"/>
          <w:sz w:val="32"/>
          <w:szCs w:val="32"/>
          <w:highlight w:val="none"/>
          <w:lang w:val="en-US" w:eastAsia="zh-CN"/>
        </w:rPr>
        <w:t>招投标活动</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负责</w:t>
      </w:r>
      <w:r>
        <w:rPr>
          <w:rFonts w:hint="default" w:ascii="仿宋_GB2312" w:eastAsia="仿宋_GB2312"/>
          <w:color w:val="auto"/>
          <w:sz w:val="32"/>
          <w:szCs w:val="32"/>
          <w:highlight w:val="none"/>
          <w:lang w:eastAsia="zh-CN"/>
        </w:rPr>
        <w:t>工程施工质量、进度、投资、合同管理，组织项目竣工验收</w:t>
      </w:r>
      <w:r>
        <w:rPr>
          <w:rFonts w:hint="eastAsia" w:ascii="仿宋_GB2312" w:eastAsia="仿宋_GB2312"/>
          <w:color w:val="auto"/>
          <w:sz w:val="32"/>
          <w:szCs w:val="32"/>
          <w:highlight w:val="none"/>
          <w:lang w:eastAsia="zh-CN"/>
        </w:rPr>
        <w:t>活动</w:t>
      </w:r>
      <w:r>
        <w:rPr>
          <w:rFonts w:hint="default"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十二）拟订库尔勒市粮食流通、地方储备粮油和物资储备管理法规、规章草案和有关政策。提出储备粮油和物资储备规划、建议，负责编制重要商品储备、轮换、投放计划和实施日常管理，承担救灾物资采购和储备管理工作，落实有关动用计划和指令。承担粮食监测预警和应急责任，承担粮食安全市长责任制考核的日常工作。承担粮食和物资储备系统军民融合工作及军粮供应规范化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（十三）负责全市能源利用状况监察，固定资产投资项目节能评估意见审核和监察；承担节能产品与节能服务市场监管；承担全市能源监察执法</w:t>
      </w:r>
      <w:r>
        <w:rPr>
          <w:rFonts w:hint="eastAsia" w:ascii="仿宋_GB2312" w:eastAsia="仿宋_GB2312"/>
          <w:color w:val="auto"/>
          <w:sz w:val="32"/>
          <w:szCs w:val="32"/>
          <w:highlight w:val="none"/>
          <w:lang w:val="en-US" w:eastAsia="zh-CN"/>
        </w:rPr>
        <w:t>，</w:t>
      </w:r>
      <w:r>
        <w:rPr>
          <w:rFonts w:hint="default" w:ascii="仿宋_GB2312" w:eastAsia="仿宋_GB2312"/>
          <w:color w:val="auto"/>
          <w:sz w:val="32"/>
          <w:szCs w:val="32"/>
          <w:highlight w:val="none"/>
          <w:lang w:val="en-US" w:eastAsia="zh-CN"/>
        </w:rPr>
        <w:t>受理查处违法违规用能案件。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（十四）参与起草库尔勒市国民经济和社会发展以及经济体制改革、对外开放有关的地方法规、单行条例，拟订规范性文件。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hint="default" w:ascii="仿宋_GB2312" w:eastAsia="仿宋_GB2312"/>
          <w:color w:val="auto"/>
          <w:sz w:val="32"/>
          <w:szCs w:val="32"/>
          <w:highlight w:val="none"/>
          <w:lang w:val="en-US" w:eastAsia="zh-CN"/>
        </w:rPr>
        <w:t>（十五）承办市党委和市人民政府交办的其他</w:t>
      </w:r>
      <w:r>
        <w:rPr>
          <w:rFonts w:hint="eastAsia" w:ascii="仿宋_GB2312" w:eastAsia="仿宋_GB2312"/>
          <w:color w:val="auto"/>
          <w:sz w:val="32"/>
          <w:szCs w:val="32"/>
          <w:highlight w:val="none"/>
          <w:lang w:val="en-US" w:eastAsia="zh-CN"/>
        </w:rPr>
        <w:t>任务</w:t>
      </w:r>
      <w:r>
        <w:rPr>
          <w:rFonts w:hint="default" w:ascii="仿宋_GB2312" w:eastAsia="仿宋_GB2312"/>
          <w:color w:val="auto"/>
          <w:sz w:val="32"/>
          <w:szCs w:val="32"/>
          <w:highlight w:val="none"/>
          <w:lang w:val="en-US"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新疆巴州库尔勒市发展和改革委员会2024年度，实有人数114人，其中：在职人员46人，较上年无变化；离休人员0人，较上年无变化；退休人员68人，较上年无变化；</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从</w:t>
      </w:r>
      <w:r>
        <w:rPr>
          <w:rFonts w:hint="eastAsia" w:ascii="仿宋_GB2312" w:eastAsia="仿宋_GB2312" w:hAnsiTheme="minorHAnsi" w:cstheme="minorBidi"/>
          <w:b w:val="0"/>
          <w:sz w:val="32"/>
          <w:szCs w:val="32"/>
          <w:lang w:eastAsia="zh-CN"/>
        </w:rPr>
        <w:t>部门</w:t>
      </w:r>
      <w:r>
        <w:rPr>
          <w:rFonts w:hint="eastAsia" w:ascii="仿宋_GB2312" w:eastAsia="仿宋_GB2312" w:hAnsiTheme="minorHAnsi" w:cstheme="minorBidi"/>
          <w:b w:val="0"/>
          <w:sz w:val="32"/>
          <w:szCs w:val="32"/>
        </w:rPr>
        <w:t>决算单位构成看，新疆巴州库尔勒市发展和改革委员会部门决算包括：新疆巴州库尔勒市发展和改革委员会本级决算</w:t>
      </w:r>
      <w:r>
        <w:rPr>
          <w:rFonts w:hint="eastAsia" w:ascii="仿宋_GB2312" w:eastAsia="仿宋_GB2312" w:hAnsiTheme="minorHAnsi" w:cstheme="minorBidi"/>
          <w:b w:val="0"/>
          <w:sz w:val="32"/>
          <w:szCs w:val="32"/>
          <w:lang w:eastAsia="zh-CN"/>
        </w:rPr>
        <w:t>及</w:t>
      </w:r>
      <w:r>
        <w:rPr>
          <w:rFonts w:hint="eastAsia" w:ascii="仿宋_GB2312" w:eastAsia="仿宋_GB2312" w:hAnsiTheme="minorHAnsi" w:cstheme="minorBidi"/>
          <w:b w:val="0"/>
          <w:sz w:val="32"/>
          <w:szCs w:val="32"/>
        </w:rPr>
        <w:t>所属单位决算。</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新疆巴州库尔勒市发展和改革委员会本级下设</w:t>
      </w:r>
      <w:r>
        <w:rPr>
          <w:rFonts w:hint="eastAsia" w:ascii="仿宋_GB2312" w:eastAsia="仿宋_GB2312" w:hAnsiTheme="minorHAnsi" w:cstheme="minorBidi"/>
          <w:b w:val="0"/>
          <w:sz w:val="32"/>
          <w:szCs w:val="32"/>
          <w:lang w:val="en-US" w:eastAsia="zh-CN"/>
        </w:rPr>
        <w:t>八个个处室，分别是：办公室（党建办公室）、国民经济和改革综合股（援疆和节能监察股）、投资管理和项目推进股、农村经济和交通经贸股、社会发展和环境资源股、价格管理和成本监审股、粮食和物资储备股、能源安全管理股</w:t>
      </w:r>
      <w:r>
        <w:rPr>
          <w:rFonts w:hint="eastAsia"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ascii="仿宋_GB2312" w:eastAsia="仿宋_GB2312" w:hAnsiTheme="minorHAnsi" w:cstheme="minorBidi"/>
          <w:b w:val="0"/>
          <w:sz w:val="32"/>
          <w:szCs w:val="32"/>
        </w:rPr>
        <w:t>纳入新疆巴州库尔勒市发展和改革委员会2024年度部门决算编制范围的下属预算单位包括：</w:t>
      </w:r>
    </w:p>
    <w:p>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ascii="仿宋_GB2312" w:eastAsia="仿宋_GB2312" w:hAnsiTheme="minorHAnsi" w:cstheme="minorBidi"/>
          <w:b w:val="0"/>
          <w:sz w:val="32"/>
          <w:szCs w:val="32"/>
        </w:rPr>
        <w:t>库尔勒市发展和改革委员会，库尔勒市军粮供应站</w:t>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2024年度收入总计32,935.49万元，其中：本年收入合计32,935.49万元，使用非财政拨款结余（含专用结余）0.00万元，年初结转和结余0.00万元。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2024年度支出总计32,935.49万元，其中：本年支出合计32,935.49万元，结余分配0.00万元，年末结转和结余0.00万元。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收入支出总体与上年相比，增加22,546.44万元，增长217.02%，主要原因是：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。军粮供应站</w:t>
      </w:r>
      <w:r>
        <w:rPr>
          <w:rFonts w:hint="eastAsia" w:ascii="仿宋_GB2312" w:eastAsia="仿宋_GB2312"/>
          <w:b w:val="0"/>
          <w:sz w:val="32"/>
          <w:szCs w:val="32"/>
          <w:lang w:eastAsia="zh-CN"/>
        </w:rPr>
        <w:t>为差额预算单位，上年度列支部分部分支出，本年度列支全部支出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32,935.49万元，其中：财政拨款收入26,120.12万元,占79.31%；上级补助收入0.00万元,占0.00%；事业收入0.00万元，占0.00%；经营收入1,750.36万元,占5.31%；附属单位上缴收入0.00万元，占0.00%；其他收入5,065.00万元，占15.38%。</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本年支出32,935.49万元，其中：基本支出757.48万元，占2.30%；项目支出30,427.65万元，占92.39%；上缴上级支出0.00万元，占0.00%；经营支出1,750.36万元，占5.31%；对附属单位补助支出0.00万元，占0.00%。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26,120.12万元，其中：年初财政拨款结转和结余0.00万元，本年财政拨款收入26,120.12万元。财政拨款支出总计26,120.12万元，其中：年末财政拨款结转和结余0.00万元，本年财政拨款支出26,120.12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财政拨款收入支出总体与上年相比，增加15,821.84万元，增长153.64%，主要原因是：。与年初预算相比，年初预算数1,560.34万元，决算数26,120.12万元，预决算差异率1,574.00%，主要原因是：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26,120.12万元，占本年支出合计的79.31%。与上年相比，增加21,221.84万元，增长433.25%，主要原因是：。与年初预算相比，年初预算数1,560.34万元，决算数26,120.12万元，预决算差异率1,574.00%，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一般公共服务支出（类）1,840.39万元，占7.05%。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教育支出（类）2.75万元，占0.01%。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社会保障和就业支出（类）219.63万元，占0.84%。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卫生健康支出（类）29.71万元，占0.11%。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农林水支出（类）23,666.81万元，占90.61%。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交通运输支出（类）230.62万元，占0.88%。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住房保障支出（类）55.21万元，占0.21%。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粮油物资储备支出（类）70.00万元，占0.27%。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其他支出（类）5.00万元，占0.02%。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一般公共服务支出（类）发展与改革事务（款）行政运行（项）：支出决算数为445.17万元，比上年决算减少105.40万元，下降19.14%，主要原因是：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一般公共服务支出（类）发展与改革事务（款）其他发展与改革事务支出（项）：支出决算数为1,395.22万元，比上年决算增加1,185.57万元，增长565.50%，主要原因是：</w:t>
      </w:r>
      <w:r>
        <w:rPr>
          <w:rFonts w:hint="eastAsia" w:ascii="仿宋_GB2312" w:eastAsia="仿宋_GB2312"/>
          <w:b w:val="0"/>
          <w:sz w:val="32"/>
          <w:szCs w:val="32"/>
          <w:lang w:val="en-US" w:eastAsia="zh-CN"/>
        </w:rPr>
        <w:t>2024年新增河北援疆项目2个共计：5065万元。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教育支出（类）进修及培训（款）培训支出（项）：支出决算数为2.75万元，比上年决算增加0.67万元，增长32.21%，主要原因是：</w:t>
      </w:r>
      <w:r>
        <w:rPr>
          <w:rFonts w:hint="default" w:ascii="仿宋_GB2312" w:hAnsi="Times New Roman" w:eastAsia="仿宋_GB2312" w:cs="Times New Roman"/>
          <w:color w:val="auto"/>
          <w:spacing w:val="0"/>
          <w:kern w:val="2"/>
          <w:sz w:val="32"/>
          <w:szCs w:val="32"/>
          <w:highlight w:val="none"/>
          <w:lang w:val="en-US" w:eastAsia="zh-CN" w:bidi="ar-SA"/>
        </w:rPr>
        <w:t>202</w:t>
      </w: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en-US" w:eastAsia="zh-CN" w:bidi="ar-SA"/>
        </w:rPr>
        <w:t>年</w:t>
      </w:r>
      <w:r>
        <w:rPr>
          <w:rFonts w:hint="eastAsia" w:ascii="仿宋_GB2312" w:hAnsi="Times New Roman" w:eastAsia="仿宋_GB2312" w:cs="Times New Roman"/>
          <w:color w:val="auto"/>
          <w:spacing w:val="0"/>
          <w:kern w:val="2"/>
          <w:sz w:val="32"/>
          <w:szCs w:val="32"/>
          <w:highlight w:val="none"/>
          <w:lang w:val="en-US" w:eastAsia="zh-CN" w:bidi="ar-SA"/>
        </w:rPr>
        <w:t>单位增加教育培训支出</w:t>
      </w:r>
      <w:r>
        <w:rPr>
          <w:rFonts w:hint="eastAsia" w:ascii="仿宋_GB2312" w:hAnsi="Times New Roman" w:eastAsia="仿宋_GB2312" w:cs="Times New Roman"/>
          <w:color w:val="auto"/>
          <w:spacing w:val="0"/>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社会保障和就业支出（类）行政事业单位养老支出（款）行政单位离退休（项）：支出决算数为45.65万元，比上年决算增加9.57万元，增长26.52%，主要原因是：</w:t>
      </w:r>
      <w:r>
        <w:rPr>
          <w:rFonts w:hint="eastAsia" w:ascii="仿宋_GB2312" w:eastAsia="仿宋_GB2312"/>
          <w:b w:val="0"/>
          <w:sz w:val="32"/>
          <w:szCs w:val="32"/>
          <w:lang w:eastAsia="zh-CN"/>
        </w:rPr>
        <w:t>行政</w:t>
      </w:r>
      <w:r>
        <w:rPr>
          <w:rFonts w:hint="eastAsia" w:ascii="仿宋_GB2312" w:hAnsi="Times New Roman" w:eastAsia="仿宋_GB2312" w:cs="Times New Roman"/>
          <w:color w:val="auto"/>
          <w:spacing w:val="0"/>
          <w:kern w:val="2"/>
          <w:sz w:val="32"/>
          <w:szCs w:val="32"/>
          <w:highlight w:val="none"/>
          <w:lang w:val="zh-CN" w:eastAsia="zh-CN" w:bidi="ar-SA"/>
        </w:rPr>
        <w:t>在职人员工资调增，</w:t>
      </w:r>
      <w:r>
        <w:rPr>
          <w:rFonts w:ascii="仿宋_GB2312" w:eastAsia="仿宋_GB2312"/>
          <w:b w:val="0"/>
          <w:sz w:val="32"/>
          <w:szCs w:val="32"/>
        </w:rPr>
        <w:t>社会保障</w:t>
      </w:r>
      <w:r>
        <w:rPr>
          <w:rFonts w:hint="eastAsia" w:ascii="仿宋_GB2312" w:eastAsia="仿宋_GB2312"/>
          <w:b w:val="0"/>
          <w:sz w:val="32"/>
          <w:szCs w:val="32"/>
          <w:lang w:eastAsia="zh-CN"/>
        </w:rPr>
        <w:t>基数增加支出相应增加。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社会保障和就业支出（类）行政事业单位养老支出（款）事业单位离退休（项）：支出决算数为1.38万元，比上年决算增加0.12万元，增长9.52%，主要原因是：</w:t>
      </w:r>
      <w:r>
        <w:rPr>
          <w:rFonts w:hint="eastAsia" w:ascii="仿宋_GB2312" w:eastAsia="仿宋_GB2312"/>
          <w:b w:val="0"/>
          <w:sz w:val="32"/>
          <w:szCs w:val="32"/>
          <w:lang w:eastAsia="zh-CN"/>
        </w:rPr>
        <w:t>行政</w:t>
      </w:r>
      <w:r>
        <w:rPr>
          <w:rFonts w:hint="eastAsia" w:ascii="仿宋_GB2312" w:hAnsi="Times New Roman" w:eastAsia="仿宋_GB2312" w:cs="Times New Roman"/>
          <w:color w:val="auto"/>
          <w:spacing w:val="0"/>
          <w:kern w:val="2"/>
          <w:sz w:val="32"/>
          <w:szCs w:val="32"/>
          <w:highlight w:val="none"/>
          <w:lang w:val="zh-CN" w:eastAsia="zh-CN" w:bidi="ar-SA"/>
        </w:rPr>
        <w:t>在职人员工资调增，</w:t>
      </w:r>
      <w:r>
        <w:rPr>
          <w:rFonts w:ascii="仿宋_GB2312" w:eastAsia="仿宋_GB2312"/>
          <w:b w:val="0"/>
          <w:sz w:val="32"/>
          <w:szCs w:val="32"/>
        </w:rPr>
        <w:t>社会保障</w:t>
      </w:r>
      <w:r>
        <w:rPr>
          <w:rFonts w:hint="eastAsia" w:ascii="仿宋_GB2312" w:eastAsia="仿宋_GB2312"/>
          <w:b w:val="0"/>
          <w:sz w:val="32"/>
          <w:szCs w:val="32"/>
          <w:lang w:eastAsia="zh-CN"/>
        </w:rPr>
        <w:t>基数增加支出相应增加。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社会保障和就业支出（类）行政事业单位养老支出（款）机关事业单位基本养老保险缴费支出（项）：支出决算数为70.01万元，比上年决算减少0.39万元，下降0.55%，主要原因是：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社会保障和就业支出（类）行政事业单位养老支出（款）机关事业单位职业年金缴费支出（项）：支出决算数为19.19万元，比上年决算减少12.78万元，下降39.97%，主要原因是：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社会保障和就业支出（类）就业补助（款）公益性岗位补贴（项）：支出决算数为0.00万元，比上年决算减少3.38万元，下降100.00%，主要原因是：</w:t>
      </w:r>
      <w:r>
        <w:rPr>
          <w:rFonts w:hint="eastAsia" w:ascii="仿宋_GB2312" w:eastAsia="仿宋_GB2312"/>
          <w:b w:val="0"/>
          <w:sz w:val="32"/>
          <w:szCs w:val="32"/>
          <w:lang w:val="en-US" w:eastAsia="zh-CN"/>
        </w:rPr>
        <w:t>2024年</w:t>
      </w:r>
      <w:r>
        <w:rPr>
          <w:rFonts w:ascii="仿宋_GB2312" w:eastAsia="仿宋_GB2312"/>
          <w:b w:val="0"/>
          <w:sz w:val="32"/>
          <w:szCs w:val="32"/>
        </w:rPr>
        <w:t>公益性岗位</w:t>
      </w:r>
      <w:r>
        <w:rPr>
          <w:rFonts w:hint="eastAsia" w:ascii="仿宋_GB2312" w:eastAsia="仿宋_GB2312"/>
          <w:b w:val="0"/>
          <w:sz w:val="32"/>
          <w:szCs w:val="32"/>
          <w:lang w:eastAsia="zh-CN"/>
        </w:rPr>
        <w:t>人员减少。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社会保障和就业支出（类）退役军人管理事务（款）军供保障（项）：支出决算数为83.40万元，比上年决算增加3.53万元，增长4.42%，主要原因是：</w:t>
      </w:r>
      <w:r>
        <w:rPr>
          <w:rFonts w:hint="eastAsia" w:ascii="仿宋_GB2312" w:hAnsi="Times New Roman" w:eastAsia="仿宋_GB2312" w:cs="Times New Roman"/>
          <w:color w:val="auto"/>
          <w:spacing w:val="0"/>
          <w:kern w:val="2"/>
          <w:sz w:val="32"/>
          <w:szCs w:val="32"/>
          <w:highlight w:val="none"/>
          <w:lang w:val="zh-CN" w:eastAsia="zh-CN" w:bidi="ar-SA"/>
        </w:rPr>
        <w:t>在职人员工资调增，</w:t>
      </w:r>
      <w:r>
        <w:rPr>
          <w:rFonts w:ascii="仿宋_GB2312" w:eastAsia="仿宋_GB2312"/>
          <w:b w:val="0"/>
          <w:sz w:val="32"/>
          <w:szCs w:val="32"/>
        </w:rPr>
        <w:t>社会保障</w:t>
      </w:r>
      <w:r>
        <w:rPr>
          <w:rFonts w:hint="eastAsia" w:ascii="仿宋_GB2312" w:eastAsia="仿宋_GB2312"/>
          <w:b w:val="0"/>
          <w:sz w:val="32"/>
          <w:szCs w:val="32"/>
          <w:lang w:eastAsia="zh-CN"/>
        </w:rPr>
        <w:t>基数增加支出相应增加。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卫生健康支出（类）行政事业单位医疗（款）行政单位医疗（项）：支出决算数为24.12万元，比上年决算减少2.86万元，下降10.60%，主要原因是：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卫生健康支出（类）行政事业单位医疗（款）公务员医疗补助（项）：支出决算数为5.59万元，比上年决算减少0.56万元，下降9.11%，主要原因是：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节能环保支出（类）能源节约利用（款）能源节约利用（项）：支出决算数为0.00万元，比上年决算减少300.00万元，下降100.00%，主要原因是：</w:t>
      </w:r>
      <w:r>
        <w:rPr>
          <w:rFonts w:hint="eastAsia" w:ascii="仿宋_GB2312" w:eastAsia="仿宋_GB2312"/>
          <w:b w:val="0"/>
          <w:sz w:val="32"/>
          <w:szCs w:val="32"/>
          <w:lang w:val="en-US" w:eastAsia="zh-CN"/>
        </w:rPr>
        <w:t>2024年节能环保项目已完工，该项支出减少。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农林水支出（类）目标价格补贴（款）棉花目标价格补贴（项）：支出决算数为23,666.81万元，比上年决算增加23,666.81万元，增长100.00%，主要原因是：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23,666.81万元</w:t>
      </w:r>
      <w:r>
        <w:rPr>
          <w:rFonts w:ascii="仿宋_GB2312" w:eastAsia="仿宋_GB2312" w:hAnsiTheme="minorHAnsi" w:cstheme="minorBidi"/>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交通运输支出（类）民用航空运输（款）其他民用航空运输支出（项）：支出决算数为229.18万元，比上年决算减少1,069.86万元，下降82.36%，主要原因是：</w:t>
      </w:r>
      <w:r>
        <w:rPr>
          <w:rFonts w:hint="eastAsia" w:ascii="仿宋_GB2312" w:eastAsia="仿宋_GB2312"/>
          <w:b w:val="0"/>
          <w:sz w:val="32"/>
          <w:szCs w:val="32"/>
          <w:lang w:val="en-US" w:eastAsia="zh-CN"/>
        </w:rPr>
        <w:t>2024年</w:t>
      </w:r>
      <w:r>
        <w:rPr>
          <w:rFonts w:ascii="仿宋_GB2312" w:eastAsia="仿宋_GB2312"/>
          <w:b w:val="0"/>
          <w:sz w:val="32"/>
          <w:szCs w:val="32"/>
        </w:rPr>
        <w:t>其他民用航空运输支出</w:t>
      </w:r>
      <w:r>
        <w:rPr>
          <w:rFonts w:hint="eastAsia" w:ascii="仿宋_GB2312" w:eastAsia="仿宋_GB2312"/>
          <w:b w:val="0"/>
          <w:sz w:val="32"/>
          <w:szCs w:val="32"/>
          <w:lang w:eastAsia="zh-CN"/>
        </w:rPr>
        <w:t>项目资金减少。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rPr>
        <w:t>交通运输支出（类）邮政业支出（款）邮政普遍服务与特殊服务（项）：支出决算数为1.44万元，与上年相比无变化，主要原因是：</w:t>
      </w:r>
      <w:r>
        <w:rPr>
          <w:rFonts w:hint="eastAsia" w:ascii="仿宋_GB2312" w:eastAsia="仿宋_GB2312"/>
          <w:b w:val="0"/>
          <w:sz w:val="32"/>
          <w:szCs w:val="32"/>
          <w:lang w:val="en-US" w:eastAsia="zh-CN"/>
        </w:rPr>
        <w:t>2024年安排的</w:t>
      </w:r>
      <w:r>
        <w:rPr>
          <w:rFonts w:ascii="仿宋_GB2312" w:eastAsia="仿宋_GB2312"/>
          <w:b w:val="0"/>
          <w:sz w:val="32"/>
          <w:szCs w:val="32"/>
        </w:rPr>
        <w:t>邮政业支出</w:t>
      </w:r>
      <w:r>
        <w:rPr>
          <w:rFonts w:hint="eastAsia" w:ascii="仿宋_GB2312" w:eastAsia="仿宋_GB2312"/>
          <w:b w:val="0"/>
          <w:sz w:val="32"/>
          <w:szCs w:val="32"/>
          <w:lang w:eastAsia="zh-CN"/>
        </w:rPr>
        <w:t>资金与</w:t>
      </w:r>
      <w:r>
        <w:rPr>
          <w:rFonts w:hint="eastAsia" w:ascii="仿宋_GB2312" w:eastAsia="仿宋_GB2312"/>
          <w:b w:val="0"/>
          <w:sz w:val="32"/>
          <w:szCs w:val="32"/>
          <w:lang w:val="en-US" w:eastAsia="zh-CN"/>
        </w:rPr>
        <w:t>2023年持平。</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住房保障支出（类）住房改革支出（款）住房公积金（项）：支出决算数为55.21万元，比上年决算增加2.58万元，增长4.90%，主要原因是：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粮油物资储备支出（类）粮油物资事务（款）专项业务活动（项）：支出决算数为0.00万元，比上年决算减少78.29万元，下降100.00%，主要原因是：</w:t>
      </w:r>
      <w:r>
        <w:rPr>
          <w:rFonts w:hint="eastAsia" w:ascii="仿宋_GB2312" w:eastAsia="仿宋_GB2312"/>
          <w:b w:val="0"/>
          <w:sz w:val="32"/>
          <w:szCs w:val="32"/>
          <w:lang w:val="en-US" w:eastAsia="zh-CN"/>
        </w:rPr>
        <w:t>2024年度没有支付工程项目款。</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粮油物资储备支出（类）粮油物资事务（款）粮食风险基金（项）：支出决算数为0.00万元，比上年决算减少439.00万元，下降100.00%，主要原因是：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粮油物资储备支出（类）粮油物资事务（款）物资保管保养（项）：支出决算数为0.00万元，比上年决算减少107.00万元，下降100.00%，主要原因是：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粮油物资储备支出（类）粮油储备（款）储备粮（油）库建设（项）：支出决算数为0.00万元，比上年决算减少1,600.00万元，下降100.00%，主要原因是：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粮油物资储备支出（类）粮油储备（款）其他粮油储备支出（项）：支出决算数为70.00万元，比上年决算增加70.00万元，增长100.00%，主要原因是：</w:t>
      </w:r>
      <w:r>
        <w:rPr>
          <w:rFonts w:hint="eastAsia" w:ascii="仿宋_GB2312" w:eastAsia="仿宋_GB2312"/>
          <w:b w:val="0"/>
          <w:sz w:val="32"/>
          <w:szCs w:val="32"/>
          <w:lang w:val="en-US" w:eastAsia="zh-CN"/>
        </w:rPr>
        <w:t>2024年新增</w:t>
      </w:r>
      <w:r>
        <w:rPr>
          <w:rFonts w:ascii="仿宋_GB2312" w:eastAsia="仿宋_GB2312"/>
          <w:b w:val="0"/>
          <w:sz w:val="32"/>
          <w:szCs w:val="32"/>
        </w:rPr>
        <w:t>其他粮油储备支出</w:t>
      </w:r>
      <w:r>
        <w:rPr>
          <w:rFonts w:hint="eastAsia" w:ascii="仿宋_GB2312" w:eastAsia="仿宋_GB2312"/>
          <w:b w:val="0"/>
          <w:sz w:val="32"/>
          <w:szCs w:val="32"/>
          <w:lang w:val="en-US" w:eastAsia="zh-CN"/>
        </w:rPr>
        <w:t>70.00万元</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粮油物资储备支出（类）重要商品储备（款）应急物资储备（项）：支出决算数为0.00万元，比上年决算减少2.49万元，下降100.00%，主要原因是：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其他支出（类）其他支出（款）其他支出（项）：支出决算数为5.00万元，比上年决算增加5.00万元，增长100.00%，主要原因是：</w:t>
      </w:r>
      <w:r>
        <w:rPr>
          <w:rFonts w:hint="eastAsia" w:ascii="仿宋_GB2312" w:eastAsia="仿宋_GB2312"/>
          <w:b w:val="0"/>
          <w:sz w:val="32"/>
          <w:szCs w:val="32"/>
          <w:lang w:val="en-US" w:eastAsia="zh-CN"/>
        </w:rPr>
        <w:t>2024年新增</w:t>
      </w:r>
      <w:r>
        <w:rPr>
          <w:rFonts w:ascii="仿宋_GB2312" w:eastAsia="仿宋_GB2312"/>
          <w:b w:val="0"/>
          <w:sz w:val="32"/>
          <w:szCs w:val="32"/>
        </w:rPr>
        <w:t>其他支出</w:t>
      </w:r>
      <w:r>
        <w:rPr>
          <w:rFonts w:hint="eastAsia" w:ascii="仿宋_GB2312" w:eastAsia="仿宋_GB2312"/>
          <w:b w:val="0"/>
          <w:sz w:val="32"/>
          <w:szCs w:val="32"/>
          <w:lang w:eastAsia="zh-CN"/>
        </w:rPr>
        <w:t>项目</w:t>
      </w:r>
      <w:r>
        <w:rPr>
          <w:rFonts w:hint="eastAsia" w:ascii="仿宋_GB2312" w:eastAsia="仿宋_GB2312"/>
          <w:b w:val="0"/>
          <w:sz w:val="32"/>
          <w:szCs w:val="32"/>
          <w:lang w:val="en-US" w:eastAsia="zh-CN"/>
        </w:rPr>
        <w:t>5.00万元</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757.48万元，其中：人员经费717.57万元，包括：基本工资、津贴补贴、奖金、机关事业单位基本养老保险缴费、职业年金缴费、职工基本医疗保险缴费、公务员医疗补助缴费、其他社会保障缴费、住房公积金、医疗费、其他工资福利支出、退休费、抚恤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公用经费39.91万元，包括：办公费、邮电费、差旅费、维修（护）费、培训费、工会经费、福利费、公务用车运行维护费和其他交通费用。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2024年度财政拨款“三公”经费支出6.90万元，与上年相比无变化，主要原因是：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。其中：因公出国（境）费支出0.00万元,占0.00%，与上年相比无变化，主要原因是：</w:t>
      </w:r>
      <w:r>
        <w:rPr>
          <w:rFonts w:hint="eastAsia" w:ascii="Times New Roman" w:hAnsi="Times New Roman" w:eastAsia="方正仿宋_GBK" w:cs="Times New Roman"/>
          <w:color w:val="auto"/>
          <w:sz w:val="31"/>
          <w:szCs w:val="31"/>
          <w:lang w:eastAsia="zh-CN"/>
        </w:rPr>
        <w:t>我单位无</w:t>
      </w:r>
      <w:r>
        <w:rPr>
          <w:rFonts w:hint="default" w:ascii="Times New Roman" w:hAnsi="Times New Roman" w:eastAsia="方正仿宋_GBK" w:cs="Times New Roman"/>
          <w:sz w:val="31"/>
          <w:szCs w:val="31"/>
          <w:lang w:eastAsia="zh-CN"/>
        </w:rPr>
        <w:t>因公出国（境）费支出，与上年相比无变动</w:t>
      </w:r>
      <w:r>
        <w:rPr>
          <w:rFonts w:ascii="仿宋_GB2312" w:eastAsia="仿宋_GB2312"/>
          <w:b w:val="0"/>
          <w:sz w:val="32"/>
          <w:szCs w:val="32"/>
        </w:rPr>
        <w:t>；公务用车购置及运行维护费支出6.90万元，占100.00%，与上年相比无变化，主要原因是：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；公务接待费支出0.00万元，占0.00%，与上年相比无变化，主要原因是：</w:t>
      </w:r>
      <w:r>
        <w:rPr>
          <w:rFonts w:hint="eastAsia" w:ascii="Times New Roman" w:hAnsi="Times New Roman" w:eastAsia="方正仿宋_GBK" w:cs="Times New Roman"/>
          <w:color w:val="auto"/>
          <w:sz w:val="31"/>
          <w:szCs w:val="31"/>
          <w:lang w:eastAsia="zh-CN"/>
        </w:rPr>
        <w:t>我单位无</w:t>
      </w:r>
      <w:r>
        <w:rPr>
          <w:rFonts w:hint="default" w:ascii="Times New Roman" w:hAnsi="Times New Roman" w:eastAsia="方正仿宋_GBK" w:cs="Times New Roman"/>
          <w:sz w:val="31"/>
          <w:szCs w:val="31"/>
          <w:lang w:eastAsia="zh-CN"/>
        </w:rPr>
        <w:t>公务接待费</w:t>
      </w:r>
      <w:r>
        <w:rPr>
          <w:rFonts w:hint="eastAsia" w:ascii="Times New Roman" w:hAnsi="Times New Roman" w:eastAsia="方正仿宋_GBK" w:cs="Times New Roman"/>
          <w:sz w:val="31"/>
          <w:szCs w:val="31"/>
          <w:lang w:eastAsia="zh-CN"/>
        </w:rPr>
        <w:t>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6.90万元，其中：公务用车购置费0.00万元，公务用车运行维护费6.90万元。公务用车运行维护费开支内容包括。公务用车购置数0辆，公务用车保有量3辆。国有资产占用情况中固定资产车辆8辆，与公务用车保有量差异原因是：</w:t>
      </w:r>
      <w:r>
        <w:rPr>
          <w:rFonts w:hint="eastAsia" w:ascii="仿宋_GB2312" w:eastAsia="仿宋_GB2312"/>
          <w:color w:val="auto"/>
          <w:sz w:val="32"/>
          <w:szCs w:val="32"/>
          <w:highlight w:val="none"/>
          <w:lang w:val="zh-CN" w:eastAsia="zh-CN"/>
        </w:rPr>
        <w:t>机关事务管理局调拨车辆</w:t>
      </w:r>
      <w:r>
        <w:rPr>
          <w:rFonts w:hint="eastAsia" w:ascii="仿宋_GB2312" w:eastAsia="仿宋_GB2312"/>
          <w:color w:val="auto"/>
          <w:sz w:val="32"/>
          <w:szCs w:val="32"/>
          <w:highlight w:val="none"/>
          <w:lang w:val="en-US" w:eastAsia="zh-CN"/>
        </w:rPr>
        <w:t>3辆，资产划拨手续办理中</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与全年预算相比，财政拨款“三公”经费支出全年预算数6.90万元，决算数6.90万元，预决算差异率0.00%，主要原因是：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。其中：因公出国（境）费全年预算数0.00万元，决算数0.00万元，预决算差异率0.00%，主要原因是：</w:t>
      </w:r>
      <w:r>
        <w:rPr>
          <w:rFonts w:hint="eastAsia" w:ascii="Times New Roman" w:hAnsi="Times New Roman" w:eastAsia="方正仿宋_GBK" w:cs="Times New Roman"/>
          <w:color w:val="auto"/>
          <w:sz w:val="31"/>
          <w:szCs w:val="31"/>
          <w:lang w:eastAsia="zh-CN"/>
        </w:rPr>
        <w:t>我单位无</w:t>
      </w:r>
      <w:r>
        <w:rPr>
          <w:rFonts w:hint="default" w:ascii="Times New Roman" w:hAnsi="Times New Roman" w:eastAsia="方正仿宋_GBK" w:cs="Times New Roman"/>
          <w:sz w:val="31"/>
          <w:szCs w:val="31"/>
          <w:lang w:eastAsia="zh-CN"/>
        </w:rPr>
        <w:t>因公出国（境）费支出，与上年相比无变动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我单位无</w:t>
      </w:r>
      <w:r>
        <w:rPr>
          <w:rFonts w:hint="eastAsia" w:ascii="仿宋_GB2312" w:hAnsi="Times New Roman" w:eastAsia="仿宋_GB2312" w:cs="Times New Roman"/>
          <w:color w:val="auto"/>
          <w:sz w:val="32"/>
          <w:szCs w:val="32"/>
          <w:highlight w:val="none"/>
          <w:lang w:val="zh-CN" w:eastAsia="zh-CN"/>
        </w:rPr>
        <w:t>公务用车购置费</w:t>
      </w:r>
      <w:r>
        <w:rPr>
          <w:rFonts w:ascii="仿宋_GB2312" w:eastAsia="仿宋_GB2312"/>
          <w:b w:val="0"/>
          <w:sz w:val="32"/>
          <w:szCs w:val="32"/>
        </w:rPr>
        <w:t>。公务用车运行维护费全年预算数6.90万元，决算数6.90万元，预决算差异率0.00%，主要原因是：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我单位无公务接待费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2024年度新疆巴州库尔勒市发展和改革委员会部门机关运行经费支出39.91万元，比上年增加6.39万元，增长19.06%，主要原因是：</w:t>
      </w:r>
      <w:r>
        <w:rPr>
          <w:rFonts w:hint="eastAsia" w:ascii="仿宋_GB2312" w:hAnsi="Times New Roman" w:eastAsia="仿宋_GB2312" w:cs="Times New Roman"/>
          <w:spacing w:val="0"/>
          <w:sz w:val="32"/>
          <w:szCs w:val="32"/>
          <w:highlight w:val="none"/>
          <w:lang w:eastAsia="zh-CN"/>
        </w:rPr>
        <w:t>202</w:t>
      </w:r>
      <w:r>
        <w:rPr>
          <w:rFonts w:hint="eastAsia" w:ascii="仿宋_GB2312" w:eastAsia="仿宋_GB2312" w:cs="Times New Roman"/>
          <w:spacing w:val="0"/>
          <w:sz w:val="32"/>
          <w:szCs w:val="32"/>
          <w:highlight w:val="none"/>
          <w:lang w:val="en-US" w:eastAsia="zh-CN"/>
        </w:rPr>
        <w:t>4</w:t>
      </w:r>
      <w:r>
        <w:rPr>
          <w:rFonts w:hint="eastAsia" w:ascii="仿宋_GB2312" w:hAnsi="Times New Roman" w:eastAsia="仿宋_GB2312" w:cs="Times New Roman"/>
          <w:spacing w:val="0"/>
          <w:sz w:val="32"/>
          <w:szCs w:val="32"/>
          <w:highlight w:val="none"/>
          <w:lang w:eastAsia="zh-CN"/>
        </w:rPr>
        <w:t>年人员</w:t>
      </w:r>
      <w:r>
        <w:rPr>
          <w:rFonts w:hint="eastAsia" w:ascii="仿宋_GB2312" w:eastAsia="仿宋_GB2312" w:cs="Times New Roman"/>
          <w:spacing w:val="0"/>
          <w:sz w:val="32"/>
          <w:szCs w:val="32"/>
          <w:highlight w:val="none"/>
          <w:lang w:eastAsia="zh-CN"/>
        </w:rPr>
        <w:t>增</w:t>
      </w:r>
      <w:r>
        <w:rPr>
          <w:rFonts w:hint="eastAsia" w:ascii="仿宋_GB2312" w:hAnsi="Times New Roman" w:eastAsia="仿宋_GB2312" w:cs="Times New Roman"/>
          <w:spacing w:val="0"/>
          <w:sz w:val="32"/>
          <w:szCs w:val="32"/>
          <w:highlight w:val="none"/>
          <w:lang w:eastAsia="zh-CN"/>
        </w:rPr>
        <w:t>资、社保、医保、住房公积金普调，造成本年增幅</w:t>
      </w:r>
      <w:r>
        <w:rPr>
          <w:rFonts w:hint="eastAsia" w:ascii="Times New Roman" w:hAnsi="Times New Roman" w:eastAsia="仿宋_GB2312" w:cs="Times New Roman"/>
          <w:color w:val="auto"/>
          <w:sz w:val="32"/>
          <w:szCs w:val="32"/>
          <w:highlight w:val="none"/>
          <w:lang w:val="en-US"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2024年度政府采购支出总额233.15万元，其中：政府采购货物支出133.42万元、政府采购工程支出14.79万元、政府采购服务支出84.93万元。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授予中小企业合同金额146.81万元，占政府采购支出总额的62.97%，其中：授予小微企业合同金额146.81万元，占政府采购支出总额的62.97%。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15,988.45平方米，价值3,990.34万元。车辆8辆，价值131.28万元，其中：副部（省）级及以上领导用车0辆、主要负责人用车0辆、机要通信用车0辆、应急保障用车0辆、执法执勤用车0辆、特种专业技术用车0辆、离退休干部服务用车0辆、其他用车8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w:t>
      </w:r>
      <w:r>
        <w:rPr>
          <w:rFonts w:ascii="仿宋_GB2312" w:eastAsia="仿宋_GB2312"/>
          <w:b w:val="0"/>
          <w:sz w:val="32"/>
          <w:szCs w:val="32"/>
        </w:rPr>
        <w:t>万元，实际执行总额</w:t>
      </w:r>
      <w:r>
        <w:rPr>
          <w:rFonts w:hint="eastAsia" w:ascii="仿宋_GB2312" w:eastAsia="仿宋_GB2312"/>
          <w:b w:val="0"/>
          <w:sz w:val="32"/>
          <w:szCs w:val="32"/>
          <w:lang w:val="en-US" w:eastAsia="zh-CN"/>
        </w:rPr>
        <w:t>0</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 xml:space="preserve">5 </w:t>
      </w:r>
      <w:r>
        <w:rPr>
          <w:rFonts w:ascii="仿宋_GB2312" w:eastAsia="仿宋_GB2312"/>
          <w:b w:val="0"/>
          <w:sz w:val="32"/>
          <w:szCs w:val="32"/>
        </w:rPr>
        <w:t>个，全年预算数</w:t>
      </w:r>
      <w:r>
        <w:rPr>
          <w:rFonts w:hint="eastAsia" w:ascii="仿宋_GB2312" w:eastAsia="仿宋_GB2312"/>
          <w:b w:val="0"/>
          <w:sz w:val="32"/>
          <w:szCs w:val="32"/>
          <w:lang w:val="en-US" w:eastAsia="zh-CN"/>
        </w:rPr>
        <w:t>739</w:t>
      </w:r>
      <w:r>
        <w:rPr>
          <w:rFonts w:ascii="仿宋_GB2312" w:eastAsia="仿宋_GB2312"/>
          <w:b w:val="0"/>
          <w:sz w:val="32"/>
          <w:szCs w:val="32"/>
        </w:rPr>
        <w:t>万元，全年执行数</w:t>
      </w:r>
      <w:r>
        <w:rPr>
          <w:rFonts w:hint="eastAsia" w:ascii="仿宋_GB2312" w:eastAsia="仿宋_GB2312"/>
          <w:b w:val="0"/>
          <w:sz w:val="32"/>
          <w:szCs w:val="32"/>
          <w:lang w:val="en-US" w:eastAsia="zh-CN"/>
        </w:rPr>
        <w:t>739</w:t>
      </w:r>
      <w:r>
        <w:rPr>
          <w:rFonts w:ascii="仿宋_GB2312" w:eastAsia="仿宋_GB2312"/>
          <w:b w:val="0"/>
          <w:sz w:val="32"/>
          <w:szCs w:val="32"/>
        </w:rPr>
        <w:t>万元。</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lang w:eastAsia="zh-CN"/>
        </w:rPr>
      </w:pPr>
      <w:r>
        <w:rPr>
          <w:rFonts w:ascii="仿宋_GB2312" w:eastAsia="仿宋_GB2312"/>
          <w:b w:val="0"/>
          <w:sz w:val="32"/>
          <w:szCs w:val="32"/>
        </w:rPr>
        <w:t>预算绩效管理取得的成效：</w:t>
      </w:r>
      <w:r>
        <w:rPr>
          <w:rFonts w:hint="default" w:ascii="仿宋_GB2312" w:eastAsia="仿宋_GB2312"/>
          <w:b w:val="0"/>
          <w:sz w:val="32"/>
          <w:szCs w:val="32"/>
          <w:lang w:eastAsia="zh-CN"/>
        </w:rPr>
        <w:t>一是预算绩效管理制度中运用的方法与内部控制中的职责分工、授权批准控制方法相一致提升组织的绩效；二是提高预算的执行力，规避预算在编制、执行和考核过程中面临的各种风险。</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发现的问题及原因：</w:t>
      </w:r>
      <w:r>
        <w:rPr>
          <w:rFonts w:hint="default" w:ascii="仿宋_GB2312" w:eastAsia="仿宋_GB2312"/>
          <w:b w:val="0"/>
          <w:sz w:val="32"/>
          <w:szCs w:val="32"/>
          <w:lang w:eastAsia="zh-CN"/>
        </w:rPr>
        <w:t>一是预算绩效管理制度中运用的方法与内部控制中的职责分工、授权批准控制方法相一致提升组织的绩效；二是提高预算的执行力，规避预算在编制、执行和考核过程中面临的各种风险</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ascii="仿宋_GB2312" w:eastAsia="仿宋_GB2312"/>
          <w:b w:val="0"/>
          <w:sz w:val="32"/>
          <w:szCs w:val="32"/>
        </w:rPr>
        <w:t>下一步改进措施：</w:t>
      </w:r>
      <w:r>
        <w:rPr>
          <w:rFonts w:hint="eastAsia" w:ascii="仿宋_GB2312" w:eastAsia="仿宋_GB2312"/>
          <w:b w:val="0"/>
          <w:sz w:val="32"/>
          <w:szCs w:val="32"/>
          <w:lang w:eastAsia="zh-CN"/>
        </w:rPr>
        <w:t>明确责任。预算单位及相关内部科室应明确职责。按照谁支出、谁负责，谁审批、谁负责的原则，明确资金使用单位是本单位绩效管理的第一负责人。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项目目标是整体执行的标准值，标准值的明确与否，很大程度上影响项目整体的实现情况。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hint="eastAsia" w:ascii="仿宋_GB2312" w:eastAsia="仿宋_GB2312"/>
          <w:b w:val="0"/>
          <w:sz w:val="32"/>
          <w:szCs w:val="32"/>
          <w:lang w:eastAsia="zh-CN"/>
        </w:rPr>
        <w:t>具体项目自评情况附绩效自评表及自评报告。</w:t>
      </w:r>
    </w:p>
    <w:p>
      <w:pPr>
        <w:pStyle w:val="2"/>
        <w:rPr>
          <w:rFonts w:hint="eastAsia"/>
          <w:lang w:eastAsia="zh-CN"/>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ind w:firstLine="640" w:firstLineChars="200"/>
      </w:pPr>
      <w:r>
        <w:rPr>
          <w:rFonts w:ascii="仿宋_GB2312" w:eastAsia="仿宋_GB2312"/>
          <w:b w:val="0"/>
          <w:sz w:val="32"/>
          <w:szCs w:val="32"/>
        </w:rPr>
        <w:t>根据预算绩效管理要求，本单位2024年度预算绩效管理形成整体支出绩效自评表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w:t>
      </w:r>
      <w:r>
        <w:rPr>
          <w:rFonts w:ascii="仿宋_GB2312" w:eastAsia="仿宋_GB2312"/>
          <w:b w:val="0"/>
          <w:sz w:val="32"/>
          <w:szCs w:val="32"/>
        </w:rPr>
        <w:t>万元，实际执行总额</w:t>
      </w:r>
      <w:r>
        <w:rPr>
          <w:rFonts w:hint="eastAsia" w:ascii="仿宋_GB2312" w:eastAsia="仿宋_GB2312"/>
          <w:b w:val="0"/>
          <w:sz w:val="32"/>
          <w:szCs w:val="32"/>
          <w:lang w:val="en-US" w:eastAsia="zh-CN"/>
        </w:rPr>
        <w:t>0</w:t>
      </w:r>
      <w:r>
        <w:rPr>
          <w:rFonts w:ascii="仿宋_GB2312" w:eastAsia="仿宋_GB2312"/>
          <w:b w:val="0"/>
          <w:sz w:val="32"/>
          <w:szCs w:val="32"/>
        </w:rPr>
        <w:t>万元</w:t>
      </w:r>
      <w:r>
        <w:rPr>
          <w:rFonts w:hint="eastAsia" w:ascii="仿宋_GB2312" w:eastAsia="仿宋_GB2312"/>
          <w:b w:val="0"/>
          <w:sz w:val="32"/>
          <w:szCs w:val="32"/>
          <w:lang w:eastAsia="zh-CN"/>
        </w:rPr>
        <w:t>。我部门</w:t>
      </w:r>
      <w:r>
        <w:rPr>
          <w:rFonts w:ascii="仿宋_GB2312" w:eastAsia="仿宋_GB2312"/>
          <w:b w:val="0"/>
          <w:sz w:val="32"/>
          <w:szCs w:val="32"/>
        </w:rPr>
        <w:t>整体支出绩效自评表</w:t>
      </w:r>
      <w:r>
        <w:rPr>
          <w:rFonts w:hint="eastAsia" w:ascii="仿宋_GB2312" w:eastAsia="仿宋_GB2312"/>
          <w:b w:val="0"/>
          <w:sz w:val="32"/>
          <w:szCs w:val="32"/>
          <w:lang w:eastAsia="zh-CN"/>
        </w:rPr>
        <w:t>由各单位自行编制并公开。</w:t>
      </w: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7"/>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6050915" cy="5854700"/>
            <wp:effectExtent l="0" t="0" r="6985" b="1270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4"/>
                    <a:stretch>
                      <a:fillRect/>
                    </a:stretch>
                  </pic:blipFill>
                  <pic:spPr>
                    <a:xfrm>
                      <a:off x="0" y="0"/>
                      <a:ext cx="6050915" cy="5854700"/>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6069330" cy="6273800"/>
            <wp:effectExtent l="0" t="0" r="7620" b="1270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5">
                      <a:grayscl/>
                    </a:blip>
                    <a:stretch>
                      <a:fillRect/>
                    </a:stretch>
                  </pic:blipFill>
                  <pic:spPr>
                    <a:xfrm>
                      <a:off x="0" y="0"/>
                      <a:ext cx="6069330" cy="6273800"/>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5881370" cy="7393940"/>
            <wp:effectExtent l="0" t="0" r="5080" b="1651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6">
                      <a:grayscl/>
                    </a:blip>
                    <a:stretch>
                      <a:fillRect/>
                    </a:stretch>
                  </pic:blipFill>
                  <pic:spPr>
                    <a:xfrm>
                      <a:off x="0" y="0"/>
                      <a:ext cx="5881370" cy="7393940"/>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5481320" cy="4516755"/>
            <wp:effectExtent l="0" t="0" r="5080" b="1714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7"/>
                    <a:stretch>
                      <a:fillRect/>
                    </a:stretch>
                  </pic:blipFill>
                  <pic:spPr>
                    <a:xfrm>
                      <a:off x="0" y="0"/>
                      <a:ext cx="5481320" cy="4516755"/>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5483860" cy="7011670"/>
            <wp:effectExtent l="0" t="0" r="2540" b="1778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8">
                      <a:grayscl/>
                    </a:blip>
                    <a:stretch>
                      <a:fillRect/>
                    </a:stretch>
                  </pic:blipFill>
                  <pic:spPr>
                    <a:xfrm>
                      <a:off x="0" y="0"/>
                      <a:ext cx="5483860" cy="7011670"/>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5480685" cy="4536440"/>
            <wp:effectExtent l="0" t="0" r="5715" b="1651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9"/>
                    <a:stretch>
                      <a:fillRect/>
                    </a:stretch>
                  </pic:blipFill>
                  <pic:spPr>
                    <a:xfrm>
                      <a:off x="0" y="0"/>
                      <a:ext cx="5480685" cy="4536440"/>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5485765" cy="1684020"/>
            <wp:effectExtent l="0" t="0" r="635" b="1143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0"/>
                    <a:stretch>
                      <a:fillRect/>
                    </a:stretch>
                  </pic:blipFill>
                  <pic:spPr>
                    <a:xfrm>
                      <a:off x="0" y="0"/>
                      <a:ext cx="5485765" cy="1684020"/>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5478145" cy="1614805"/>
            <wp:effectExtent l="0" t="0" r="8255" b="4445"/>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1"/>
                    <a:stretch>
                      <a:fillRect/>
                    </a:stretch>
                  </pic:blipFill>
                  <pic:spPr>
                    <a:xfrm>
                      <a:off x="0" y="0"/>
                      <a:ext cx="5478145" cy="1614805"/>
                    </a:xfrm>
                    <a:prstGeom prst="rect">
                      <a:avLst/>
                    </a:prstGeom>
                    <a:noFill/>
                    <a:ln>
                      <a:noFill/>
                    </a:ln>
                  </pic:spPr>
                </pic:pic>
              </a:graphicData>
            </a:graphic>
          </wp:inline>
        </w:drawing>
      </w: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r>
        <w:drawing>
          <wp:inline distT="0" distB="0" distL="114300" distR="114300">
            <wp:extent cx="6042025" cy="1872615"/>
            <wp:effectExtent l="0" t="0" r="15875" b="13335"/>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12"/>
                    <a:stretch>
                      <a:fillRect/>
                    </a:stretch>
                  </pic:blipFill>
                  <pic:spPr>
                    <a:xfrm>
                      <a:off x="0" y="0"/>
                      <a:ext cx="6042025" cy="1872615"/>
                    </a:xfrm>
                    <a:prstGeom prst="rect">
                      <a:avLst/>
                    </a:prstGeom>
                    <a:noFill/>
                    <a:ln>
                      <a:noFill/>
                    </a:ln>
                  </pic:spPr>
                </pic:pic>
              </a:graphicData>
            </a:graphic>
          </wp:inline>
        </w:drawing>
      </w:r>
      <w:bookmarkStart w:id="0" w:name="_GoBack"/>
      <w:bookmarkEnd w:id="0"/>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AB74D6"/>
    <w:multiLevelType w:val="singleLevel"/>
    <w:tmpl w:val="38AB74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B4872"/>
    <w:rsid w:val="1D6054AF"/>
    <w:rsid w:val="23214942"/>
    <w:rsid w:val="45C17B20"/>
    <w:rsid w:val="6C1326CE"/>
    <w:rsid w:val="713720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1"/>
    <w:pPr>
      <w:spacing w:before="61"/>
      <w:ind w:left="117"/>
    </w:pPr>
    <w:rPr>
      <w:szCs w:val="30"/>
    </w:rPr>
  </w:style>
  <w:style w:type="paragraph" w:styleId="4">
    <w:name w:val="Body Text First Indent"/>
    <w:basedOn w:val="3"/>
    <w:qFormat/>
    <w:uiPriority w:val="0"/>
    <w:pPr>
      <w:spacing w:after="0"/>
    </w:pPr>
    <w:rPr>
      <w:rFonts w:ascii="Calibri" w:hAnsi="Calibri" w:eastAsia="宋体" w:cs="Times New Roman"/>
    </w:rPr>
  </w:style>
  <w:style w:type="paragraph" w:styleId="5">
    <w:name w:val="Body Text Indent"/>
    <w:basedOn w:val="1"/>
    <w:next w:val="6"/>
    <w:qFormat/>
    <w:uiPriority w:val="99"/>
    <w:pPr>
      <w:widowControl w:val="0"/>
      <w:ind w:firstLine="600" w:firstLineChars="200"/>
      <w:jc w:val="both"/>
    </w:pPr>
    <w:rPr>
      <w:rFonts w:ascii="仿宋_GB2312" w:hAnsi="Calibri" w:cs="Times New Roman"/>
      <w:szCs w:val="20"/>
    </w:rPr>
  </w:style>
  <w:style w:type="paragraph" w:customStyle="1" w:styleId="6">
    <w:name w:val="Index 7_0"/>
    <w:basedOn w:val="1"/>
    <w:next w:val="1"/>
    <w:qFormat/>
    <w:uiPriority w:val="0"/>
    <w:pPr>
      <w:ind w:left="2520"/>
    </w:pPr>
  </w:style>
  <w:style w:type="paragraph" w:styleId="7">
    <w:name w:val="Body Text First Indent 2"/>
    <w:basedOn w:val="5"/>
    <w:next w:val="4"/>
    <w:unhideWhenUsed/>
    <w:qFormat/>
    <w:uiPriority w:val="99"/>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2025-08-15T02:42:00Z</dcterms:created>
  <dc:creator>Administrator</dc:creator>
  <cp:lastModifiedBy>Administrator</cp:lastModifiedBy>
  <dcterms:modified xsi:type="dcterms:W3CDTF">2025-08-21T11:36:30Z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