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库尔勒市军粮供应站</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库尔勒市军粮供应站严格执行军粮供应政策，落实规范化管理细则，不断提高规范化管理水平和服务水平、推动军民融合式发展。</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军粮供应工作即是一项经济工作，也是一项政治任务，库尔勒市军粮供应站本着为部队服务的宗旨，严格执行军粮供应政策，全面提升军粮供应综合保障能力，确保了军粮供应不脱销、不断档、不拒供，坚持以兵为本、平战结合、突出战备、军地兼容、部队优先的原则，为部队提供优质的服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坚持开展“优质的服务、满意在军营”的活动，以部队官兵是否满意，作为检验自己工作的唯一标准，坚持不定期走访部队，倾听部队官兵的意见和建议，努力改进各项工作，进一步提高服务水平。进一步完善各种便军服务措施，部队官兵的困难就是我们工作的重点，把全心全意为部队官兵服务真正变成军粮供应站的实际活动。在实施便军措施基础上，我们在服务上做到六个保证：保证质价相符，不以次充好；保证及时供应，全天候服务；保证品种等级齐全，随到随供；保证为部队电话预约，节假日正常供应；保证服务热情周到，让官兵购粮宾至如归；保证环境优雅，设施齐全，服务一流。</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3.以服务部队，方便部队官兵为出发点，努力扩大了服务范围。一是不断增加供应品种，方便部队进行品种串换。二是坚持节假日电话预约购粮。</w:t>
      </w:r>
    </w:p>
    <w:p>
      <w:pPr>
        <w:widowControl/>
        <w:spacing w:before="0" w:beforeLines="0" w:beforeAutospacing="0" w:after="0" w:afterLines="0" w:afterAutospacing="0" w:line="240" w:lineRule="auto"/>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库尔勒市军粮供应站2024年度，实有人数21人，其中：在职人员11人，减少1人；离休人员0人，较上年无变化；退休人员10人，增加1人。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宋体"/>
          <w:bCs/>
          <w:color w:val="auto"/>
          <w:kern w:val="0"/>
          <w:sz w:val="32"/>
          <w:szCs w:val="32"/>
          <w:highlight w:val="none"/>
        </w:rPr>
      </w:pPr>
      <w:r>
        <w:rPr>
          <w:rFonts w:ascii="仿宋_GB2312" w:eastAsia="仿宋_GB2312"/>
          <w:b w:val="0"/>
          <w:sz w:val="32"/>
          <w:szCs w:val="32"/>
        </w:rPr>
        <w:t>库尔勒市军粮供应站无下属预算单位，下设</w:t>
      </w:r>
      <w:r>
        <w:rPr>
          <w:rFonts w:hint="eastAsia" w:ascii="仿宋_GB2312" w:eastAsia="仿宋_GB2312"/>
          <w:b w:val="0"/>
          <w:sz w:val="32"/>
          <w:szCs w:val="32"/>
          <w:lang w:val="en-US" w:eastAsia="zh-CN"/>
        </w:rPr>
        <w:t>4</w:t>
      </w:r>
      <w:r>
        <w:rPr>
          <w:rFonts w:ascii="仿宋_GB2312" w:eastAsia="仿宋_GB2312"/>
          <w:b w:val="0"/>
          <w:sz w:val="32"/>
          <w:szCs w:val="32"/>
        </w:rPr>
        <w:t>个</w:t>
      </w:r>
      <w:r>
        <w:rPr>
          <w:rFonts w:hint="eastAsia" w:ascii="仿宋_GB2312" w:eastAsia="仿宋_GB2312"/>
          <w:b w:val="0"/>
          <w:sz w:val="32"/>
          <w:szCs w:val="32"/>
          <w:lang w:eastAsia="zh-CN"/>
        </w:rPr>
        <w:t>处室</w:t>
      </w:r>
      <w:r>
        <w:rPr>
          <w:rFonts w:ascii="仿宋_GB2312" w:eastAsia="仿宋_GB2312"/>
          <w:b w:val="0"/>
          <w:sz w:val="32"/>
          <w:szCs w:val="32"/>
        </w:rPr>
        <w:t>，</w:t>
      </w:r>
      <w:r>
        <w:rPr>
          <w:rFonts w:hint="eastAsia" w:ascii="仿宋_GB2312" w:hAnsi="黑体" w:eastAsia="仿宋_GB2312" w:cs="宋体"/>
          <w:bCs/>
          <w:color w:val="auto"/>
          <w:kern w:val="0"/>
          <w:sz w:val="32"/>
          <w:szCs w:val="32"/>
          <w:highlight w:val="none"/>
        </w:rPr>
        <w:t>分别是：</w:t>
      </w:r>
      <w:r>
        <w:rPr>
          <w:rFonts w:hint="eastAsia" w:ascii="仿宋_GB2312" w:hAnsi="黑体" w:eastAsia="仿宋_GB2312" w:cs="宋体"/>
          <w:bCs/>
          <w:color w:val="auto"/>
          <w:kern w:val="0"/>
          <w:sz w:val="32"/>
          <w:szCs w:val="32"/>
          <w:highlight w:val="none"/>
          <w:lang w:eastAsia="zh-CN"/>
        </w:rPr>
        <w:t>办公室、财务室、开票室、保管室。</w:t>
      </w:r>
    </w:p>
    <w:p>
      <w:pPr>
        <w:widowControl/>
        <w:spacing w:before="0" w:beforeLines="0" w:beforeAutospacing="0" w:after="0" w:afterLines="0" w:afterAutospacing="0" w:line="240" w:lineRule="auto"/>
        <w:ind w:firstLine="0" w:firstLineChars="200"/>
        <w:jc w:val="both"/>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2024年度收入总计1,876.42万元，其中：本年收入合计1,876.42万元，使用非财政拨款结余（含专用结余）0.00万元，年初结转和结余0.00万元。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2024年度支出总计1,876.42万元，其中：本年支出合计1,876.42万元，结余分配0.00万元，年末结转和结余0.00万元。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收入支出总体与上年相比，增加1,640.78万元，增长696.31%，主要原因是：</w:t>
      </w:r>
      <w:r>
        <w:rPr>
          <w:rFonts w:hint="eastAsia" w:ascii="仿宋_GB2312" w:eastAsia="仿宋_GB2312"/>
          <w:b w:val="0"/>
          <w:sz w:val="32"/>
          <w:szCs w:val="32"/>
          <w:lang w:eastAsia="zh-CN"/>
        </w:rPr>
        <w:t>我单位为差额预算单位，上年度列支部分部分支出，本年度列支全部支出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本年收入1,876.42万元，其中：财政拨款收入126.06万元,占6.72%；上级补助收入0.00万元,占0.00%；事业收入0.00万元，占0.00%；经营收入1,750.36万元,占93.28%；附属单位上缴收入0.00万元，占0.00%；其他收入0.00万元，占0.00%。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本年支出1,876.42万元，其中：基本支出126.06万元，占6.72%；项目支出0.00万元，占0.00%；上缴上级支出0.00万元，占0.00%；经营支出1,750.36万元，占93.28%；对附属单位补助支出0.00万元，占0.00%。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2024年度财政拨款收入总计126.06万元，其中：年初财政拨款结转和结余0.00万元，本年财政拨款收入126.06万元。财政拨款支出总计126.06万元，其中：年末财政拨款结转和结余0.00万元，本年财政拨款支出126.06万元。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ascii="仿宋_GB2312" w:eastAsia="仿宋_GB2312"/>
          <w:sz w:val="32"/>
          <w:szCs w:val="32"/>
        </w:rPr>
      </w:pPr>
      <w:r>
        <w:rPr>
          <w:rFonts w:ascii="仿宋_GB2312" w:eastAsia="仿宋_GB2312"/>
          <w:b w:val="0"/>
          <w:sz w:val="32"/>
          <w:szCs w:val="32"/>
        </w:rPr>
        <w:t>财政拨款收入支出总体与上年相比，减少68.81万元，下降35.31%，主要原因是：</w:t>
      </w:r>
      <w:r>
        <w:rPr>
          <w:rFonts w:hint="eastAsia" w:ascii="仿宋_GB2312" w:eastAsia="仿宋_GB2312"/>
          <w:b w:val="0"/>
          <w:sz w:val="32"/>
          <w:szCs w:val="32"/>
          <w:lang w:val="en-US" w:eastAsia="zh-CN"/>
        </w:rPr>
        <w:t>2023年支付</w:t>
      </w:r>
      <w:r>
        <w:rPr>
          <w:rFonts w:hint="eastAsia" w:ascii="仿宋_GB2312" w:eastAsia="仿宋_GB2312"/>
          <w:color w:val="auto"/>
          <w:spacing w:val="0"/>
          <w:sz w:val="32"/>
          <w:szCs w:val="32"/>
          <w:highlight w:val="none"/>
          <w:lang w:eastAsia="zh-CN"/>
        </w:rPr>
        <w:t>军民融合创新示范工程项目款。</w:t>
      </w:r>
      <w:r>
        <w:rPr>
          <w:rFonts w:ascii="仿宋_GB2312" w:eastAsia="仿宋_GB2312"/>
          <w:b w:val="0"/>
          <w:sz w:val="32"/>
          <w:szCs w:val="32"/>
        </w:rPr>
        <w:t>与年初预算相比，年初预算数159.01万元，决算数126.06万元，预决算差异率-20.72%，主要原因是：</w:t>
      </w:r>
      <w:r>
        <w:rPr>
          <w:rFonts w:hint="eastAsia" w:ascii="仿宋_GB2312" w:eastAsia="仿宋_GB2312"/>
          <w:b w:val="0"/>
          <w:sz w:val="32"/>
          <w:szCs w:val="32"/>
          <w:lang w:eastAsia="zh-CN"/>
        </w:rPr>
        <w:t>人员减少和</w:t>
      </w:r>
      <w:r>
        <w:rPr>
          <w:rFonts w:hint="eastAsia" w:ascii="仿宋_GB2312" w:eastAsia="仿宋_GB2312"/>
          <w:b w:val="0"/>
          <w:sz w:val="32"/>
          <w:szCs w:val="32"/>
          <w:lang w:val="en-US" w:eastAsia="zh-CN"/>
        </w:rPr>
        <w:t>2024年年终一次性奖励金未在2024支付</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ascii="仿宋_GB2312" w:eastAsia="仿宋_GB2312"/>
          <w:sz w:val="32"/>
          <w:szCs w:val="32"/>
        </w:rPr>
      </w:pPr>
      <w:r>
        <w:rPr>
          <w:rFonts w:ascii="仿宋_GB2312" w:eastAsia="仿宋_GB2312"/>
          <w:b w:val="0"/>
          <w:sz w:val="32"/>
          <w:szCs w:val="32"/>
        </w:rPr>
        <w:t>2024年度一般公共预算财政拨款支出126.06万元，占本年支出合计的6.72%。与上年相比，减少68.81万元，下降35.31%，主要原因是：</w:t>
      </w:r>
      <w:r>
        <w:rPr>
          <w:rFonts w:hint="eastAsia" w:ascii="仿宋_GB2312" w:eastAsia="仿宋_GB2312"/>
          <w:b w:val="0"/>
          <w:sz w:val="32"/>
          <w:szCs w:val="32"/>
          <w:lang w:val="en-US" w:eastAsia="zh-CN"/>
        </w:rPr>
        <w:t>2023年支付</w:t>
      </w:r>
      <w:r>
        <w:rPr>
          <w:rFonts w:hint="eastAsia" w:ascii="仿宋_GB2312" w:eastAsia="仿宋_GB2312"/>
          <w:color w:val="auto"/>
          <w:spacing w:val="0"/>
          <w:sz w:val="32"/>
          <w:szCs w:val="32"/>
          <w:highlight w:val="none"/>
          <w:lang w:eastAsia="zh-CN"/>
        </w:rPr>
        <w:t>军民融合创新示范工程项目款</w:t>
      </w:r>
      <w:r>
        <w:rPr>
          <w:rFonts w:ascii="仿宋_GB2312" w:eastAsia="仿宋_GB2312"/>
          <w:b w:val="0"/>
          <w:sz w:val="32"/>
          <w:szCs w:val="32"/>
        </w:rPr>
        <w:t>。与年初预算相比，年初预算数159.01万元，决算数126.06万元，预决算差异率-20.72%，主要原因是：</w:t>
      </w:r>
      <w:r>
        <w:rPr>
          <w:rFonts w:hint="eastAsia" w:ascii="仿宋_GB2312" w:eastAsia="仿宋_GB2312"/>
          <w:b w:val="0"/>
          <w:sz w:val="32"/>
          <w:szCs w:val="32"/>
          <w:lang w:eastAsia="zh-CN"/>
        </w:rPr>
        <w:t>人员减少和</w:t>
      </w:r>
      <w:r>
        <w:rPr>
          <w:rFonts w:hint="eastAsia" w:ascii="仿宋_GB2312" w:eastAsia="仿宋_GB2312"/>
          <w:b w:val="0"/>
          <w:sz w:val="32"/>
          <w:szCs w:val="32"/>
          <w:lang w:val="en-US" w:eastAsia="zh-CN"/>
        </w:rPr>
        <w:t>2024年年终一次性奖励金未在2024支付</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社会保障和就业支出（类）111.72万元，占88.62%。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住房保障支出（类）14.34万元，占11.38%。</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社会保障和就业支出（类）行政事业单位养老支出（款）事业单位离退休（项）：支出决算数为1.38万元，比上年决算增加0.12万元，增长9.52%，主要原因是：</w:t>
      </w:r>
      <w:r>
        <w:rPr>
          <w:rFonts w:hint="eastAsia" w:ascii="仿宋_GB2312" w:eastAsia="仿宋_GB2312"/>
          <w:b w:val="0"/>
          <w:sz w:val="32"/>
          <w:szCs w:val="32"/>
          <w:lang w:val="en-US" w:eastAsia="zh-CN"/>
        </w:rPr>
        <w:t>2024年退休人员增加。</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社会保障和就业支出（类）行政事业单位养老支出（款）机关事业单位基本养老保险缴费支出（项）：支出决算数为17.96万元，比上年决算增加2.14万元，增长13.53%，主要原因是：</w:t>
      </w:r>
      <w:r>
        <w:rPr>
          <w:rFonts w:hint="eastAsia" w:ascii="仿宋_GB2312" w:eastAsia="仿宋_GB2312"/>
          <w:b w:val="0"/>
          <w:sz w:val="32"/>
          <w:szCs w:val="32"/>
          <w:lang w:eastAsia="zh-CN"/>
        </w:rPr>
        <w:t>正常社保基数调整。</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社会保障和就业支出（类）行政事业单位养老支出（款）机关事业单位职业年金缴费支出（项）：支出决算数为8.98万元，比上年决算增加1.07万元，增长13.53%，主要原因是：</w:t>
      </w:r>
      <w:r>
        <w:rPr>
          <w:rFonts w:hint="eastAsia" w:ascii="仿宋_GB2312" w:eastAsia="仿宋_GB2312"/>
          <w:b w:val="0"/>
          <w:sz w:val="32"/>
          <w:szCs w:val="32"/>
          <w:lang w:eastAsia="zh-CN"/>
        </w:rPr>
        <w:t>正常社保基数调整。</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社会保障和就业支出（类）退役军人管理事务（款）军供保障（项）：支出决算数为83.40万元，比上年决算增加3.53万元，增长4.42%，主要原因是：</w:t>
      </w:r>
      <w:r>
        <w:rPr>
          <w:rFonts w:hint="eastAsia" w:ascii="仿宋_GB2312" w:eastAsia="仿宋_GB2312"/>
          <w:b w:val="0"/>
          <w:sz w:val="32"/>
          <w:szCs w:val="32"/>
          <w:lang w:eastAsia="zh-CN"/>
        </w:rPr>
        <w:t>正常工资调增。</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住房保障支出（类）住房改革支出（款）住房公积金（项）：支出决算数为14.34万元，比上年决算增加2.61万元，增长22.25%，主要原因是：</w:t>
      </w:r>
      <w:r>
        <w:rPr>
          <w:rFonts w:hint="eastAsia" w:ascii="仿宋_GB2312" w:eastAsia="仿宋_GB2312"/>
          <w:b w:val="0"/>
          <w:sz w:val="32"/>
          <w:szCs w:val="32"/>
          <w:lang w:eastAsia="zh-CN"/>
        </w:rPr>
        <w:t>正常基数调整。</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粮油物资储备支出（类）粮油物资事务（款）专项业务活动（项）：支出决算数为0.00万元，比上年决算减少78.29万元，下降100.00%，主要原因是：</w:t>
      </w:r>
      <w:r>
        <w:rPr>
          <w:rFonts w:hint="eastAsia" w:ascii="仿宋_GB2312" w:eastAsia="仿宋_GB2312"/>
          <w:b w:val="0"/>
          <w:sz w:val="32"/>
          <w:szCs w:val="32"/>
          <w:lang w:val="en-US" w:eastAsia="zh-CN"/>
        </w:rPr>
        <w:t>2024年度没有支付工程项目款。</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2024年度一般公共预算财政拨款基本支出126.06万元，其中：人员经费126.06万元，包括：基本工资、津贴补贴、机关事业单位基本养老保险缴费、职业年金缴费、住房公积金、退休费和生活补助。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ascii="仿宋_GB2312" w:eastAsia="仿宋_GB2312"/>
          <w:b w:val="0"/>
          <w:sz w:val="32"/>
          <w:szCs w:val="32"/>
        </w:rPr>
        <w:t>公用经费0.00万元，包括：</w:t>
      </w:r>
      <w:r>
        <w:rPr>
          <w:rFonts w:hint="eastAsia" w:ascii="仿宋_GB2312" w:eastAsia="仿宋_GB2312"/>
          <w:color w:val="auto"/>
          <w:sz w:val="32"/>
          <w:szCs w:val="32"/>
          <w:highlight w:val="none"/>
          <w:lang w:eastAsia="zh-CN"/>
        </w:rPr>
        <w:t>库尔勒市军粮供应站属于差额事业单位未安排公用经费。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2024年度财政拨款“三公”经费支出0.00万元，与上年相比无变化，主要原因是：</w:t>
      </w:r>
      <w:r>
        <w:rPr>
          <w:rFonts w:hint="eastAsia" w:ascii="Times New Roman" w:hAnsi="Times New Roman" w:eastAsia="方正仿宋_GBK" w:cs="方正仿宋_GBK"/>
          <w:color w:val="auto"/>
          <w:sz w:val="31"/>
          <w:szCs w:val="31"/>
          <w:lang w:eastAsia="zh-CN"/>
        </w:rPr>
        <w:t>差额预算单位未安排“三公”经费</w:t>
      </w:r>
      <w:r>
        <w:rPr>
          <w:rFonts w:ascii="仿宋_GB2312" w:eastAsia="仿宋_GB2312"/>
          <w:b w:val="0"/>
          <w:sz w:val="32"/>
          <w:szCs w:val="32"/>
        </w:rPr>
        <w:t>。其中：因公出国（境）费支出0.00万元,占0.00%，与上年相比无变化，主要原因是：</w:t>
      </w:r>
      <w:r>
        <w:rPr>
          <w:rFonts w:hint="eastAsia" w:ascii="仿宋_GB2312" w:eastAsia="仿宋_GB2312"/>
          <w:color w:val="auto"/>
          <w:sz w:val="32"/>
          <w:szCs w:val="32"/>
          <w:highlight w:val="none"/>
          <w:lang w:val="zh-CN" w:eastAsia="zh-CN"/>
        </w:rPr>
        <w:t>差额预算单位</w:t>
      </w:r>
      <w:r>
        <w:rPr>
          <w:rFonts w:hint="eastAsia" w:ascii="Times New Roman" w:hAnsi="Times New Roman" w:eastAsia="方正仿宋_GBK" w:cs="方正仿宋_GBK"/>
          <w:color w:val="auto"/>
          <w:sz w:val="31"/>
          <w:szCs w:val="31"/>
          <w:lang w:eastAsia="zh-CN"/>
        </w:rPr>
        <w:t>未安排因公出国（境）费用</w:t>
      </w:r>
      <w:r>
        <w:rPr>
          <w:rFonts w:ascii="仿宋_GB2312" w:eastAsia="仿宋_GB2312"/>
          <w:b w:val="0"/>
          <w:sz w:val="32"/>
          <w:szCs w:val="32"/>
        </w:rPr>
        <w:t>；公务用车购置及运行维护费支出0.00万元，占0.00%，与上年相比无变化，主要原因是：</w:t>
      </w:r>
      <w:r>
        <w:rPr>
          <w:rFonts w:hint="eastAsia" w:ascii="Times New Roman" w:hAnsi="Times New Roman" w:eastAsia="方正仿宋_GBK" w:cs="方正仿宋_GBK"/>
          <w:color w:val="auto"/>
          <w:sz w:val="31"/>
          <w:szCs w:val="31"/>
          <w:lang w:eastAsia="zh-CN"/>
        </w:rPr>
        <w:t>差额预算单位未安排</w:t>
      </w:r>
      <w:r>
        <w:rPr>
          <w:rFonts w:hint="eastAsia" w:ascii="Times New Roman" w:hAnsi="Times New Roman" w:eastAsia="方正仿宋_GBK" w:cs="方正仿宋_GBK"/>
          <w:color w:val="auto"/>
          <w:sz w:val="31"/>
          <w:szCs w:val="31"/>
        </w:rPr>
        <w:t>公务用车购置及运行维护费</w:t>
      </w:r>
      <w:r>
        <w:rPr>
          <w:rFonts w:ascii="仿宋_GB2312" w:eastAsia="仿宋_GB2312"/>
          <w:b w:val="0"/>
          <w:sz w:val="32"/>
          <w:szCs w:val="32"/>
        </w:rPr>
        <w:t>；公务接待费支出0.00万元，占0.00%，与上年相比无变化，主要原因是：</w:t>
      </w:r>
      <w:r>
        <w:rPr>
          <w:rFonts w:hint="eastAsia" w:ascii="Times New Roman" w:hAnsi="Times New Roman" w:eastAsia="方正仿宋_GBK" w:cs="方正仿宋_GBK"/>
          <w:color w:val="auto"/>
          <w:sz w:val="31"/>
          <w:szCs w:val="31"/>
          <w:lang w:eastAsia="zh-CN"/>
        </w:rPr>
        <w:t>差额预算单位未安排</w:t>
      </w:r>
      <w:r>
        <w:rPr>
          <w:rFonts w:hint="eastAsia" w:ascii="Times New Roman" w:hAnsi="Times New Roman" w:eastAsia="方正仿宋_GBK" w:cs="方正仿宋_GBK"/>
          <w:color w:val="auto"/>
          <w:sz w:val="31"/>
          <w:szCs w:val="31"/>
        </w:rPr>
        <w:t>公务接待费</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公务用车购置数0辆，公务用车保有量0辆。国有资产占用情况中固定资产车辆2辆，与公务用车保有量差异原因是：</w:t>
      </w:r>
      <w:r>
        <w:rPr>
          <w:rFonts w:hint="eastAsia" w:ascii="仿宋_GB2312" w:eastAsia="仿宋_GB2312"/>
          <w:b w:val="0"/>
          <w:sz w:val="32"/>
          <w:szCs w:val="32"/>
          <w:lang w:eastAsia="zh-CN"/>
        </w:rPr>
        <w:t>军粮供应站为差额预算单位，未安排公务用车</w:t>
      </w:r>
      <w:r>
        <w:rPr>
          <w:rFonts w:ascii="仿宋_GB2312" w:eastAsia="仿宋_GB2312"/>
          <w:b w:val="0"/>
          <w:sz w:val="32"/>
          <w:szCs w:val="32"/>
        </w:rPr>
        <w:t>购置及运行维护费</w:t>
      </w:r>
      <w:r>
        <w:rPr>
          <w:rFonts w:hint="eastAsia" w:ascii="仿宋_GB2312" w:eastAsia="仿宋_GB2312"/>
          <w:b w:val="0"/>
          <w:sz w:val="32"/>
          <w:szCs w:val="32"/>
          <w:lang w:eastAsia="zh-CN"/>
        </w:rPr>
        <w:t>，一辆车在走报废程序，另一辆车为厢式货车</w:t>
      </w:r>
      <w:bookmarkStart w:id="0" w:name="_GoBack"/>
      <w:bookmarkEnd w:id="0"/>
      <w:r>
        <w:rPr>
          <w:rFonts w:hint="eastAsia" w:ascii="仿宋_GB2312" w:eastAsia="仿宋_GB2312"/>
          <w:b w:val="0"/>
          <w:sz w:val="32"/>
          <w:szCs w:val="32"/>
          <w:lang w:eastAsia="zh-CN"/>
        </w:rPr>
        <w:t>为部队送货</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w:t>
      </w:r>
      <w:r>
        <w:rPr>
          <w:rFonts w:hint="eastAsia" w:ascii="仿宋_GB2312" w:eastAsia="仿宋_GB2312"/>
          <w:color w:val="auto"/>
          <w:sz w:val="32"/>
          <w:szCs w:val="32"/>
          <w:highlight w:val="none"/>
          <w:lang w:val="zh-CN" w:eastAsia="zh-CN"/>
        </w:rPr>
        <w:t>差额预算单位不安排“三公”经费</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color w:val="auto"/>
          <w:sz w:val="32"/>
          <w:szCs w:val="32"/>
          <w:highlight w:val="none"/>
          <w:lang w:val="zh-CN" w:eastAsia="zh-CN"/>
        </w:rPr>
        <w:t>差额预算单位不安排公出国（境）费</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color w:val="auto"/>
          <w:sz w:val="32"/>
          <w:szCs w:val="32"/>
          <w:highlight w:val="none"/>
          <w:lang w:val="zh-CN" w:eastAsia="zh-CN"/>
        </w:rPr>
        <w:t>差额预算单位不安排公务用车购置费</w:t>
      </w:r>
      <w:r>
        <w:rPr>
          <w:rFonts w:ascii="仿宋_GB2312" w:eastAsia="仿宋_GB2312"/>
          <w:b w:val="0"/>
          <w:sz w:val="32"/>
          <w:szCs w:val="32"/>
        </w:rPr>
        <w:t>。公务用车运行维护费全年预算数0.00万元，决算数0.00万元，预决算差异率0.00%，主要原因是：</w:t>
      </w:r>
      <w:r>
        <w:rPr>
          <w:rFonts w:hint="eastAsia" w:ascii="仿宋_GB2312" w:eastAsia="仿宋_GB2312"/>
          <w:color w:val="auto"/>
          <w:sz w:val="32"/>
          <w:szCs w:val="32"/>
          <w:highlight w:val="none"/>
          <w:lang w:val="zh-CN" w:eastAsia="zh-CN"/>
        </w:rPr>
        <w:t>差额预算单位不安排公务用车运行费</w:t>
      </w:r>
      <w:r>
        <w:rPr>
          <w:rFonts w:ascii="仿宋_GB2312" w:eastAsia="仿宋_GB2312"/>
          <w:b w:val="0"/>
          <w:sz w:val="32"/>
          <w:szCs w:val="32"/>
        </w:rPr>
        <w:t>。公务接待费全年预算数0.00万元，决算数0.00万元，预决算差异率0.00%，主要原因是：</w:t>
      </w:r>
      <w:r>
        <w:rPr>
          <w:rFonts w:hint="eastAsia" w:ascii="仿宋_GB2312" w:eastAsia="仿宋_GB2312"/>
          <w:color w:val="auto"/>
          <w:sz w:val="32"/>
          <w:szCs w:val="32"/>
          <w:highlight w:val="none"/>
          <w:lang w:val="zh-CN" w:eastAsia="zh-CN"/>
        </w:rPr>
        <w:t>差额预算单位不安排公务接待费</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2024年度政府采购支出总额132.83万元，其中：政府采购货物支出131.42万元、政府采购工程支出0.00万元、政府采购服务支出1.41万元。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授予中小企业合同金额46.49万元，占政府采购支出总额的35.00%，其中：授予小微企业合同金额46.49万元，占政府采购支出总额的35.00%。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15,838.45平方米，价值3,964.90万元。车辆2辆，价值24.21万元，其中：副部（省）级及以上领导用车0辆、主要负责人用车0辆、机要通信用车0辆、应急保障用车0辆、执法执勤用车0辆、特种专业技术用车0辆、离退休干部服务用车0辆、其他用车2辆，其他用车主要是：</w:t>
      </w:r>
      <w:r>
        <w:rPr>
          <w:rFonts w:hint="eastAsia" w:ascii="仿宋_GB2312" w:eastAsia="仿宋_GB2312"/>
          <w:b w:val="0"/>
          <w:sz w:val="32"/>
          <w:szCs w:val="32"/>
          <w:lang w:eastAsia="zh-CN"/>
        </w:rPr>
        <w:t>一辆货车在走报废程序，另一辆车为厢式货车为部队送货</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pStyle w:val="6"/>
        <w:snapToGrid w:val="0"/>
        <w:spacing w:line="600" w:lineRule="exact"/>
        <w:ind w:left="0" w:leftChars="0" w:firstLine="640" w:firstLineChars="200"/>
        <w:rPr>
          <w:rFonts w:ascii="仿宋_GB2312" w:eastAsia="仿宋_GB2312"/>
          <w:b w:val="0"/>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2157.89</w:t>
      </w:r>
      <w:r>
        <w:rPr>
          <w:rFonts w:ascii="仿宋_GB2312" w:eastAsia="仿宋_GB2312"/>
          <w:b w:val="0"/>
          <w:sz w:val="32"/>
          <w:szCs w:val="32"/>
        </w:rPr>
        <w:t>万元，实际执行总额</w:t>
      </w:r>
      <w:r>
        <w:rPr>
          <w:rFonts w:hint="eastAsia" w:ascii="仿宋_GB2312" w:eastAsia="仿宋_GB2312"/>
          <w:b w:val="0"/>
          <w:sz w:val="32"/>
          <w:szCs w:val="32"/>
          <w:lang w:val="en-US" w:eastAsia="zh-CN"/>
        </w:rPr>
        <w:t>1876.42</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0</w:t>
      </w:r>
      <w:r>
        <w:rPr>
          <w:rFonts w:ascii="仿宋_GB2312" w:eastAsia="仿宋_GB2312"/>
          <w:b w:val="0"/>
          <w:sz w:val="32"/>
          <w:szCs w:val="32"/>
        </w:rPr>
        <w:t>个，全年预算数万</w:t>
      </w:r>
      <w:r>
        <w:rPr>
          <w:rFonts w:hint="eastAsia" w:ascii="仿宋_GB2312" w:eastAsia="仿宋_GB2312"/>
          <w:b w:val="0"/>
          <w:sz w:val="32"/>
          <w:szCs w:val="32"/>
          <w:lang w:val="en-US" w:eastAsia="zh-CN"/>
        </w:rPr>
        <w:t>0</w:t>
      </w:r>
      <w:r>
        <w:rPr>
          <w:rFonts w:ascii="仿宋_GB2312" w:eastAsia="仿宋_GB2312"/>
          <w:b w:val="0"/>
          <w:sz w:val="32"/>
          <w:szCs w:val="32"/>
        </w:rPr>
        <w:t>元，全年执行数</w:t>
      </w:r>
      <w:r>
        <w:rPr>
          <w:rFonts w:hint="eastAsia" w:ascii="仿宋_GB2312" w:eastAsia="仿宋_GB2312"/>
          <w:b w:val="0"/>
          <w:sz w:val="32"/>
          <w:szCs w:val="32"/>
          <w:lang w:val="en-US" w:eastAsia="zh-CN"/>
        </w:rPr>
        <w:t>0</w:t>
      </w:r>
      <w:r>
        <w:rPr>
          <w:rFonts w:ascii="仿宋_GB2312" w:eastAsia="仿宋_GB2312"/>
          <w:b w:val="0"/>
          <w:sz w:val="32"/>
          <w:szCs w:val="32"/>
        </w:rPr>
        <w:t>万元。</w:t>
      </w:r>
    </w:p>
    <w:p>
      <w:pPr>
        <w:pStyle w:val="6"/>
        <w:snapToGrid w:val="0"/>
        <w:spacing w:line="600" w:lineRule="exact"/>
        <w:ind w:left="0" w:leftChars="0" w:firstLine="640" w:firstLineChars="200"/>
        <w:rPr>
          <w:rFonts w:hint="eastAsia" w:ascii="仿宋_GB2312" w:eastAsia="仿宋_GB2312"/>
          <w:color w:val="auto"/>
          <w:sz w:val="32"/>
          <w:szCs w:val="32"/>
          <w:highlight w:val="none"/>
          <w:lang w:eastAsia="zh-CN"/>
        </w:rPr>
      </w:pPr>
      <w:r>
        <w:rPr>
          <w:rFonts w:ascii="仿宋_GB2312" w:eastAsia="仿宋_GB2312"/>
          <w:b w:val="0"/>
          <w:sz w:val="32"/>
          <w:szCs w:val="32"/>
        </w:rPr>
        <w:t>预算绩效管理取得的成效：</w:t>
      </w:r>
      <w:r>
        <w:rPr>
          <w:rFonts w:hint="eastAsia" w:ascii="仿宋_GB2312" w:eastAsia="仿宋_GB2312"/>
          <w:color w:val="auto"/>
          <w:sz w:val="32"/>
          <w:szCs w:val="32"/>
          <w:highlight w:val="none"/>
          <w:lang w:eastAsia="zh-CN"/>
        </w:rPr>
        <w:t>一是强化绩效目标管理。每下达一笔财政资金，同时下达专项资金绩效目标，做到预算与绩效目标同步；二是积极做好各项预算绩效管理工作。对重点项目绩效评价工作，明确各单位工作职责，确保按时完成绩效评价。</w:t>
      </w:r>
    </w:p>
    <w:p>
      <w:pPr>
        <w:pStyle w:val="6"/>
        <w:snapToGrid w:val="0"/>
        <w:spacing w:line="600" w:lineRule="exact"/>
        <w:ind w:left="0" w:leftChars="0" w:firstLine="640" w:firstLineChars="200"/>
        <w:rPr>
          <w:rFonts w:hint="eastAsia" w:ascii="仿宋_GB2312" w:eastAsia="仿宋_GB2312"/>
          <w:color w:val="auto"/>
          <w:sz w:val="32"/>
          <w:szCs w:val="32"/>
          <w:highlight w:val="none"/>
          <w:lang w:eastAsia="zh-CN"/>
        </w:rPr>
      </w:pPr>
      <w:r>
        <w:rPr>
          <w:rFonts w:ascii="仿宋_GB2312" w:eastAsia="仿宋_GB2312"/>
          <w:b w:val="0"/>
          <w:sz w:val="32"/>
          <w:szCs w:val="32"/>
        </w:rPr>
        <w:t>发现的问题及原因：</w:t>
      </w:r>
      <w:r>
        <w:rPr>
          <w:rFonts w:hint="eastAsia" w:ascii="仿宋_GB2312" w:eastAsia="仿宋_GB2312"/>
          <w:color w:val="auto"/>
          <w:sz w:val="32"/>
          <w:szCs w:val="32"/>
          <w:highlight w:val="none"/>
          <w:lang w:eastAsia="zh-CN"/>
        </w:rPr>
        <w:t>预算绩效职责安排不清。预算部门内部预算绩效职责不清，工作安排不到位，部分部门是财务科室独自完成项目的绩效申报、自评。由于有些财务科室缺乏专业人员，缺少业务科室的协调配合，承担了本该由业务部门承担的绩效工作，简单地将绩效目标制定、跟踪监控等专业性工作归口与财务人员，没有专人承担绩效管理职责，导致业务管理与绩效管理脱节弱化了实施预算绩效管理的最基本环节。</w:t>
      </w:r>
    </w:p>
    <w:p>
      <w:pPr>
        <w:pStyle w:val="6"/>
        <w:snapToGrid w:val="0"/>
        <w:spacing w:line="600" w:lineRule="exact"/>
        <w:ind w:left="0" w:leftChars="0" w:firstLine="640" w:firstLineChars="200"/>
        <w:rPr>
          <w:rFonts w:hint="eastAsia" w:ascii="仿宋_GB2312" w:eastAsia="仿宋_GB2312"/>
          <w:color w:val="auto"/>
          <w:sz w:val="32"/>
          <w:szCs w:val="32"/>
          <w:highlight w:val="none"/>
          <w:lang w:eastAsia="zh-CN"/>
        </w:rPr>
      </w:pPr>
      <w:r>
        <w:rPr>
          <w:rFonts w:ascii="仿宋_GB2312" w:eastAsia="仿宋_GB2312"/>
          <w:b w:val="0"/>
          <w:sz w:val="32"/>
          <w:szCs w:val="32"/>
        </w:rPr>
        <w:t>下一步改进措施：</w:t>
      </w:r>
      <w:r>
        <w:rPr>
          <w:rFonts w:hint="eastAsia" w:ascii="仿宋_GB2312" w:eastAsia="仿宋_GB2312"/>
          <w:color w:val="auto"/>
          <w:sz w:val="32"/>
          <w:szCs w:val="32"/>
          <w:highlight w:val="none"/>
          <w:lang w:eastAsia="zh-CN"/>
        </w:rPr>
        <w:t>明确责任。预算单位及相关内部科室应明确职责。按照谁支出、谁负责，谁审批、谁负责的原则，明确资金使用单位是本单位绩效管理的第一负责人。</w:t>
      </w:r>
    </w:p>
    <w:p>
      <w:pPr>
        <w:pStyle w:val="6"/>
        <w:snapToGrid w:val="0"/>
        <w:spacing w:line="600" w:lineRule="exact"/>
        <w:ind w:firstLine="624"/>
        <w:rPr>
          <w:rStyle w:val="5"/>
          <w:rFonts w:hint="eastAsia" w:ascii="仿宋" w:hAnsi="仿宋" w:eastAsia="仿宋" w:cs="仿宋"/>
          <w:b w:val="0"/>
          <w:bCs w:val="0"/>
          <w:color w:val="auto"/>
          <w:spacing w:val="-4"/>
          <w:sz w:val="32"/>
          <w:szCs w:val="32"/>
          <w:highlight w:val="none"/>
          <w:lang w:eastAsia="zh-CN"/>
        </w:rPr>
      </w:pPr>
      <w:r>
        <w:rPr>
          <w:rStyle w:val="5"/>
          <w:rFonts w:hint="eastAsia" w:ascii="仿宋" w:hAnsi="仿宋" w:eastAsia="仿宋" w:cs="仿宋"/>
          <w:b w:val="0"/>
          <w:bCs w:val="0"/>
          <w:color w:val="auto"/>
          <w:spacing w:val="-4"/>
          <w:sz w:val="32"/>
          <w:szCs w:val="32"/>
          <w:highlight w:val="none"/>
        </w:rPr>
        <w:t>项目目标是整体执行的标准值，标准值的明确与否，很大程度上影响项目整体的实现情况。</w:t>
      </w:r>
      <w:r>
        <w:rPr>
          <w:rStyle w:val="5"/>
          <w:rFonts w:hint="eastAsia" w:ascii="仿宋" w:hAnsi="仿宋" w:eastAsia="仿宋" w:cs="仿宋"/>
          <w:b w:val="0"/>
          <w:bCs w:val="0"/>
          <w:color w:val="auto"/>
          <w:spacing w:val="-4"/>
          <w:sz w:val="32"/>
          <w:szCs w:val="32"/>
          <w:highlight w:val="none"/>
          <w:lang w:eastAsia="zh-CN"/>
        </w:rPr>
        <w:t>具体项目自评情况附绩效自评表及自评报告。</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hint="eastAsia" w:eastAsia="仿宋_GB2312"/>
          <w:lang w:eastAsia="zh-CN"/>
        </w:rPr>
      </w:pPr>
    </w:p>
    <w:p>
      <w:pPr>
        <w:rPr>
          <w:rFonts w:hint="eastAsia" w:eastAsia="仿宋_GB2312"/>
          <w:lang w:eastAsia="zh-CN"/>
        </w:rPr>
      </w:pPr>
    </w:p>
    <w:p>
      <w:pPr>
        <w:rPr>
          <w:rFonts w:hint="eastAsia" w:eastAsia="仿宋_GB2312"/>
          <w:lang w:eastAsia="zh-CN"/>
        </w:rPr>
      </w:pPr>
    </w:p>
    <w:p>
      <w:pPr>
        <w:rPr>
          <w:rFonts w:hint="eastAsia" w:eastAsia="仿宋_GB2312"/>
          <w:lang w:eastAsia="zh-CN"/>
        </w:rPr>
      </w:pPr>
      <w:r>
        <w:rPr>
          <w:rFonts w:hint="eastAsia" w:eastAsia="仿宋_GB2312"/>
          <w:lang w:eastAsia="zh-CN"/>
        </w:rPr>
        <w:drawing>
          <wp:inline distT="0" distB="0" distL="114300" distR="114300">
            <wp:extent cx="5628640" cy="5356860"/>
            <wp:effectExtent l="0" t="0" r="10160" b="15240"/>
            <wp:docPr id="1" name="图片 1" descr="收入支出决算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收入支出决算总表"/>
                    <pic:cNvPicPr>
                      <a:picLocks noChangeAspect="1"/>
                    </pic:cNvPicPr>
                  </pic:nvPicPr>
                  <pic:blipFill>
                    <a:blip r:embed="rId4"/>
                    <a:stretch>
                      <a:fillRect/>
                    </a:stretch>
                  </pic:blipFill>
                  <pic:spPr>
                    <a:xfrm>
                      <a:off x="0" y="0"/>
                      <a:ext cx="5628640" cy="5356860"/>
                    </a:xfrm>
                    <a:prstGeom prst="rect">
                      <a:avLst/>
                    </a:prstGeom>
                  </pic:spPr>
                </pic:pic>
              </a:graphicData>
            </a:graphic>
          </wp:inline>
        </w:drawing>
      </w:r>
    </w:p>
    <w:p>
      <w:pPr>
        <w:pStyle w:val="2"/>
        <w:rPr>
          <w:rFonts w:hint="eastAsia" w:eastAsia="仿宋_GB2312"/>
          <w:lang w:eastAsia="zh-CN"/>
        </w:rPr>
      </w:pPr>
    </w:p>
    <w:p>
      <w:pPr>
        <w:rPr>
          <w:rFonts w:hint="eastAsia" w:eastAsia="仿宋_GB2312"/>
          <w:lang w:eastAsia="zh-CN"/>
        </w:rPr>
      </w:pPr>
    </w:p>
    <w:p>
      <w:pPr>
        <w:pStyle w:val="2"/>
        <w:rPr>
          <w:rFonts w:hint="eastAsia" w:eastAsia="仿宋_GB2312"/>
          <w:lang w:eastAsia="zh-CN"/>
        </w:rPr>
      </w:pPr>
    </w:p>
    <w:p>
      <w:pPr>
        <w:rPr>
          <w:rFonts w:hint="eastAsia" w:eastAsia="仿宋_GB2312"/>
          <w:lang w:eastAsia="zh-CN"/>
        </w:rPr>
      </w:pPr>
    </w:p>
    <w:p>
      <w:pPr>
        <w:pStyle w:val="2"/>
        <w:rPr>
          <w:rFonts w:hint="eastAsia" w:eastAsia="仿宋_GB2312"/>
          <w:lang w:eastAsia="zh-CN"/>
        </w:rPr>
      </w:pPr>
    </w:p>
    <w:p>
      <w:pPr>
        <w:rPr>
          <w:rFonts w:hint="eastAsia" w:eastAsia="仿宋_GB2312"/>
          <w:lang w:eastAsia="zh-CN"/>
        </w:rPr>
      </w:pPr>
    </w:p>
    <w:p>
      <w:pPr>
        <w:pStyle w:val="2"/>
        <w:rPr>
          <w:rFonts w:hint="eastAsia" w:eastAsia="仿宋_GB2312"/>
          <w:lang w:eastAsia="zh-CN"/>
        </w:rPr>
      </w:pPr>
    </w:p>
    <w:p>
      <w:pPr>
        <w:rPr>
          <w:rFonts w:hint="eastAsia" w:eastAsia="仿宋_GB2312"/>
          <w:lang w:eastAsia="zh-CN"/>
        </w:rPr>
      </w:pPr>
    </w:p>
    <w:p>
      <w:pPr>
        <w:pStyle w:val="2"/>
        <w:spacing w:line="240" w:lineRule="auto"/>
        <w:rPr>
          <w:rFonts w:hint="eastAsia"/>
          <w:lang w:eastAsia="zh-CN"/>
        </w:rPr>
      </w:pPr>
      <w:r>
        <w:rPr>
          <w:rFonts w:hint="eastAsia"/>
          <w:lang w:eastAsia="zh-CN"/>
        </w:rPr>
        <w:drawing>
          <wp:inline distT="0" distB="0" distL="114300" distR="114300">
            <wp:extent cx="5699125" cy="4712970"/>
            <wp:effectExtent l="0" t="0" r="15875" b="11430"/>
            <wp:docPr id="2" name="图片 2" descr="收入决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收入决算表"/>
                    <pic:cNvPicPr>
                      <a:picLocks noChangeAspect="1"/>
                    </pic:cNvPicPr>
                  </pic:nvPicPr>
                  <pic:blipFill>
                    <a:blip r:embed="rId5"/>
                    <a:stretch>
                      <a:fillRect/>
                    </a:stretch>
                  </pic:blipFill>
                  <pic:spPr>
                    <a:xfrm>
                      <a:off x="0" y="0"/>
                      <a:ext cx="5699125" cy="4712970"/>
                    </a:xfrm>
                    <a:prstGeom prst="rect">
                      <a:avLst/>
                    </a:prstGeom>
                  </pic:spPr>
                </pic:pic>
              </a:graphicData>
            </a:graphic>
          </wp:inline>
        </w:drawing>
      </w: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spacing w:line="240" w:lineRule="auto"/>
        <w:rPr>
          <w:rFonts w:hint="eastAsia"/>
          <w:lang w:eastAsia="zh-CN"/>
        </w:rPr>
      </w:pPr>
      <w:r>
        <w:rPr>
          <w:rFonts w:hint="eastAsia"/>
          <w:lang w:eastAsia="zh-CN"/>
        </w:rPr>
        <w:drawing>
          <wp:inline distT="0" distB="0" distL="114300" distR="114300">
            <wp:extent cx="5648960" cy="4194175"/>
            <wp:effectExtent l="0" t="0" r="8890" b="15875"/>
            <wp:docPr id="3" name="图片 3" descr="支出决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支出决算表"/>
                    <pic:cNvPicPr>
                      <a:picLocks noChangeAspect="1"/>
                    </pic:cNvPicPr>
                  </pic:nvPicPr>
                  <pic:blipFill>
                    <a:blip r:embed="rId6"/>
                    <a:stretch>
                      <a:fillRect/>
                    </a:stretch>
                  </pic:blipFill>
                  <pic:spPr>
                    <a:xfrm>
                      <a:off x="0" y="0"/>
                      <a:ext cx="5648960" cy="4194175"/>
                    </a:xfrm>
                    <a:prstGeom prst="rect">
                      <a:avLst/>
                    </a:prstGeom>
                  </pic:spPr>
                </pic:pic>
              </a:graphicData>
            </a:graphic>
          </wp:inline>
        </w:drawing>
      </w: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r>
        <w:rPr>
          <w:rFonts w:hint="eastAsia"/>
          <w:lang w:eastAsia="zh-CN"/>
        </w:rPr>
        <w:drawing>
          <wp:inline distT="0" distB="0" distL="114300" distR="114300">
            <wp:extent cx="5729605" cy="4965700"/>
            <wp:effectExtent l="0" t="0" r="4445" b="6350"/>
            <wp:docPr id="5" name="图片 5" descr="财政拨款收入支出决算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财政拨款收入支出决算总表"/>
                    <pic:cNvPicPr>
                      <a:picLocks noChangeAspect="1"/>
                    </pic:cNvPicPr>
                  </pic:nvPicPr>
                  <pic:blipFill>
                    <a:blip r:embed="rId7"/>
                    <a:stretch>
                      <a:fillRect/>
                    </a:stretch>
                  </pic:blipFill>
                  <pic:spPr>
                    <a:xfrm>
                      <a:off x="0" y="0"/>
                      <a:ext cx="5729605" cy="4965700"/>
                    </a:xfrm>
                    <a:prstGeom prst="rect">
                      <a:avLst/>
                    </a:prstGeom>
                  </pic:spPr>
                </pic:pic>
              </a:graphicData>
            </a:graphic>
          </wp:inline>
        </w:drawing>
      </w: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spacing w:line="240" w:lineRule="auto"/>
        <w:rPr>
          <w:rFonts w:hint="eastAsia"/>
          <w:lang w:eastAsia="zh-CN"/>
        </w:rPr>
      </w:pPr>
      <w:r>
        <w:rPr>
          <w:rFonts w:hint="eastAsia"/>
          <w:lang w:eastAsia="zh-CN"/>
        </w:rPr>
        <w:drawing>
          <wp:inline distT="0" distB="0" distL="114300" distR="114300">
            <wp:extent cx="5638800" cy="6219825"/>
            <wp:effectExtent l="0" t="0" r="0" b="9525"/>
            <wp:docPr id="6" name="图片 6" descr="一般公共预算财政拨款支出决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一般公共预算财政拨款支出决算表"/>
                    <pic:cNvPicPr>
                      <a:picLocks noChangeAspect="1"/>
                    </pic:cNvPicPr>
                  </pic:nvPicPr>
                  <pic:blipFill>
                    <a:blip r:embed="rId8"/>
                    <a:stretch>
                      <a:fillRect/>
                    </a:stretch>
                  </pic:blipFill>
                  <pic:spPr>
                    <a:xfrm>
                      <a:off x="0" y="0"/>
                      <a:ext cx="5638800" cy="6219825"/>
                    </a:xfrm>
                    <a:prstGeom prst="rect">
                      <a:avLst/>
                    </a:prstGeom>
                  </pic:spPr>
                </pic:pic>
              </a:graphicData>
            </a:graphic>
          </wp:inline>
        </w:drawing>
      </w: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spacing w:line="240" w:lineRule="auto"/>
        <w:rPr>
          <w:rFonts w:hint="eastAsia"/>
          <w:lang w:eastAsia="zh-CN"/>
        </w:rPr>
      </w:pPr>
      <w:r>
        <w:rPr>
          <w:rFonts w:hint="eastAsia"/>
          <w:lang w:eastAsia="zh-CN"/>
        </w:rPr>
        <w:drawing>
          <wp:inline distT="0" distB="0" distL="114300" distR="114300">
            <wp:extent cx="5897880" cy="6033770"/>
            <wp:effectExtent l="0" t="0" r="7620" b="5080"/>
            <wp:docPr id="8" name="图片 8" descr="一般公共预算财政拨款基本支出决算表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一般公共预算财政拨款基本支出决算表1"/>
                    <pic:cNvPicPr>
                      <a:picLocks noChangeAspect="1"/>
                    </pic:cNvPicPr>
                  </pic:nvPicPr>
                  <pic:blipFill>
                    <a:blip r:embed="rId9"/>
                    <a:stretch>
                      <a:fillRect/>
                    </a:stretch>
                  </pic:blipFill>
                  <pic:spPr>
                    <a:xfrm>
                      <a:off x="0" y="0"/>
                      <a:ext cx="5897880" cy="6033770"/>
                    </a:xfrm>
                    <a:prstGeom prst="rect">
                      <a:avLst/>
                    </a:prstGeom>
                  </pic:spPr>
                </pic:pic>
              </a:graphicData>
            </a:graphic>
          </wp:inline>
        </w:drawing>
      </w: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spacing w:line="240" w:lineRule="auto"/>
        <w:rPr>
          <w:rFonts w:hint="eastAsia"/>
          <w:lang w:eastAsia="zh-CN"/>
        </w:rPr>
      </w:pPr>
      <w:r>
        <w:rPr>
          <w:rFonts w:hint="eastAsia"/>
          <w:lang w:eastAsia="zh-CN"/>
        </w:rPr>
        <w:drawing>
          <wp:inline distT="0" distB="0" distL="114300" distR="114300">
            <wp:extent cx="6008370" cy="2397125"/>
            <wp:effectExtent l="0" t="0" r="11430" b="3175"/>
            <wp:docPr id="10" name="图片 10" descr="政府性基金预算财政拨款收入支出决算表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政府性基金预算财政拨款收入支出决算表1"/>
                    <pic:cNvPicPr>
                      <a:picLocks noChangeAspect="1"/>
                    </pic:cNvPicPr>
                  </pic:nvPicPr>
                  <pic:blipFill>
                    <a:blip r:embed="rId10"/>
                    <a:stretch>
                      <a:fillRect/>
                    </a:stretch>
                  </pic:blipFill>
                  <pic:spPr>
                    <a:xfrm>
                      <a:off x="0" y="0"/>
                      <a:ext cx="6008370" cy="2397125"/>
                    </a:xfrm>
                    <a:prstGeom prst="rect">
                      <a:avLst/>
                    </a:prstGeom>
                  </pic:spPr>
                </pic:pic>
              </a:graphicData>
            </a:graphic>
          </wp:inline>
        </w:drawing>
      </w: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r>
        <w:rPr>
          <w:rFonts w:hint="eastAsia"/>
          <w:lang w:eastAsia="zh-CN"/>
        </w:rPr>
        <w:drawing>
          <wp:inline distT="0" distB="0" distL="114300" distR="114300">
            <wp:extent cx="5908040" cy="2508885"/>
            <wp:effectExtent l="0" t="0" r="16510" b="5715"/>
            <wp:docPr id="9" name="图片 9" descr="国有资本经营预算财政拨款收入支出决算表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国有资本经营预算财政拨款收入支出决算表1"/>
                    <pic:cNvPicPr>
                      <a:picLocks noChangeAspect="1"/>
                    </pic:cNvPicPr>
                  </pic:nvPicPr>
                  <pic:blipFill>
                    <a:blip r:embed="rId11"/>
                    <a:stretch>
                      <a:fillRect/>
                    </a:stretch>
                  </pic:blipFill>
                  <pic:spPr>
                    <a:xfrm>
                      <a:off x="0" y="0"/>
                      <a:ext cx="5908040" cy="2508885"/>
                    </a:xfrm>
                    <a:prstGeom prst="rect">
                      <a:avLst/>
                    </a:prstGeom>
                  </pic:spPr>
                </pic:pic>
              </a:graphicData>
            </a:graphic>
          </wp:inline>
        </w:drawing>
      </w: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r>
        <w:rPr>
          <w:rFonts w:hint="eastAsia"/>
          <w:lang w:eastAsia="zh-CN"/>
        </w:rPr>
        <w:drawing>
          <wp:inline distT="0" distB="0" distL="114300" distR="114300">
            <wp:extent cx="6047105" cy="2270125"/>
            <wp:effectExtent l="0" t="0" r="10795" b="15875"/>
            <wp:docPr id="4" name="图片 4" descr="财政拨款“三公”经费支出决算表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财政拨款“三公”经费支出决算表1"/>
                    <pic:cNvPicPr>
                      <a:picLocks noChangeAspect="1"/>
                    </pic:cNvPicPr>
                  </pic:nvPicPr>
                  <pic:blipFill>
                    <a:blip r:embed="rId12"/>
                    <a:stretch>
                      <a:fillRect/>
                    </a:stretch>
                  </pic:blipFill>
                  <pic:spPr>
                    <a:xfrm>
                      <a:off x="0" y="0"/>
                      <a:ext cx="6047105" cy="2270125"/>
                    </a:xfrm>
                    <a:prstGeom prst="rect">
                      <a:avLst/>
                    </a:prstGeom>
                  </pic:spPr>
                </pic:pic>
              </a:graphicData>
            </a:graphic>
          </wp:inline>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seFELayout/>
    <w:splitPgBreakAndParaMark/>
    <w:compatSetting w:name="compatibilityMode" w:uri="http://schemas.microsoft.com/office/word" w:val="12"/>
  </w:compat>
  <w:rsids>
    <w:rsidRoot w:val="00000000"/>
    <w:rsid w:val="1D09733D"/>
    <w:rsid w:val="1F985C60"/>
    <w:rsid w:val="3D9B3891"/>
    <w:rsid w:val="3EB359D9"/>
    <w:rsid w:val="3ED254D2"/>
    <w:rsid w:val="43C00415"/>
    <w:rsid w:val="45D24D1B"/>
    <w:rsid w:val="5DB24043"/>
    <w:rsid w:val="6F4842EF"/>
    <w:rsid w:val="757F4718"/>
    <w:rsid w:val="7B3604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3"/>
    <w:basedOn w:val="1"/>
    <w:next w:val="1"/>
    <w:qFormat/>
    <w:uiPriority w:val="0"/>
    <w:pPr>
      <w:keepNext/>
      <w:keepLines/>
      <w:spacing w:line="560" w:lineRule="exact"/>
      <w:outlineLvl w:val="2"/>
    </w:pPr>
    <w:rPr>
      <w:b/>
      <w:bCs/>
      <w:sz w:val="3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Strong"/>
    <w:basedOn w:val="4"/>
    <w:qFormat/>
    <w:uiPriority w:val="0"/>
    <w:rPr>
      <w:b/>
    </w:rPr>
  </w:style>
  <w:style w:type="paragraph" w:styleId="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2025-08-13T05:25:00Z</dcterms:created>
  <dc:creator>Administrator</dc:creator>
  <cp:lastModifiedBy>lenovo</cp:lastModifiedBy>
  <dcterms:modified xsi:type="dcterms:W3CDTF">2025-09-02T03:54:58Z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91CF7963FA0141B3832990925BDBB314</vt:lpwstr>
  </property>
</Properties>
</file>