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bookmarkStart w:id="4" w:name="_GoBack"/>
      <w:bookmarkEnd w:id="4"/>
    </w:p>
    <w:p>
      <w:pPr>
        <w:spacing w:line="240" w:lineRule="auto"/>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部门专项-社区党建工作经费项目支出绩效评价报告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pStyle w:val="10"/>
        <w:rPr>
          <w:rFonts w:hint="default" w:ascii="Times New Roman" w:hAnsi="Times New Roman" w:cs="Times New Roman"/>
          <w:color w:val="auto"/>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项目名称：部门专项-社区党建工作经费</w:t>
      </w:r>
    </w:p>
    <w:p>
      <w:pPr>
        <w:keepNext w:val="0"/>
        <w:keepLines w:val="0"/>
        <w:pageBreakBefore w:val="0"/>
        <w:widowControl w:val="0"/>
        <w:kinsoku/>
        <w:wordWrap/>
        <w:overflowPunct/>
        <w:topLinePunct w:val="0"/>
        <w:autoSpaceDE/>
        <w:autoSpaceDN/>
        <w:bidi w:val="0"/>
        <w:adjustRightInd/>
        <w:snapToGrid w:val="0"/>
        <w:spacing w:line="700" w:lineRule="exact"/>
        <w:ind w:left="1436" w:leftChars="684" w:firstLine="0" w:firstLineChars="0"/>
        <w:jc w:val="left"/>
        <w:textAlignment w:val="auto"/>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实施单位（公章）：</w:t>
      </w:r>
      <w:r>
        <w:rPr>
          <w:rFonts w:hint="eastAsia" w:eastAsia="仿宋_GB2312" w:cs="Times New Roman"/>
          <w:color w:val="auto"/>
          <w:kern w:val="0"/>
          <w:sz w:val="36"/>
          <w:szCs w:val="36"/>
          <w:highlight w:val="none"/>
          <w:lang w:val="en-US" w:eastAsia="zh-CN"/>
        </w:rPr>
        <w:t>库尔勒市思源街道办事处</w:t>
      </w:r>
      <w:r>
        <w:rPr>
          <w:rFonts w:hint="default" w:ascii="Times New Roman" w:hAnsi="Times New Roman" w:eastAsia="仿宋_GB2312" w:cs="Times New Roman"/>
          <w:color w:val="auto"/>
          <w:kern w:val="0"/>
          <w:sz w:val="36"/>
          <w:szCs w:val="36"/>
          <w:highlight w:val="none"/>
        </w:rPr>
        <w:t>主管部门（公章）：</w:t>
      </w:r>
      <w:r>
        <w:rPr>
          <w:rFonts w:hint="eastAsia" w:eastAsia="仿宋_GB2312" w:cs="Times New Roman"/>
          <w:color w:val="auto"/>
          <w:kern w:val="0"/>
          <w:sz w:val="36"/>
          <w:szCs w:val="36"/>
          <w:highlight w:val="none"/>
          <w:lang w:val="en-US" w:eastAsia="zh-CN"/>
        </w:rPr>
        <w:t>库尔勒市思源街道办事处</w:t>
      </w:r>
    </w:p>
    <w:p>
      <w:pPr>
        <w:spacing w:line="700" w:lineRule="exact"/>
        <w:ind w:firstLine="1440" w:firstLineChars="400"/>
        <w:jc w:val="left"/>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秦广奇</w:t>
      </w: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25</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 政策要求与战略部署：党中央高度重视基层党建工作，提出加强基层服务型党组织建设、推进党建引领基层治理等一系列政策要求。为深入贯彻落实党的二十大精神，推动全面从严治党向基层延伸，需通过专项经费保障社区党建工作有序开展，确保党的方针政策在基层落地生根。</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 基层党建现状需求：随着社会发展，社区治理面临新挑战，居民利益诉求日益多元化，社区党员数量增多且结构复杂，传统党建工作模式难以满足新形势需求。社区党组织在开展党员教育管理、组织活动、服务群众等工作时，面临资金短缺问题，制约党建工作创新与质量提升，因此亟需专项经费支持。</w:t>
      </w:r>
    </w:p>
    <w:p>
      <w:pPr>
        <w:shd w:val="clear"/>
        <w:spacing w:line="600" w:lineRule="exact"/>
        <w:ind w:firstLine="640" w:firstLineChars="200"/>
        <w:outlineLvl w:val="0"/>
        <w:rPr>
          <w:rStyle w:val="16"/>
          <w:rFonts w:hint="default" w:ascii="Times New Roman" w:hAnsi="Times New Roman" w:eastAsia="黑体" w:cs="Times New Roman"/>
          <w:b w:val="0"/>
          <w:bCs/>
          <w:color w:val="auto"/>
          <w:spacing w:val="-4"/>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3. 党建引领基层治理的需要：社区作为基层治理的基本单元，以党建为引领整合资源、凝聚力量至关重要。设立专项经费，能有效支持社区党组织发挥核心作用，搭建党群沟通桥梁，调动党员和群众参与社区治理的积极性，解决社区治理难题，提升社区治理效能和服务水平。为了服务好小区居民代生活氛围，丰富居民文化，提升小区居民生活环境，部门专项-社区党建工作经费。</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hd w:val="clear"/>
        <w:spacing w:line="600" w:lineRule="exact"/>
        <w:ind w:firstLine="600" w:firstLineChars="200"/>
        <w:outlineLvl w:val="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0"/>
          <w:szCs w:val="30"/>
          <w:highlight w:val="none"/>
          <w:lang w:val="en-US" w:eastAsia="zh-CN"/>
        </w:rPr>
        <w:t>项目主要内容：</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 党员教育管理</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开展教育培训：组织社区党员参加集中学习、专题讲座、线上课程等，内容涵盖党的理论知识、方针政策、时事政治等，提升党员政治素养和理论水平。例如，定期邀请党校专家开展党的二十大精神解读讲座。</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党员学习资料购置：购买党建书籍、党刊杂志、学习光盘等资料，为党员自主学习提供便利，丰富学习资源。</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党员活动组织：开展主题党日、红色教育基地参观、党员志愿服务等活动，增强党员的党性修养和宗旨意识。比如，组织党员前往革命纪念馆参观学习，传承红色基因。</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 党组织建设</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党组织活动阵地建设：对社区党员活动室、党群服务中心等进行升级改造，完善设施设备，打造功能齐全、环境良好的党建活动场所，为党组织开展活动和服务群众提供硬件保障。</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党建工作制度完善：制定和完善党组织工作制度、党员管理制度、民主评议党员制度等，规范党组织运行，提高党建工作科学化、规范化水平。</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党务工作者能力提升：组织党务工作者参加业务培训、经验交流活动，提升其业务能力和工作水平，建设高素质党务工作队伍。</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 服务群众工作</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困难党员群众帮扶：对社区困难党员、老党员、困难群众进行走访慰问，发放慰问金和物资，帮助解决生活中的实际困难，传递党组织的关怀和温暖。</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便民服务项目开展：开展社区义诊、法律咨询、家政服务等便民活动，满足居民多样化需求，增强居民的获得感和幸福感。</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社区文化活动组织：举办文艺演出、书画展览、体育比赛等文化活动，丰富居民精神文化生活，营造和谐社区氛围，同时通过活动宣传党的政策，凝聚党群力量。</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 党建创新与宣传</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党建品牌创建：结合社区实际，探索创新党建工作模式和载体，打造具有特色的社区党建品牌项目，提升社区党建工作影响力和知名度。</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党建宣传推广：利用社区宣传栏、微信公众号、短视频平台等渠道，宣传社区党建工作成果、先进党员事迹等，扩大党建工作覆盖面和知晓度，营造良好的党建舆论氛围。</w:t>
      </w:r>
    </w:p>
    <w:p>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w:t>
      </w:r>
      <w:r>
        <w:rPr>
          <w:rFonts w:hint="default" w:ascii="Times New Roman" w:hAnsi="Times New Roman" w:eastAsia="仿宋_GB2312" w:cs="Times New Roman"/>
          <w:color w:val="auto"/>
          <w:sz w:val="32"/>
          <w:szCs w:val="32"/>
          <w:highlight w:val="none"/>
          <w:lang w:val="en-US" w:eastAsia="zh-CN"/>
        </w:rPr>
        <w:t>实现社区党委数全覆盖，确保</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社区正常运转；抓好街道各社区基层党组织阵地建设，确保基层党组织各项事业稳定有序开展，保障各项事业规范运行；提升社区干部为民服务能力、提高服务水平，顺利服务居民，提高幸福指数。</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ascii="Times New Roman" w:hAnsi="Times New Roman"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%，主要用于：保障社区</w:t>
      </w:r>
      <w:r>
        <w:rPr>
          <w:rFonts w:hint="eastAsia" w:eastAsia="仿宋_GB2312" w:cs="Times New Roman"/>
          <w:color w:val="auto"/>
          <w:sz w:val="32"/>
          <w:szCs w:val="32"/>
          <w:highlight w:val="none"/>
          <w:lang w:val="en-US" w:eastAsia="zh-CN"/>
        </w:rPr>
        <w:t>正常运转</w:t>
      </w:r>
      <w:r>
        <w:rPr>
          <w:rFonts w:hint="default" w:ascii="Times New Roman" w:hAnsi="Times New Roman" w:eastAsia="仿宋_GB2312" w:cs="Times New Roman"/>
          <w:color w:val="auto"/>
          <w:sz w:val="32"/>
          <w:szCs w:val="32"/>
          <w:highlight w:val="none"/>
          <w:lang w:val="en-US" w:eastAsia="zh-CN"/>
        </w:rPr>
        <w:t>数量</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个，</w:t>
      </w:r>
      <w:r>
        <w:rPr>
          <w:rFonts w:hint="eastAsia" w:eastAsia="仿宋_GB2312" w:cs="Times New Roman"/>
          <w:color w:val="auto"/>
          <w:sz w:val="32"/>
          <w:szCs w:val="32"/>
          <w:highlight w:val="none"/>
          <w:lang w:val="en-US" w:eastAsia="zh-CN"/>
        </w:rPr>
        <w:t>2个大</w:t>
      </w:r>
      <w:r>
        <w:rPr>
          <w:rFonts w:hint="eastAsia" w:eastAsia="仿宋_GB2312" w:cs="Times New Roman"/>
          <w:color w:val="auto"/>
          <w:sz w:val="32"/>
          <w:szCs w:val="32"/>
          <w:highlight w:val="none"/>
          <w:lang w:eastAsia="zh-CN"/>
        </w:rPr>
        <w:t>社区每年</w:t>
      </w:r>
      <w:r>
        <w:rPr>
          <w:rFonts w:hint="eastAsia" w:eastAsia="仿宋_GB2312" w:cs="Times New Roman"/>
          <w:color w:val="auto"/>
          <w:sz w:val="32"/>
          <w:szCs w:val="32"/>
          <w:highlight w:val="none"/>
          <w:lang w:val="en-US" w:eastAsia="zh-CN"/>
        </w:rPr>
        <w:t>20万元，1个中社区每年15万元，共计55万元</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目标1：实现社区党委数全覆盖，确保</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社区正常运转；目标2：抓好街道各社区基层党组织阵地建设，确保基层党组织各项事业稳定有序开展，保障各项事业规范运行；目标3：提升社区干部为民服务能力、提高服务水平，顺利服务居民，提高幸福指数。</w:t>
      </w:r>
    </w:p>
    <w:p>
      <w:pPr>
        <w:numPr>
          <w:ilvl w:val="0"/>
          <w:numId w:val="0"/>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阶段性目标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前期准备：</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w:t>
      </w:r>
      <w:r>
        <w:rPr>
          <w:rFonts w:hint="eastAsia" w:eastAsia="仿宋_GB2312" w:cs="Times New Roman"/>
          <w:color w:val="auto"/>
          <w:sz w:val="32"/>
          <w:szCs w:val="32"/>
          <w:highlight w:val="none"/>
          <w:lang w:val="en-US" w:eastAsia="zh-CN"/>
        </w:rPr>
        <w:t>1月-3</w:t>
      </w:r>
      <w:r>
        <w:rPr>
          <w:rFonts w:hint="eastAsia" w:ascii="Times New Roman" w:hAnsi="Times New Roman" w:eastAsia="仿宋_GB2312" w:cs="Times New Roman"/>
          <w:color w:val="auto"/>
          <w:sz w:val="32"/>
          <w:szCs w:val="32"/>
          <w:highlight w:val="none"/>
          <w:lang w:val="en-US" w:eastAsia="zh-CN"/>
        </w:rPr>
        <w:t>月，</w:t>
      </w:r>
      <w:r>
        <w:rPr>
          <w:rFonts w:hint="eastAsia" w:ascii="Times New Roman" w:hAnsi="Times New Roman" w:eastAsia="仿宋_GB2312" w:cs="Times New Roman"/>
          <w:color w:val="auto"/>
          <w:sz w:val="32"/>
          <w:szCs w:val="32"/>
          <w:highlight w:val="none"/>
          <w:lang w:val="zh-CN" w:eastAsia="zh-CN"/>
        </w:rPr>
        <w:t>开始前期准备工作，评价组通过前期调研</w:t>
      </w:r>
      <w:r>
        <w:rPr>
          <w:rFonts w:hint="eastAsia" w:ascii="Times New Roman" w:hAnsi="Times New Roman" w:eastAsia="仿宋_GB2312" w:cs="Times New Roman"/>
          <w:color w:val="auto"/>
          <w:sz w:val="32"/>
          <w:szCs w:val="32"/>
          <w:highlight w:val="none"/>
          <w:lang w:val="en-US" w:eastAsia="zh-CN"/>
        </w:rPr>
        <w:t>确定绩效评价对象和范围，</w:t>
      </w:r>
      <w:r>
        <w:rPr>
          <w:rFonts w:hint="eastAsia" w:ascii="Times New Roman" w:hAnsi="Times New Roman" w:eastAsia="仿宋_GB2312" w:cs="Times New Roman"/>
          <w:color w:val="auto"/>
          <w:sz w:val="32"/>
          <w:szCs w:val="32"/>
          <w:highlight w:val="none"/>
          <w:lang w:val="zh-CN" w:eastAsia="zh-CN"/>
        </w:rPr>
        <w:t>确定了评价的目的、方法以及评价的原则，根据项目的内容和特征制定了评价指标体系及评价标准以及评价实施方案，修正并确定所需资料清单，最终确定</w:t>
      </w:r>
      <w:r>
        <w:rPr>
          <w:rFonts w:hint="eastAsia" w:ascii="Times New Roman" w:hAnsi="Times New Roman" w:eastAsia="仿宋_GB2312" w:cs="Times New Roman"/>
          <w:color w:val="auto"/>
          <w:sz w:val="32"/>
          <w:szCs w:val="32"/>
          <w:highlight w:val="none"/>
          <w:lang w:val="en-US" w:eastAsia="zh-CN"/>
        </w:rPr>
        <w:t>绩效评价工作方案；</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en-US" w:eastAsia="zh-CN"/>
        </w:rPr>
        <w:t>组织实施：</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2024年4月-</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en-US" w:eastAsia="zh-CN"/>
        </w:rPr>
        <w:t xml:space="preserve">月，评价工作进入实施阶段，评价组收集绩效评价相关数据资料，进行现场调研、座谈；并与项目实施负责人沟通，了解资金的内容、操作流程、管理机制、资金使用方向等情况，分析形成初步结论。 </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val="en-US" w:eastAsia="zh-CN"/>
        </w:rPr>
        <w:t>分析评价：</w:t>
      </w:r>
    </w:p>
    <w:p>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w:t>
      </w:r>
      <w:r>
        <w:rPr>
          <w:rFonts w:hint="eastAsia" w:eastAsia="仿宋_GB2312" w:cs="Times New Roman"/>
          <w:color w:val="auto"/>
          <w:sz w:val="32"/>
          <w:szCs w:val="32"/>
          <w:highlight w:val="none"/>
          <w:lang w:val="en-US" w:eastAsia="zh-CN"/>
        </w:rPr>
        <w:t>7</w:t>
      </w:r>
      <w:r>
        <w:rPr>
          <w:rFonts w:hint="eastAsia" w:ascii="Times New Roman" w:hAnsi="Times New Roman" w:eastAsia="仿宋_GB2312" w:cs="Times New Roman"/>
          <w:color w:val="auto"/>
          <w:sz w:val="32"/>
          <w:szCs w:val="32"/>
          <w:highlight w:val="none"/>
          <w:lang w:val="en-US" w:eastAsia="zh-CN"/>
        </w:rPr>
        <w:t>月</w:t>
      </w:r>
      <w:r>
        <w:rPr>
          <w:rFonts w:hint="eastAsia"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lang w:val="en-US" w:eastAsia="zh-CN"/>
        </w:rPr>
        <w:t>月，评价组按照绩效评价的原则和规范，对取得的资料进行审查核实，对采集的数据进行分析，按照绩效评价指标评分表逐项进行打分、分析，汇总各方评价结果，综合分析并形成评价结论。</w:t>
      </w:r>
    </w:p>
    <w:p>
      <w:pPr>
        <w:shd w:val="clear"/>
        <w:spacing w:line="600" w:lineRule="exact"/>
        <w:ind w:firstLine="640" w:firstLineChars="200"/>
        <w:outlineLvl w:val="0"/>
        <w:rPr>
          <w:rFonts w:hint="default" w:ascii="Times New Roman" w:hAnsi="Times New Roman" w:eastAsia="仿宋_GB2312" w:cs="Times New Roman"/>
          <w:color w:val="auto"/>
          <w:sz w:val="30"/>
          <w:szCs w:val="30"/>
          <w:highlight w:val="none"/>
          <w:lang w:val="en-US" w:eastAsia="zh-CN"/>
        </w:rPr>
      </w:pPr>
      <w:r>
        <w:rPr>
          <w:rFonts w:hint="eastAsia" w:ascii="Times New Roman" w:hAnsi="Times New Roman" w:eastAsia="仿宋_GB2312" w:cs="Times New Roman"/>
          <w:color w:val="auto"/>
          <w:sz w:val="32"/>
          <w:szCs w:val="32"/>
          <w:highlight w:val="none"/>
          <w:lang w:val="en-US" w:eastAsia="zh-CN"/>
        </w:rPr>
        <w:t>总结全年社区党委工作经验，形成可推广的工作模式，全面评估基层党组织阵地使用效果并优化完善，开展居民满意度调查，根据反馈进一步改进社区干部服务工作，提升居民幸福指数。</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预算绩效评价报告在编制过程中，严格遵循</w:t>
      </w:r>
      <w:r>
        <w:rPr>
          <w:rFonts w:hint="eastAsia" w:eastAsia="仿宋_GB2312" w:cs="Times New Roman"/>
          <w:color w:val="auto"/>
          <w:sz w:val="32"/>
          <w:szCs w:val="32"/>
          <w:highlight w:val="none"/>
          <w:lang w:val="en-US" w:eastAsia="zh-CN"/>
        </w:rPr>
        <w:t>2个大</w:t>
      </w:r>
      <w:r>
        <w:rPr>
          <w:rFonts w:hint="eastAsia" w:eastAsia="仿宋_GB2312" w:cs="Times New Roman"/>
          <w:color w:val="auto"/>
          <w:sz w:val="32"/>
          <w:szCs w:val="32"/>
          <w:highlight w:val="none"/>
          <w:lang w:eastAsia="zh-CN"/>
        </w:rPr>
        <w:t>社区每年</w:t>
      </w:r>
      <w:r>
        <w:rPr>
          <w:rFonts w:hint="eastAsia" w:eastAsia="仿宋_GB2312" w:cs="Times New Roman"/>
          <w:color w:val="auto"/>
          <w:sz w:val="32"/>
          <w:szCs w:val="32"/>
          <w:highlight w:val="none"/>
          <w:lang w:val="en-US" w:eastAsia="zh-CN"/>
        </w:rPr>
        <w:t>20万元，1个中社区每年15万元的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如管辖大社区数量和管辖中社区数量上，涵盖了提高服务群众效率的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w:t>
      </w:r>
      <w:r>
        <w:rPr>
          <w:rFonts w:hint="default" w:eastAsia="仿宋_GB2312" w:cs="Times New Roman"/>
          <w:color w:val="auto"/>
          <w:sz w:val="32"/>
          <w:szCs w:val="32"/>
          <w:highlight w:val="none"/>
          <w:lang w:val="en-US" w:eastAsia="zh-CN"/>
        </w:rPr>
        <w:t>部门专项-社区党建工作经费</w:t>
      </w:r>
      <w:r>
        <w:rPr>
          <w:rFonts w:hint="eastAsia"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lang w:val="en-US" w:eastAsia="zh-CN"/>
        </w:rPr>
        <w:t>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spacing w:line="560" w:lineRule="exact"/>
        <w:ind w:firstLine="640" w:firstLineChars="200"/>
        <w:rPr>
          <w:rFonts w:hint="eastAsia"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rPr>
        <w:t>预算执行情况及各项绩效目标达成程度的系统性分析，全面、客观地评估项目在预定周期内的实施效果，包括提高服务群众效率</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rPr>
        <w:t>社会效益指标，为项目后续的改进与优化提供科学依据。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通过对部门专项-社区党建工作经费项目实施，识别短板、优化资源配置，</w:t>
      </w:r>
      <w:r>
        <w:rPr>
          <w:rFonts w:hint="default" w:ascii="Times New Roman" w:hAnsi="Times New Roman" w:eastAsia="仿宋_GB2312" w:cs="Times New Roman"/>
          <w:color w:val="auto"/>
          <w:sz w:val="32"/>
          <w:szCs w:val="32"/>
          <w:highlight w:val="none"/>
        </w:rPr>
        <w:t>识别资金使用过程中的环节与低效领域，挖掘潜在的资源优化配置空间，推动项目在有限的预算资源下实现更高的绩效产出，提升整体资源利用效率</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w:t>
      </w:r>
      <w:r>
        <w:rPr>
          <w:rFonts w:hint="eastAsia" w:eastAsia="仿宋_GB2312" w:cs="Times New Roman"/>
          <w:color w:val="auto"/>
          <w:sz w:val="32"/>
          <w:szCs w:val="32"/>
          <w:highlight w:val="none"/>
          <w:lang w:val="en-US" w:eastAsia="zh-CN"/>
        </w:rPr>
        <w:t>部门专项-社区党建工作经费</w:t>
      </w:r>
      <w:r>
        <w:rPr>
          <w:rFonts w:hint="default" w:ascii="Times New Roman" w:hAnsi="Times New Roman" w:eastAsia="仿宋_GB2312" w:cs="Times New Roman"/>
          <w:color w:val="auto"/>
          <w:sz w:val="32"/>
          <w:szCs w:val="32"/>
          <w:highlight w:val="none"/>
        </w:rPr>
        <w:t>项目主管部门、财政部门提供详实、准确的绩效评价信息，</w:t>
      </w:r>
      <w:r>
        <w:rPr>
          <w:rFonts w:hint="eastAsia" w:eastAsia="仿宋_GB2312" w:cs="Times New Roman"/>
          <w:color w:val="auto"/>
          <w:sz w:val="32"/>
          <w:szCs w:val="32"/>
          <w:highlight w:val="none"/>
          <w:lang w:val="en-US" w:eastAsia="zh-CN"/>
        </w:rPr>
        <w:t>在</w:t>
      </w:r>
      <w:r>
        <w:rPr>
          <w:rFonts w:hint="default" w:ascii="Times New Roman" w:hAnsi="Times New Roman" w:eastAsia="仿宋_GB2312" w:cs="Times New Roman"/>
          <w:color w:val="auto"/>
          <w:sz w:val="32"/>
          <w:szCs w:val="32"/>
          <w:highlight w:val="none"/>
        </w:rPr>
        <w:t>关键决策环节做出科学、合理的判断，促进项目资源的合理分配与有效整合，推动</w:t>
      </w:r>
      <w:r>
        <w:rPr>
          <w:rFonts w:hint="eastAsia" w:eastAsia="仿宋_GB2312" w:cs="Times New Roman"/>
          <w:color w:val="auto"/>
          <w:sz w:val="32"/>
          <w:szCs w:val="32"/>
          <w:highlight w:val="none"/>
          <w:lang w:val="en-US" w:eastAsia="zh-CN"/>
        </w:rPr>
        <w:t>决策实施的准确性，</w:t>
      </w:r>
      <w:r>
        <w:rPr>
          <w:rFonts w:hint="default" w:ascii="Times New Roman" w:hAnsi="Times New Roman" w:eastAsia="仿宋_GB2312" w:cs="Times New Roman"/>
          <w:color w:val="auto"/>
          <w:sz w:val="32"/>
          <w:szCs w:val="32"/>
          <w:highlight w:val="none"/>
        </w:rPr>
        <w:t>提升资源</w:t>
      </w:r>
      <w:r>
        <w:rPr>
          <w:rFonts w:hint="eastAsia" w:eastAsia="仿宋_GB2312" w:cs="Times New Roman"/>
          <w:color w:val="auto"/>
          <w:sz w:val="32"/>
          <w:szCs w:val="32"/>
          <w:highlight w:val="none"/>
          <w:lang w:val="en-US" w:eastAsia="zh-CN"/>
        </w:rPr>
        <w:t>高效</w:t>
      </w:r>
      <w:r>
        <w:rPr>
          <w:rFonts w:hint="default" w:ascii="Times New Roman" w:hAnsi="Times New Roman" w:eastAsia="仿宋_GB2312" w:cs="Times New Roman"/>
          <w:color w:val="auto"/>
          <w:sz w:val="32"/>
          <w:szCs w:val="32"/>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持续推进动态监测，对于</w:t>
      </w:r>
      <w:r>
        <w:rPr>
          <w:rFonts w:hint="default" w:ascii="Times New Roman" w:hAnsi="Times New Roman" w:eastAsia="仿宋_GB2312" w:cs="Times New Roman"/>
          <w:color w:val="auto"/>
          <w:sz w:val="32"/>
          <w:szCs w:val="32"/>
          <w:highlight w:val="none"/>
        </w:rPr>
        <w:t>绩效评价</w:t>
      </w:r>
      <w:r>
        <w:rPr>
          <w:rFonts w:hint="eastAsia" w:eastAsia="仿宋_GB2312" w:cs="Times New Roman"/>
          <w:color w:val="auto"/>
          <w:sz w:val="32"/>
          <w:szCs w:val="32"/>
          <w:highlight w:val="none"/>
          <w:lang w:val="en-US" w:eastAsia="zh-CN"/>
        </w:rPr>
        <w:t>中</w:t>
      </w:r>
      <w:r>
        <w:rPr>
          <w:rFonts w:hint="default" w:ascii="Times New Roman" w:hAnsi="Times New Roman" w:eastAsia="仿宋_GB2312" w:cs="Times New Roman"/>
          <w:color w:val="auto"/>
          <w:sz w:val="32"/>
          <w:szCs w:val="32"/>
          <w:highlight w:val="none"/>
        </w:rPr>
        <w:t>发现的问题与不足，提出针对性的改进建议与措施，加强过程监控把控，形成项目绩效持续改进的良性循环</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实现项目长期稳定发展的目标。</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（5）部门专项-社区党建工作经费项目</w:t>
      </w:r>
      <w:r>
        <w:rPr>
          <w:rFonts w:hint="default" w:ascii="Times New Roman" w:hAnsi="Times New Roman" w:eastAsia="仿宋_GB2312" w:cs="Times New Roman"/>
          <w:b w:val="0"/>
          <w:bCs w:val="0"/>
          <w:color w:val="auto"/>
          <w:kern w:val="2"/>
          <w:sz w:val="32"/>
          <w:szCs w:val="32"/>
          <w:highlight w:val="none"/>
          <w:lang w:val="en-US" w:eastAsia="zh-CN" w:bidi="ar-SA"/>
        </w:rPr>
        <w:t>预算绩效评价报告的编制以提升项目绩效为核心，旨在通过科学、严谨的评价工作，为项目管理与决策提供全方位的支持，</w:t>
      </w:r>
      <w:r>
        <w:rPr>
          <w:rFonts w:hint="eastAsia" w:ascii="Times New Roman" w:hAnsi="Times New Roman" w:eastAsia="仿宋_GB2312" w:cs="Times New Roman"/>
          <w:b w:val="0"/>
          <w:bCs w:val="0"/>
          <w:color w:val="auto"/>
          <w:kern w:val="2"/>
          <w:sz w:val="32"/>
          <w:szCs w:val="32"/>
          <w:highlight w:val="none"/>
          <w:lang w:val="en-US" w:eastAsia="zh-CN" w:bidi="ar-SA"/>
        </w:rPr>
        <w:t>使</w:t>
      </w:r>
      <w:r>
        <w:rPr>
          <w:rFonts w:hint="default" w:ascii="Times New Roman" w:hAnsi="Times New Roman" w:eastAsia="仿宋_GB2312" w:cs="Times New Roman"/>
          <w:b w:val="0"/>
          <w:bCs w:val="0"/>
          <w:color w:val="auto"/>
          <w:kern w:val="2"/>
          <w:sz w:val="32"/>
          <w:szCs w:val="32"/>
          <w:highlight w:val="none"/>
          <w:lang w:val="en-US" w:eastAsia="zh-CN" w:bidi="ar-SA"/>
        </w:rPr>
        <w:t>项目在预算约束下实现高质量、可持续发展，充分发挥财政资金的社会效益。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spacing w:line="700" w:lineRule="exact"/>
        <w:ind w:firstLine="640" w:firstLineChars="200"/>
        <w:jc w:val="left"/>
        <w:rPr>
          <w:rFonts w:hint="default" w:ascii="Times New Roman" w:hAnsi="Times New Roman" w:eastAsia="仿宋_GB2312" w:cs="Times New Roman"/>
          <w:b w:val="0"/>
          <w:bCs w:val="0"/>
          <w:color w:val="auto"/>
          <w:kern w:val="28"/>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部门专项-社区党建工作经费</w:t>
      </w:r>
      <w:r>
        <w:rPr>
          <w:rFonts w:hint="default" w:ascii="Times New Roman" w:hAnsi="Times New Roman" w:eastAsia="仿宋_GB2312" w:cs="Times New Roman"/>
          <w:b w:val="0"/>
          <w:bCs w:val="0"/>
          <w:color w:val="auto"/>
          <w:kern w:val="28"/>
          <w:sz w:val="32"/>
          <w:szCs w:val="32"/>
          <w:highlight w:val="none"/>
          <w:lang w:val="en-US" w:eastAsia="zh-CN" w:bidi="ar-SA"/>
        </w:rPr>
        <w:t>预算绩效评价报告的评价对象是部门专项-社区党建工作经及其预算执行情况。</w:t>
      </w:r>
      <w:r>
        <w:rPr>
          <w:rFonts w:hint="default" w:ascii="Times New Roman" w:hAnsi="Times New Roman" w:eastAsia="仿宋_GB2312" w:cs="Times New Roman"/>
          <w:b w:val="0"/>
          <w:bCs w:val="0"/>
          <w:color w:val="auto"/>
          <w:kern w:val="2"/>
          <w:sz w:val="32"/>
          <w:szCs w:val="32"/>
          <w:highlight w:val="none"/>
          <w:lang w:val="en-US" w:eastAsia="zh-CN" w:bidi="ar-SA"/>
        </w:rPr>
        <w:t>该项目由</w:t>
      </w:r>
      <w:r>
        <w:rPr>
          <w:rFonts w:hint="eastAsia" w:ascii="Times New Roman" w:hAnsi="Times New Roman" w:eastAsia="仿宋_GB2312" w:cs="Times New Roman"/>
          <w:b w:val="0"/>
          <w:bCs w:val="0"/>
          <w:color w:val="auto"/>
          <w:kern w:val="2"/>
          <w:sz w:val="32"/>
          <w:szCs w:val="32"/>
          <w:highlight w:val="none"/>
          <w:lang w:val="en-US" w:eastAsia="zh-CN" w:bidi="ar-SA"/>
        </w:rPr>
        <w:t>党建办</w:t>
      </w:r>
      <w:r>
        <w:rPr>
          <w:rFonts w:hint="default" w:ascii="Times New Roman" w:hAnsi="Times New Roman" w:eastAsia="仿宋_GB2312" w:cs="Times New Roman"/>
          <w:b w:val="0"/>
          <w:bCs w:val="0"/>
          <w:color w:val="auto"/>
          <w:kern w:val="2"/>
          <w:sz w:val="32"/>
          <w:szCs w:val="32"/>
          <w:highlight w:val="none"/>
          <w:lang w:val="en-US" w:eastAsia="zh-CN" w:bidi="ar-SA"/>
        </w:rPr>
        <w:t>负责实施，旨在确保</w:t>
      </w:r>
      <w:r>
        <w:rPr>
          <w:rFonts w:hint="eastAsia" w:eastAsia="仿宋_GB2312" w:cs="Times New Roman"/>
          <w:b w:val="0"/>
          <w:bCs w:val="0"/>
          <w:color w:val="auto"/>
          <w:kern w:val="2"/>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个社区正常运转；抓好街道各社区基层党组织阵地建设，确保基层党组织各项事业稳定有序开展，保障各项事业规范运行；提升社区干部为民服务能力、提高服务水平，顺利服务于居民，提高</w:t>
      </w:r>
      <w:r>
        <w:rPr>
          <w:rFonts w:hint="eastAsia" w:ascii="Times New Roman" w:hAnsi="Times New Roman" w:eastAsia="仿宋_GB2312" w:cs="Times New Roman"/>
          <w:b w:val="0"/>
          <w:bCs w:val="0"/>
          <w:color w:val="auto"/>
          <w:kern w:val="2"/>
          <w:sz w:val="32"/>
          <w:szCs w:val="32"/>
          <w:highlight w:val="none"/>
          <w:lang w:val="en-US" w:eastAsia="zh-CN" w:bidi="ar-SA"/>
        </w:rPr>
        <w:t>居民</w:t>
      </w:r>
      <w:r>
        <w:rPr>
          <w:rFonts w:hint="default" w:ascii="Times New Roman" w:hAnsi="Times New Roman" w:eastAsia="仿宋_GB2312" w:cs="Times New Roman"/>
          <w:b w:val="0"/>
          <w:bCs w:val="0"/>
          <w:color w:val="auto"/>
          <w:kern w:val="2"/>
          <w:sz w:val="32"/>
          <w:szCs w:val="32"/>
          <w:highlight w:val="none"/>
          <w:lang w:val="en-US" w:eastAsia="zh-CN" w:bidi="ar-SA"/>
        </w:rPr>
        <w:t>幸福指数</w:t>
      </w:r>
      <w:r>
        <w:rPr>
          <w:rFonts w:hint="default" w:ascii="Times New Roman" w:hAnsi="Times New Roman" w:eastAsia="仿宋_GB2312" w:cs="Times New Roman"/>
          <w:b w:val="0"/>
          <w:bCs w:val="0"/>
          <w:color w:val="auto"/>
          <w:kern w:val="28"/>
          <w:sz w:val="32"/>
          <w:szCs w:val="32"/>
          <w:highlight w:val="none"/>
          <w:lang w:val="en-US" w:eastAsia="zh-CN" w:bidi="ar-SA"/>
        </w:rPr>
        <w:t>。项目预算涵盖从</w:t>
      </w:r>
      <w:r>
        <w:rPr>
          <w:rFonts w:hint="eastAsia" w:eastAsia="仿宋_GB2312" w:cs="Times New Roman"/>
          <w:b w:val="0"/>
          <w:bCs w:val="0"/>
          <w:color w:val="auto"/>
          <w:kern w:val="28"/>
          <w:sz w:val="32"/>
          <w:szCs w:val="32"/>
          <w:highlight w:val="none"/>
          <w:lang w:val="en-US" w:eastAsia="zh-CN" w:bidi="ar-SA"/>
        </w:rPr>
        <w:t>2024年1月1日</w:t>
      </w:r>
      <w:r>
        <w:rPr>
          <w:rFonts w:hint="default" w:ascii="Times New Roman" w:hAnsi="Times New Roman" w:eastAsia="仿宋_GB2312" w:cs="Times New Roman"/>
          <w:b w:val="0"/>
          <w:bCs w:val="0"/>
          <w:color w:val="auto"/>
          <w:kern w:val="28"/>
          <w:sz w:val="32"/>
          <w:szCs w:val="32"/>
          <w:highlight w:val="none"/>
          <w:lang w:val="en-US" w:eastAsia="zh-CN" w:bidi="ar-SA"/>
        </w:rPr>
        <w:t>至</w:t>
      </w:r>
      <w:r>
        <w:rPr>
          <w:rFonts w:hint="eastAsia" w:eastAsia="仿宋_GB2312" w:cs="Times New Roman"/>
          <w:b w:val="0"/>
          <w:bCs w:val="0"/>
          <w:color w:val="auto"/>
          <w:kern w:val="28"/>
          <w:sz w:val="32"/>
          <w:szCs w:val="32"/>
          <w:highlight w:val="none"/>
          <w:lang w:val="en-US" w:eastAsia="zh-CN" w:bidi="ar-SA"/>
        </w:rPr>
        <w:t>2024年12月31日</w:t>
      </w:r>
      <w:r>
        <w:rPr>
          <w:rFonts w:hint="default" w:ascii="Times New Roman" w:hAnsi="Times New Roman" w:eastAsia="仿宋_GB2312" w:cs="Times New Roman"/>
          <w:b w:val="0"/>
          <w:bCs w:val="0"/>
          <w:color w:val="auto"/>
          <w:kern w:val="28"/>
          <w:sz w:val="32"/>
          <w:szCs w:val="32"/>
          <w:highlight w:val="none"/>
          <w:lang w:val="en-US" w:eastAsia="zh-CN" w:bidi="ar-SA"/>
        </w:rPr>
        <w:t>的全部资金投入与支出，涉及资金总额为</w:t>
      </w:r>
      <w:r>
        <w:rPr>
          <w:rFonts w:hint="eastAsia" w:eastAsia="仿宋_GB2312" w:cs="Times New Roman"/>
          <w:b w:val="0"/>
          <w:bCs w:val="0"/>
          <w:color w:val="auto"/>
          <w:kern w:val="28"/>
          <w:sz w:val="32"/>
          <w:szCs w:val="32"/>
          <w:highlight w:val="none"/>
          <w:lang w:val="en-US" w:eastAsia="zh-CN" w:bidi="ar-SA"/>
        </w:rPr>
        <w:t>55</w:t>
      </w:r>
      <w:r>
        <w:rPr>
          <w:rFonts w:hint="default" w:ascii="Times New Roman" w:hAnsi="Times New Roman" w:eastAsia="仿宋_GB2312" w:cs="Times New Roman"/>
          <w:b w:val="0"/>
          <w:bCs w:val="0"/>
          <w:color w:val="auto"/>
          <w:kern w:val="28"/>
          <w:sz w:val="32"/>
          <w:szCs w:val="32"/>
          <w:highlight w:val="none"/>
          <w:lang w:val="en-US" w:eastAsia="zh-CN" w:bidi="ar-SA"/>
        </w:rPr>
        <w:t>万元。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部门专项-社区党建工作经费项目</w:t>
      </w:r>
      <w:r>
        <w:rPr>
          <w:rFonts w:hint="default" w:ascii="Times New Roman" w:hAnsi="Times New Roman" w:eastAsia="仿宋_GB2312" w:cs="Times New Roman"/>
          <w:b w:val="0"/>
          <w:bCs w:val="0"/>
          <w:color w:val="auto"/>
          <w:highlight w:val="none"/>
        </w:rPr>
        <w:t>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社会影响：</w:t>
      </w:r>
      <w:r>
        <w:rPr>
          <w:rFonts w:hint="eastAsia" w:ascii="Times New Roman" w:hAnsi="Times New Roman" w:eastAsia="仿宋_GB2312" w:cs="Times New Roman"/>
          <w:b w:val="0"/>
          <w:bCs w:val="0"/>
          <w:color w:val="auto"/>
          <w:highlight w:val="none"/>
          <w:lang w:eastAsia="zh-CN"/>
        </w:rPr>
        <w:t>考察部门专项</w:t>
      </w:r>
      <w:r>
        <w:rPr>
          <w:rFonts w:hint="eastAsia" w:ascii="Times New Roman" w:hAnsi="Times New Roman" w:eastAsia="仿宋_GB2312" w:cs="Times New Roman"/>
          <w:b w:val="0"/>
          <w:bCs w:val="0"/>
          <w:color w:val="auto"/>
          <w:highlight w:val="none"/>
          <w:lang w:val="en-US" w:eastAsia="zh-CN"/>
        </w:rPr>
        <w:t>-社区党建工作经费项目对社会方面的综合影响</w:t>
      </w:r>
      <w:r>
        <w:rPr>
          <w:rFonts w:hint="default" w:ascii="Times New Roman" w:hAnsi="Times New Roman" w:eastAsia="仿宋_GB2312" w:cs="Times New Roman"/>
          <w:b w:val="0"/>
          <w:bCs w:val="0"/>
          <w:color w:val="auto"/>
          <w:highlight w:val="none"/>
        </w:rPr>
        <w:t>。</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Style w:val="10"/>
        <w:widowControl w:val="0"/>
        <w:spacing w:before="0" w:after="0" w:line="560" w:lineRule="exact"/>
        <w:ind w:firstLine="708" w:firstLineChars="200"/>
        <w:jc w:val="both"/>
        <w:outlineLvl w:val="9"/>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hint="eastAsia" w:ascii="Times New Roman" w:hAnsi="Times New Roman" w:eastAsia="仿宋_GB2312" w:cs="Times New Roman"/>
          <w:b w:val="0"/>
          <w:bCs w:val="0"/>
          <w:color w:val="auto"/>
          <w:spacing w:val="17"/>
          <w:kern w:val="2"/>
          <w:sz w:val="32"/>
          <w:szCs w:val="32"/>
          <w:highlight w:val="none"/>
          <w:lang w:val="en-US" w:eastAsia="zh-CN" w:bidi="ar-SA"/>
        </w:rPr>
        <w:t>本次2024年库尔勒市思源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rPr>
        <w:t>本次</w:t>
      </w:r>
      <w:r>
        <w:rPr>
          <w:rFonts w:hint="eastAsia" w:ascii="Times New Roman" w:hAnsi="Times New Roman" w:eastAsia="仿宋_GB2312" w:cs="Times New Roman"/>
          <w:b w:val="0"/>
          <w:bCs w:val="0"/>
          <w:color w:val="auto"/>
          <w:highlight w:val="none"/>
          <w:lang w:val="en-US" w:eastAsia="zh-CN"/>
        </w:rPr>
        <w:t>2024年库尔勒市思源街道办事处部门专项-社区党建工作经费</w:t>
      </w:r>
      <w:r>
        <w:rPr>
          <w:rFonts w:hint="eastAsia" w:ascii="Times New Roman" w:hAnsi="Times New Roman" w:eastAsia="仿宋_GB2312" w:cs="Times New Roman"/>
          <w:b w:val="0"/>
          <w:bCs w:val="0"/>
          <w:color w:val="auto"/>
          <w:highlight w:val="none"/>
        </w:rPr>
        <w:t>项目</w:t>
      </w:r>
      <w:r>
        <w:rPr>
          <w:rFonts w:hint="eastAsia" w:ascii="Times New Roman" w:hAnsi="Times New Roman" w:eastAsia="仿宋_GB2312" w:cs="Times New Roman"/>
          <w:b w:val="0"/>
          <w:bCs w:val="0"/>
          <w:color w:val="auto"/>
          <w:highlight w:val="none"/>
          <w:lang w:val="en-US" w:eastAsia="zh-CN"/>
        </w:rPr>
        <w:t>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w:t>
      </w:r>
      <w:r>
        <w:rPr>
          <w:rFonts w:hint="eastAsia" w:eastAsia="仿宋_GB2312" w:cs="Times New Roman"/>
          <w:color w:val="auto"/>
          <w:sz w:val="32"/>
          <w:szCs w:val="32"/>
          <w:highlight w:val="none"/>
          <w:lang w:val="en-US" w:eastAsia="zh-CN"/>
        </w:rPr>
        <w:t>包括：财务分管领导龚鑫和财务室工作人员宋壮壮、王晓梅及各科室干部组成，</w:t>
      </w:r>
      <w:r>
        <w:rPr>
          <w:rFonts w:hint="default" w:ascii="Times New Roman" w:hAnsi="Times New Roman" w:eastAsia="仿宋_GB2312" w:cs="Times New Roman"/>
          <w:color w:val="auto"/>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清晰阐述</w:t>
      </w:r>
      <w:r>
        <w:rPr>
          <w:rFonts w:hint="default" w:ascii="Times New Roman" w:hAnsi="Times New Roman" w:eastAsia="仿宋_GB2312" w:cs="Times New Roman"/>
          <w:color w:val="auto"/>
          <w:sz w:val="32"/>
          <w:szCs w:val="32"/>
          <w:highlight w:val="none"/>
          <w:lang w:eastAsia="zh-CN"/>
        </w:rPr>
        <w:t>项目</w:t>
      </w:r>
      <w:r>
        <w:rPr>
          <w:rFonts w:hint="eastAsia" w:eastAsia="仿宋_GB2312" w:cs="Times New Roman"/>
          <w:color w:val="auto"/>
          <w:sz w:val="32"/>
          <w:szCs w:val="32"/>
          <w:highlight w:val="none"/>
          <w:lang w:val="en-US" w:eastAsia="zh-CN"/>
        </w:rPr>
        <w:t>目的</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为后续指标设计提供方向指引。</w:t>
      </w:r>
      <w:r>
        <w:rPr>
          <w:rFonts w:hint="default" w:ascii="Times New Roman" w:hAnsi="Times New Roman" w:eastAsia="仿宋_GB2312" w:cs="Times New Roman"/>
          <w:color w:val="auto"/>
          <w:sz w:val="32"/>
          <w:szCs w:val="32"/>
          <w:highlight w:val="none"/>
          <w:lang w:eastAsia="zh-CN"/>
        </w:rPr>
        <w:t>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w:t>
      </w:r>
      <w:r>
        <w:rPr>
          <w:rFonts w:hint="eastAsia" w:eastAsia="仿宋_GB2312" w:cs="Times New Roman"/>
          <w:color w:val="auto"/>
          <w:sz w:val="32"/>
          <w:szCs w:val="32"/>
          <w:highlight w:val="none"/>
          <w:lang w:val="en-US" w:eastAsia="zh-CN"/>
        </w:rPr>
        <w:t>合理搭配确保全面评估</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有效</w:t>
      </w:r>
      <w:r>
        <w:rPr>
          <w:rFonts w:hint="default" w:ascii="Times New Roman" w:hAnsi="Times New Roman" w:eastAsia="仿宋_GB2312" w:cs="Times New Roman"/>
          <w:color w:val="auto"/>
          <w:sz w:val="32"/>
          <w:szCs w:val="32"/>
          <w:highlight w:val="none"/>
          <w:lang w:eastAsia="zh-CN"/>
        </w:rPr>
        <w:t>收集社区党建工作</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eastAsia="zh-CN"/>
        </w:rPr>
        <w:t>相关数据，包括财务报表、</w:t>
      </w:r>
      <w:r>
        <w:rPr>
          <w:rFonts w:hint="eastAsia" w:eastAsia="仿宋_GB2312" w:cs="Times New Roman"/>
          <w:color w:val="auto"/>
          <w:sz w:val="32"/>
          <w:szCs w:val="32"/>
          <w:highlight w:val="none"/>
          <w:lang w:val="en-US" w:eastAsia="zh-CN"/>
        </w:rPr>
        <w:t>问卷调查、国库集中支付凭证等</w:t>
      </w:r>
      <w:r>
        <w:rPr>
          <w:rFonts w:hint="default" w:ascii="Times New Roman" w:hAnsi="Times New Roman" w:eastAsia="仿宋_GB2312" w:cs="Times New Roman"/>
          <w:color w:val="auto"/>
          <w:sz w:val="32"/>
          <w:szCs w:val="32"/>
          <w:highlight w:val="none"/>
          <w:lang w:eastAsia="zh-CN"/>
        </w:rPr>
        <w:t>。在数据收集过程中，注重数据的</w:t>
      </w:r>
      <w:r>
        <w:rPr>
          <w:rFonts w:hint="eastAsia" w:eastAsia="仿宋_GB2312" w:cs="Times New Roman"/>
          <w:color w:val="auto"/>
          <w:sz w:val="32"/>
          <w:szCs w:val="32"/>
          <w:highlight w:val="none"/>
          <w:lang w:val="en-US" w:eastAsia="zh-CN"/>
        </w:rPr>
        <w:t>真实性</w:t>
      </w:r>
      <w:r>
        <w:rPr>
          <w:rFonts w:hint="default" w:ascii="Times New Roman" w:hAnsi="Times New Roman" w:eastAsia="仿宋_GB2312" w:cs="Times New Roman"/>
          <w:color w:val="auto"/>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w:t>
      </w:r>
      <w:r>
        <w:rPr>
          <w:rFonts w:hint="eastAsia" w:eastAsia="仿宋_GB2312" w:cs="Times New Roman"/>
          <w:color w:val="auto"/>
          <w:sz w:val="32"/>
          <w:szCs w:val="32"/>
          <w:highlight w:val="none"/>
          <w:lang w:val="en-US" w:eastAsia="zh-CN"/>
        </w:rPr>
        <w:t>挖掘、</w:t>
      </w:r>
      <w:r>
        <w:rPr>
          <w:rFonts w:hint="default" w:ascii="Times New Roman" w:hAnsi="Times New Roman" w:eastAsia="仿宋_GB2312" w:cs="Times New Roman"/>
          <w:color w:val="auto"/>
          <w:sz w:val="32"/>
          <w:szCs w:val="32"/>
          <w:highlight w:val="none"/>
          <w:lang w:eastAsia="zh-CN"/>
        </w:rPr>
        <w:t>分析。通过对各项绩效指标的实际完成情况与预期目标进行对比，</w:t>
      </w:r>
      <w:r>
        <w:rPr>
          <w:rFonts w:hint="eastAsia" w:eastAsia="仿宋_GB2312" w:cs="Times New Roman"/>
          <w:color w:val="auto"/>
          <w:sz w:val="32"/>
          <w:szCs w:val="32"/>
          <w:highlight w:val="none"/>
          <w:lang w:val="en-US" w:eastAsia="zh-CN"/>
        </w:rPr>
        <w:t>通过数据分析揭示项目绩效状况和存在的问题</w:t>
      </w:r>
      <w:r>
        <w:rPr>
          <w:rFonts w:hint="default" w:ascii="Times New Roman" w:hAnsi="Times New Roman" w:eastAsia="仿宋_GB2312" w:cs="Times New Roman"/>
          <w:color w:val="auto"/>
          <w:sz w:val="32"/>
          <w:szCs w:val="32"/>
          <w:highlight w:val="none"/>
          <w:lang w:eastAsia="zh-CN"/>
        </w:rPr>
        <w:t>，注重数据之间的关联性，深入剖析项目绩效背后的原因，为提出有针对性的改进建议提供了依据。部门专项-社区党建工作经费</w:t>
      </w:r>
      <w:r>
        <w:rPr>
          <w:rFonts w:hint="eastAsia" w:ascii="Times New Roman" w:hAnsi="Times New Roman"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lang w:eastAsia="zh-CN"/>
        </w:rPr>
        <w:t>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color w:val="auto"/>
          <w:sz w:val="32"/>
          <w:szCs w:val="32"/>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在评价报告提交后，我们将持续跟踪项目的改进措施落实情况，定期对项目绩效进行复查与评估，优化</w:t>
      </w:r>
      <w:r>
        <w:rPr>
          <w:rFonts w:hint="eastAsia" w:eastAsia="仿宋_GB2312" w:cs="Times New Roman"/>
          <w:color w:val="auto"/>
          <w:sz w:val="32"/>
          <w:szCs w:val="32"/>
          <w:highlight w:val="none"/>
          <w:lang w:val="en-US" w:eastAsia="zh-CN"/>
        </w:rPr>
        <w:t>反馈机制本身的效率与覆盖面</w:t>
      </w:r>
      <w:r>
        <w:rPr>
          <w:rFonts w:hint="default" w:ascii="Times New Roman" w:hAnsi="Times New Roman" w:eastAsia="仿宋_GB2312" w:cs="Times New Roman"/>
          <w:color w:val="auto"/>
          <w:sz w:val="32"/>
          <w:szCs w:val="32"/>
          <w:highlight w:val="none"/>
          <w:lang w:eastAsia="zh-CN"/>
        </w:rPr>
        <w:t>，实现绩效的持续提升。</w:t>
      </w:r>
      <w:r>
        <w:rPr>
          <w:rFonts w:hint="eastAsia" w:eastAsia="仿宋_GB2312" w:cs="Times New Roman"/>
          <w:color w:val="auto"/>
          <w:sz w:val="32"/>
          <w:szCs w:val="32"/>
          <w:highlight w:val="none"/>
          <w:lang w:val="en-US" w:eastAsia="zh-CN"/>
        </w:rPr>
        <w:t>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spacing w:line="700" w:lineRule="exact"/>
        <w:ind w:firstLine="640" w:firstLineChars="200"/>
        <w:jc w:val="left"/>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kern w:val="0"/>
          <w:sz w:val="36"/>
          <w:szCs w:val="36"/>
          <w:highlight w:val="none"/>
        </w:rPr>
        <w:t>部门专项-社区党建工作经费</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rPr>
        <w:t>项目过程、项目产出</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ascii="Times New Roman" w:hAnsi="Times New Roman" w:eastAsia="仿宋_GB2312" w:cs="Times New Roman"/>
          <w:color w:val="auto"/>
          <w:sz w:val="32"/>
          <w:szCs w:val="32"/>
          <w:highlight w:val="none"/>
        </w:rPr>
        <w:t>党员教育管理与社区服务融合</w:t>
      </w:r>
      <w:r>
        <w:rPr>
          <w:rFonts w:hint="default" w:ascii="Times New Roman" w:hAnsi="Times New Roman" w:eastAsia="仿宋_GB2312" w:cs="Times New Roman"/>
          <w:color w:val="auto"/>
          <w:sz w:val="32"/>
          <w:szCs w:val="32"/>
          <w:highlight w:val="none"/>
        </w:rPr>
        <w:t>取得了显著的成效，如</w:t>
      </w:r>
      <w:r>
        <w:rPr>
          <w:rFonts w:hint="eastAsia" w:ascii="Times New Roman" w:hAnsi="Times New Roman" w:eastAsia="仿宋_GB2312" w:cs="Times New Roman"/>
          <w:color w:val="auto"/>
          <w:sz w:val="32"/>
          <w:szCs w:val="32"/>
          <w:highlight w:val="none"/>
        </w:rPr>
        <w:t>打造了线上线下结合的党员学习教育平台，累计开展线上课程</w:t>
      </w:r>
      <w:r>
        <w:rPr>
          <w:rFonts w:hint="eastAsia" w:eastAsia="仿宋_GB2312" w:cs="Times New Roman"/>
          <w:color w:val="auto"/>
          <w:sz w:val="32"/>
          <w:szCs w:val="32"/>
          <w:highlight w:val="none"/>
          <w:lang w:val="en-US" w:eastAsia="zh-CN"/>
        </w:rPr>
        <w:t>48</w:t>
      </w:r>
      <w:r>
        <w:rPr>
          <w:rFonts w:hint="eastAsia" w:ascii="Times New Roman" w:hAnsi="Times New Roman" w:eastAsia="仿宋_GB2312" w:cs="Times New Roman"/>
          <w:color w:val="auto"/>
          <w:sz w:val="32"/>
          <w:szCs w:val="32"/>
          <w:highlight w:val="none"/>
        </w:rPr>
        <w:t>次，参与党员达</w:t>
      </w:r>
      <w:r>
        <w:rPr>
          <w:rFonts w:hint="eastAsia" w:eastAsia="仿宋_GB2312" w:cs="Times New Roman"/>
          <w:color w:val="auto"/>
          <w:sz w:val="32"/>
          <w:szCs w:val="32"/>
          <w:highlight w:val="none"/>
          <w:lang w:val="en-US" w:eastAsia="zh-CN"/>
        </w:rPr>
        <w:t>1023</w:t>
      </w:r>
      <w:r>
        <w:rPr>
          <w:rFonts w:hint="eastAsia" w:ascii="Times New Roman" w:hAnsi="Times New Roman" w:eastAsia="仿宋_GB2312" w:cs="Times New Roman"/>
          <w:color w:val="auto"/>
          <w:sz w:val="32"/>
          <w:szCs w:val="32"/>
          <w:highlight w:val="none"/>
        </w:rPr>
        <w:t>人次；组织党员志愿服务队开展社区环境卫生整治、关爱孤寡老人等活动3</w:t>
      </w:r>
      <w:r>
        <w:rPr>
          <w:rFonts w:hint="eastAsia"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rPr>
        <w:t>次，受益群众达5</w:t>
      </w:r>
      <w:r>
        <w:rPr>
          <w:rFonts w:hint="eastAsia" w:eastAsia="仿宋_GB2312" w:cs="Times New Roman"/>
          <w:color w:val="auto"/>
          <w:sz w:val="32"/>
          <w:szCs w:val="32"/>
          <w:highlight w:val="none"/>
          <w:lang w:val="en-US" w:eastAsia="zh-CN"/>
        </w:rPr>
        <w:t>13</w:t>
      </w:r>
      <w:r>
        <w:rPr>
          <w:rFonts w:hint="eastAsia"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val="en-US" w:eastAsia="zh-CN"/>
        </w:rPr>
        <w:t>思源街道</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从项目效益的角度来看，本项目实现了预期的社会效益等方面产生了积极的影响。具体而言，</w:t>
      </w:r>
      <w:r>
        <w:rPr>
          <w:rFonts w:hint="eastAsia" w:ascii="Times New Roman" w:hAnsi="Times New Roman" w:eastAsia="仿宋_GB2312" w:cs="Times New Roman"/>
          <w:color w:val="auto"/>
          <w:sz w:val="32"/>
          <w:szCs w:val="32"/>
          <w:highlight w:val="none"/>
        </w:rPr>
        <w:t>通过党建引领，建立了居民议事协商机制，成功解决老旧小区停车难、加装电梯等社区治理难题15件；开展各类文化惠民活动20场，居民对社区满意度从70%提升至85%</w:t>
      </w:r>
      <w:r>
        <w:rPr>
          <w:rFonts w:hint="default" w:ascii="Times New Roman" w:hAnsi="Times New Roman" w:eastAsia="仿宋_GB2312" w:cs="Times New Roman"/>
          <w:color w:val="auto"/>
          <w:sz w:val="32"/>
          <w:szCs w:val="32"/>
          <w:highlight w:val="none"/>
        </w:rPr>
        <w:t>等方面的提升，为项目的利益相关者带来了实实在在的利益。</w:t>
      </w:r>
    </w:p>
    <w:p>
      <w:pPr>
        <w:spacing w:line="700" w:lineRule="exact"/>
        <w:ind w:firstLine="640" w:firstLineChars="200"/>
        <w:jc w:val="left"/>
        <w:rPr>
          <w:rFonts w:hint="default" w:ascii="Times New Roman" w:hAnsi="Times New Roman" w:eastAsia="仿宋_GB2312" w:cs="Times New Roman"/>
          <w:color w:val="auto"/>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lang w:val="en-US" w:eastAsia="zh-CN" w:bidi="ar"/>
        </w:rPr>
        <w:t>综上所述，部门专项-社区党建工作经费在绩效评价中表现出色，达到了项目的预期目标，并在多个方面取得了显著的成效。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96.67</w:t>
      </w:r>
      <w:r>
        <w:rPr>
          <w:rFonts w:hint="default" w:ascii="Times New Roman" w:hAnsi="Times New Roman" w:eastAsia="仿宋_GB2312" w:cs="Times New Roman"/>
          <w:b w:val="0"/>
          <w:bCs w:val="0"/>
          <w:color w:val="auto"/>
          <w:highlight w:val="none"/>
        </w:rPr>
        <w:t>分，属于“</w:t>
      </w:r>
      <w:r>
        <w:rPr>
          <w:rFonts w:hint="eastAsia" w:ascii="Times New Roman" w:hAnsi="Times New Roman" w:eastAsia="仿宋_GB2312" w:cs="Times New Roman"/>
          <w:b w:val="0"/>
          <w:bCs w:val="0"/>
          <w:color w:val="auto"/>
          <w:highlight w:val="none"/>
          <w:lang w:eastAsia="zh-CN"/>
        </w:rPr>
        <w:t>优</w:t>
      </w:r>
      <w:r>
        <w:rPr>
          <w:rFonts w:hint="default" w:ascii="Times New Roman" w:hAnsi="Times New Roman" w:eastAsia="仿宋_GB2312" w:cs="Times New Roman"/>
          <w:b w:val="0"/>
          <w:bCs w:val="0"/>
          <w:color w:val="auto"/>
          <w:highlight w:val="none"/>
        </w:rPr>
        <w:t xml:space="preserve">”。其中，项目决策类指标权重为20分，得分为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36.67</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91.67</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36.67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96.67</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部门专项-社区党建工作经费项目</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按管辖社区数量，</w:t>
      </w:r>
      <w:r>
        <w:rPr>
          <w:rFonts w:hint="eastAsia" w:eastAsia="仿宋_GB2312" w:cs="Times New Roman"/>
          <w:color w:val="auto"/>
          <w:sz w:val="32"/>
          <w:szCs w:val="32"/>
          <w:highlight w:val="none"/>
          <w:lang w:val="en-US" w:eastAsia="zh-CN"/>
        </w:rPr>
        <w:t>2个大</w:t>
      </w:r>
      <w:r>
        <w:rPr>
          <w:rFonts w:hint="eastAsia" w:eastAsia="仿宋_GB2312" w:cs="Times New Roman"/>
          <w:color w:val="auto"/>
          <w:sz w:val="32"/>
          <w:szCs w:val="32"/>
          <w:highlight w:val="none"/>
          <w:lang w:eastAsia="zh-CN"/>
        </w:rPr>
        <w:t>社区每年</w:t>
      </w:r>
      <w:r>
        <w:rPr>
          <w:rFonts w:hint="eastAsia" w:eastAsia="仿宋_GB2312" w:cs="Times New Roman"/>
          <w:color w:val="auto"/>
          <w:sz w:val="32"/>
          <w:szCs w:val="32"/>
          <w:highlight w:val="none"/>
          <w:lang w:val="en-US" w:eastAsia="zh-CN"/>
        </w:rPr>
        <w:t>20万元，1个中社区每年15万元，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对交通路社区进行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3个社区间进行资源调配，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55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思源</w:t>
      </w:r>
      <w:r>
        <w:rPr>
          <w:rFonts w:hint="eastAsia" w:eastAsia="仿宋_GB2312" w:cs="Times New Roman"/>
          <w:color w:val="auto"/>
          <w:sz w:val="32"/>
          <w:szCs w:val="32"/>
          <w:highlight w:val="none"/>
          <w:lang w:eastAsia="zh-CN"/>
        </w:rPr>
        <w:t>街道财务管理制度》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eastAsia" w:eastAsia="仿宋_GB2312" w:cs="Times New Roman"/>
          <w:color w:val="auto"/>
          <w:sz w:val="32"/>
          <w:szCs w:val="32"/>
          <w:highlight w:val="none"/>
          <w:lang w:val="en-US" w:eastAsia="zh-CN"/>
        </w:rPr>
        <w:t>制定了《思源</w:t>
      </w:r>
      <w:r>
        <w:rPr>
          <w:rFonts w:hint="default" w:ascii="Times New Roman" w:hAnsi="Times New Roman" w:eastAsia="仿宋_GB2312" w:cs="Times New Roman"/>
          <w:color w:val="auto"/>
          <w:sz w:val="32"/>
          <w:szCs w:val="32"/>
          <w:highlight w:val="none"/>
          <w:lang w:eastAsia="zh-CN"/>
        </w:rPr>
        <w:t>街道财务管理制度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此项权重分值为4分，得分为4分。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36.67</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91.67</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指标1：保障</w:t>
      </w:r>
      <w:r>
        <w:rPr>
          <w:rFonts w:hint="eastAsia" w:eastAsia="仿宋_GB2312" w:cs="Times New Roman"/>
          <w:color w:val="auto"/>
          <w:sz w:val="32"/>
          <w:szCs w:val="32"/>
          <w:highlight w:val="none"/>
          <w:lang w:eastAsia="zh-CN"/>
        </w:rPr>
        <w:t>大型</w:t>
      </w:r>
      <w:r>
        <w:rPr>
          <w:rFonts w:hint="default" w:ascii="Times New Roman" w:hAnsi="Times New Roman" w:eastAsia="仿宋_GB2312" w:cs="Times New Roman"/>
          <w:color w:val="auto"/>
          <w:sz w:val="32"/>
          <w:szCs w:val="32"/>
          <w:highlight w:val="none"/>
        </w:rPr>
        <w:t>社区数量，指标值：</w:t>
      </w:r>
      <w:r>
        <w:rPr>
          <w:rFonts w:hint="eastAsia" w:ascii="仿宋" w:hAnsi="仿宋" w:eastAsia="仿宋" w:cs="仿宋"/>
          <w:b w:val="0"/>
          <w:bCs w:val="0"/>
          <w:color w:val="auto"/>
          <w:kern w:val="2"/>
          <w:sz w:val="30"/>
          <w:szCs w:val="30"/>
          <w:highlight w:val="none"/>
          <w:lang w:val="en-US" w:eastAsia="zh-CN" w:bidi="ar-SA"/>
        </w:rPr>
        <w:t>&gt;=3个</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=2个</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66.67</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：保障</w:t>
      </w:r>
      <w:r>
        <w:rPr>
          <w:rFonts w:hint="eastAsia" w:eastAsia="仿宋_GB2312" w:cs="Times New Roman"/>
          <w:color w:val="auto"/>
          <w:sz w:val="32"/>
          <w:szCs w:val="32"/>
          <w:highlight w:val="none"/>
          <w:lang w:eastAsia="zh-CN"/>
        </w:rPr>
        <w:t>中型</w:t>
      </w:r>
      <w:r>
        <w:rPr>
          <w:rFonts w:hint="default" w:ascii="Times New Roman" w:hAnsi="Times New Roman" w:eastAsia="仿宋_GB2312" w:cs="Times New Roman"/>
          <w:color w:val="auto"/>
          <w:sz w:val="32"/>
          <w:szCs w:val="32"/>
          <w:highlight w:val="none"/>
        </w:rPr>
        <w:t>社区数量，指标值：</w:t>
      </w:r>
      <w:r>
        <w:rPr>
          <w:rFonts w:hint="eastAsia" w:ascii="仿宋" w:hAnsi="仿宋" w:eastAsia="仿宋" w:cs="仿宋"/>
          <w:b w:val="0"/>
          <w:bCs w:val="0"/>
          <w:color w:val="auto"/>
          <w:kern w:val="2"/>
          <w:sz w:val="30"/>
          <w:szCs w:val="30"/>
          <w:highlight w:val="none"/>
          <w:lang w:val="en-US" w:eastAsia="zh-CN" w:bidi="ar-SA"/>
        </w:rPr>
        <w:t>&gt;=1个</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=1个</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质量指标：指标1：</w:t>
      </w:r>
      <w:r>
        <w:rPr>
          <w:rFonts w:hint="eastAsia" w:eastAsia="仿宋_GB2312" w:cs="Times New Roman"/>
          <w:color w:val="auto"/>
          <w:sz w:val="32"/>
          <w:szCs w:val="32"/>
          <w:highlight w:val="none"/>
          <w:lang w:val="en-US" w:eastAsia="zh-CN"/>
        </w:rPr>
        <w:t>资金使用合规率</w:t>
      </w:r>
      <w:r>
        <w:rPr>
          <w:rFonts w:hint="default" w:ascii="Times New Roman" w:hAnsi="Times New Roman" w:eastAsia="仿宋_GB2312" w:cs="Times New Roman"/>
          <w:color w:val="auto"/>
          <w:sz w:val="32"/>
          <w:szCs w:val="32"/>
          <w:highlight w:val="none"/>
        </w:rPr>
        <w:t>，指标值：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时效指标：指标1：</w:t>
      </w:r>
      <w:r>
        <w:rPr>
          <w:rFonts w:hint="eastAsia" w:eastAsia="仿宋_GB2312" w:cs="Times New Roman"/>
          <w:color w:val="auto"/>
          <w:sz w:val="32"/>
          <w:szCs w:val="32"/>
          <w:highlight w:val="none"/>
          <w:lang w:val="en-US" w:eastAsia="zh-CN"/>
        </w:rPr>
        <w:t>资金支付及时率</w:t>
      </w:r>
      <w:r>
        <w:rPr>
          <w:rFonts w:hint="default" w:ascii="Times New Roman" w:hAnsi="Times New Roman" w:eastAsia="仿宋_GB2312" w:cs="Times New Roman"/>
          <w:color w:val="auto"/>
          <w:sz w:val="32"/>
          <w:szCs w:val="32"/>
          <w:highlight w:val="none"/>
        </w:rPr>
        <w:t>，指标值：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，实际完成值：</w:t>
      </w:r>
      <w:r>
        <w:rPr>
          <w:rFonts w:hint="eastAsia" w:ascii="仿宋" w:hAnsi="仿宋" w:eastAsia="仿宋" w:cs="仿宋"/>
          <w:b w:val="0"/>
          <w:bCs w:val="0"/>
          <w:color w:val="auto"/>
          <w:kern w:val="2"/>
          <w:sz w:val="30"/>
          <w:szCs w:val="30"/>
          <w:highlight w:val="none"/>
          <w:lang w:val="en-US" w:eastAsia="zh-CN" w:bidi="ar-SA"/>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成本指标：指标1：</w:t>
      </w:r>
      <w:r>
        <w:rPr>
          <w:rFonts w:hint="eastAsia" w:eastAsia="仿宋_GB2312" w:cs="Times New Roman"/>
          <w:color w:val="auto"/>
          <w:sz w:val="32"/>
          <w:szCs w:val="32"/>
          <w:highlight w:val="none"/>
          <w:lang w:val="en-US" w:eastAsia="zh-CN"/>
        </w:rPr>
        <w:t>保障大社区运转经费成本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&lt;=40万元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=40万元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w:t>
      </w:r>
      <w:r>
        <w:rPr>
          <w:rFonts w:hint="eastAsia" w:eastAsia="仿宋_GB2312" w:cs="Times New Roman"/>
          <w:color w:val="auto"/>
          <w:sz w:val="32"/>
          <w:szCs w:val="32"/>
          <w:highlight w:val="none"/>
          <w:lang w:val="en-US" w:eastAsia="zh-CN"/>
        </w:rPr>
        <w:t>保障中社区运转经费成本</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&lt;=15万元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=15万元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此项权重分值为40分，得分为36.67分。</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社会效益指标：</w:t>
      </w:r>
    </w:p>
    <w:p>
      <w:pPr>
        <w:numPr>
          <w:ilvl w:val="0"/>
          <w:numId w:val="0"/>
        </w:numPr>
        <w:shd w:val="clear"/>
        <w:spacing w:line="600" w:lineRule="exact"/>
        <w:ind w:firstLine="600" w:firstLineChars="200"/>
        <w:outlineLvl w:val="0"/>
        <w:rPr>
          <w:rFonts w:hint="default" w:ascii="Times New Roman" w:hAnsi="Times New Roman" w:eastAsia="仿宋_GB2312" w:cs="Times New Roman"/>
          <w:color w:val="auto"/>
          <w:sz w:val="32"/>
          <w:szCs w:val="32"/>
          <w:highlight w:val="none"/>
        </w:rPr>
      </w:pPr>
      <w:r>
        <w:rPr>
          <w:rFonts w:hint="eastAsia" w:ascii="仿宋" w:hAnsi="仿宋" w:eastAsia="仿宋" w:cs="仿宋"/>
          <w:color w:val="auto"/>
          <w:sz w:val="30"/>
          <w:szCs w:val="30"/>
          <w:highlight w:val="none"/>
        </w:rPr>
        <w:t>指标1：</w:t>
      </w:r>
      <w:r>
        <w:rPr>
          <w:rFonts w:hint="eastAsia" w:ascii="仿宋" w:hAnsi="仿宋" w:eastAsia="仿宋" w:cs="仿宋"/>
          <w:b w:val="0"/>
          <w:bCs w:val="0"/>
          <w:color w:val="auto"/>
          <w:kern w:val="2"/>
          <w:sz w:val="30"/>
          <w:szCs w:val="30"/>
          <w:highlight w:val="none"/>
          <w:lang w:val="en-US" w:eastAsia="zh-CN" w:bidi="ar-SA"/>
        </w:rPr>
        <w:t>受益居民人数</w:t>
      </w:r>
      <w:r>
        <w:rPr>
          <w:rFonts w:hint="eastAsia" w:ascii="仿宋" w:hAnsi="仿宋" w:eastAsia="仿宋" w:cs="仿宋"/>
          <w:color w:val="auto"/>
          <w:sz w:val="30"/>
          <w:szCs w:val="30"/>
          <w:highlight w:val="none"/>
        </w:rPr>
        <w:t>，指标值：</w:t>
      </w:r>
      <w:r>
        <w:rPr>
          <w:rFonts w:hint="eastAsia" w:ascii="仿宋" w:hAnsi="仿宋" w:eastAsia="仿宋" w:cs="仿宋"/>
          <w:b w:val="0"/>
          <w:bCs w:val="0"/>
          <w:color w:val="auto"/>
          <w:kern w:val="2"/>
          <w:sz w:val="30"/>
          <w:szCs w:val="30"/>
          <w:highlight w:val="none"/>
          <w:lang w:val="en-US" w:eastAsia="zh-CN" w:bidi="ar-SA"/>
        </w:rPr>
        <w:t>&gt;=2万人</w:t>
      </w:r>
      <w:r>
        <w:rPr>
          <w:rFonts w:hint="eastAsia" w:ascii="仿宋" w:hAnsi="仿宋" w:eastAsia="仿宋" w:cs="仿宋"/>
          <w:color w:val="auto"/>
          <w:sz w:val="30"/>
          <w:szCs w:val="30"/>
          <w:highlight w:val="none"/>
        </w:rPr>
        <w:t>，实际完成值</w:t>
      </w:r>
      <w:r>
        <w:rPr>
          <w:rFonts w:hint="eastAsia" w:ascii="仿宋" w:hAnsi="仿宋" w:eastAsia="仿宋" w:cs="仿宋"/>
          <w:b w:val="0"/>
          <w:bCs w:val="0"/>
          <w:color w:val="auto"/>
          <w:kern w:val="2"/>
          <w:sz w:val="30"/>
          <w:szCs w:val="30"/>
          <w:highlight w:val="none"/>
          <w:lang w:val="en-US" w:eastAsia="zh-CN" w:bidi="ar-SA"/>
        </w:rPr>
        <w:t>=2.21万人</w:t>
      </w:r>
      <w:r>
        <w:rPr>
          <w:rFonts w:hint="eastAsia" w:ascii="仿宋" w:hAnsi="仿宋" w:eastAsia="仿宋" w:cs="仿宋"/>
          <w:color w:val="auto"/>
          <w:sz w:val="30"/>
          <w:szCs w:val="30"/>
          <w:highlight w:val="none"/>
        </w:rPr>
        <w:t>，指标完成率</w:t>
      </w:r>
      <w:r>
        <w:rPr>
          <w:rFonts w:hint="eastAsia" w:ascii="仿宋" w:hAnsi="仿宋" w:eastAsia="仿宋" w:cs="仿宋"/>
          <w:color w:val="auto"/>
          <w:sz w:val="30"/>
          <w:szCs w:val="30"/>
          <w:highlight w:val="none"/>
          <w:lang w:val="en-US" w:eastAsia="zh-CN"/>
        </w:rPr>
        <w:t>110.5</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0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仿宋" w:hAnsi="仿宋" w:eastAsia="仿宋" w:cs="仿宋"/>
          <w:color w:val="auto"/>
          <w:sz w:val="30"/>
          <w:szCs w:val="30"/>
          <w:highlight w:val="none"/>
        </w:rPr>
        <w:t>指标1：</w:t>
      </w:r>
      <w:r>
        <w:rPr>
          <w:rFonts w:hint="eastAsia" w:ascii="仿宋" w:hAnsi="仿宋" w:eastAsia="仿宋" w:cs="仿宋"/>
          <w:color w:val="auto"/>
          <w:sz w:val="30"/>
          <w:szCs w:val="30"/>
          <w:highlight w:val="none"/>
          <w:lang w:val="en-US" w:eastAsia="zh-CN"/>
        </w:rPr>
        <w:t>居民群众满意度</w:t>
      </w:r>
      <w:r>
        <w:rPr>
          <w:rFonts w:hint="eastAsia" w:ascii="仿宋" w:hAnsi="仿宋" w:eastAsia="仿宋" w:cs="仿宋"/>
          <w:color w:val="auto"/>
          <w:sz w:val="30"/>
          <w:szCs w:val="30"/>
          <w:highlight w:val="none"/>
        </w:rPr>
        <w:t>，指标值：</w:t>
      </w:r>
      <w:r>
        <w:rPr>
          <w:rFonts w:hint="eastAsia" w:ascii="仿宋" w:hAnsi="仿宋" w:eastAsia="仿宋" w:cs="仿宋"/>
          <w:b w:val="0"/>
          <w:bCs w:val="0"/>
          <w:color w:val="auto"/>
          <w:kern w:val="2"/>
          <w:sz w:val="30"/>
          <w:szCs w:val="30"/>
          <w:highlight w:val="none"/>
          <w:lang w:val="en-US" w:eastAsia="zh-CN" w:bidi="ar-SA"/>
        </w:rPr>
        <w:t>&gt;=95%</w:t>
      </w:r>
      <w:r>
        <w:rPr>
          <w:rFonts w:hint="eastAsia" w:ascii="仿宋" w:hAnsi="仿宋" w:eastAsia="仿宋" w:cs="仿宋"/>
          <w:color w:val="auto"/>
          <w:sz w:val="30"/>
          <w:szCs w:val="30"/>
          <w:highlight w:val="none"/>
        </w:rPr>
        <w:t>，实际完成值</w:t>
      </w:r>
      <w:r>
        <w:rPr>
          <w:rFonts w:hint="eastAsia" w:ascii="仿宋" w:hAnsi="仿宋" w:eastAsia="仿宋" w:cs="仿宋"/>
          <w:b w:val="0"/>
          <w:bCs w:val="0"/>
          <w:color w:val="auto"/>
          <w:kern w:val="2"/>
          <w:sz w:val="30"/>
          <w:szCs w:val="30"/>
          <w:highlight w:val="none"/>
          <w:lang w:val="en-US" w:eastAsia="zh-CN" w:bidi="ar-SA"/>
        </w:rPr>
        <w:t>=100%</w:t>
      </w:r>
      <w:r>
        <w:rPr>
          <w:rFonts w:hint="eastAsia" w:ascii="仿宋" w:hAnsi="仿宋" w:eastAsia="仿宋" w:cs="仿宋"/>
          <w:color w:val="auto"/>
          <w:sz w:val="30"/>
          <w:szCs w:val="30"/>
          <w:highlight w:val="none"/>
        </w:rPr>
        <w:t>，指标完成率</w:t>
      </w:r>
      <w:r>
        <w:rPr>
          <w:rFonts w:hint="eastAsia" w:ascii="仿宋" w:hAnsi="仿宋" w:eastAsia="仿宋" w:cs="仿宋"/>
          <w:color w:val="auto"/>
          <w:sz w:val="30"/>
          <w:szCs w:val="30"/>
          <w:highlight w:val="none"/>
          <w:lang w:val="en-US" w:eastAsia="zh-CN"/>
        </w:rPr>
        <w:t>105.26</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w:t>
      </w:r>
      <w:r>
        <w:rPr>
          <w:rFonts w:hint="eastAsia" w:eastAsia="仿宋_GB2312" w:cs="Times New Roman"/>
          <w:color w:val="auto"/>
          <w:sz w:val="32"/>
          <w:szCs w:val="32"/>
          <w:highlight w:val="none"/>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spacing w:line="700" w:lineRule="exact"/>
        <w:ind w:firstLine="640" w:firstLineChars="200"/>
        <w:jc w:val="left"/>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color w:val="auto"/>
          <w:sz w:val="32"/>
          <w:szCs w:val="32"/>
          <w:highlight w:val="none"/>
        </w:rPr>
        <w:t>部门专项-社区党建工作经费项目年初预算</w:t>
      </w:r>
      <w:r>
        <w:rPr>
          <w:rFonts w:hint="eastAsia" w:eastAsia="方正仿宋_GBK" w:cs="Times New Roman"/>
          <w:color w:val="auto"/>
          <w:sz w:val="32"/>
          <w:szCs w:val="32"/>
          <w:highlight w:val="none"/>
          <w:lang w:val="en-US" w:eastAsia="zh-CN"/>
        </w:rPr>
        <w:t>55</w:t>
      </w:r>
      <w:r>
        <w:rPr>
          <w:rFonts w:hint="default" w:ascii="Times New Roman" w:hAnsi="Times New Roman" w:eastAsia="方正仿宋_GBK" w:cs="Times New Roman"/>
          <w:color w:val="auto"/>
          <w:sz w:val="32"/>
          <w:szCs w:val="32"/>
          <w:highlight w:val="none"/>
        </w:rPr>
        <w:t>万元，全年预算</w:t>
      </w:r>
      <w:r>
        <w:rPr>
          <w:rFonts w:hint="eastAsia" w:eastAsia="方正仿宋_GBK" w:cs="Times New Roman"/>
          <w:color w:val="auto"/>
          <w:sz w:val="32"/>
          <w:szCs w:val="32"/>
          <w:highlight w:val="none"/>
          <w:lang w:val="en-US" w:eastAsia="zh-CN"/>
        </w:rPr>
        <w:t>55</w:t>
      </w:r>
      <w:r>
        <w:rPr>
          <w:rFonts w:hint="default" w:ascii="Times New Roman" w:hAnsi="Times New Roman" w:eastAsia="方正仿宋_GBK" w:cs="Times New Roman"/>
          <w:color w:val="auto"/>
          <w:sz w:val="32"/>
          <w:szCs w:val="32"/>
          <w:highlight w:val="none"/>
        </w:rPr>
        <w:t>万元，实际支出</w:t>
      </w:r>
      <w:r>
        <w:rPr>
          <w:rFonts w:hint="eastAsia" w:eastAsia="方正仿宋_GBK" w:cs="Times New Roman"/>
          <w:color w:val="auto"/>
          <w:sz w:val="32"/>
          <w:szCs w:val="32"/>
          <w:highlight w:val="none"/>
          <w:lang w:val="en-US" w:eastAsia="zh-CN"/>
        </w:rPr>
        <w:t>55</w:t>
      </w:r>
      <w:r>
        <w:rPr>
          <w:rFonts w:hint="default" w:ascii="Times New Roman" w:hAnsi="Times New Roman" w:eastAsia="方正仿宋_GBK" w:cs="Times New Roman"/>
          <w:color w:val="auto"/>
          <w:sz w:val="32"/>
          <w:szCs w:val="32"/>
          <w:highlight w:val="none"/>
        </w:rPr>
        <w:t>万元，预算执行率为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%，项目绩效指标总体完成率为</w:t>
      </w:r>
      <w:r>
        <w:rPr>
          <w:rFonts w:hint="eastAsia" w:eastAsia="方正仿宋_GBK" w:cs="Times New Roman"/>
          <w:color w:val="auto"/>
          <w:sz w:val="32"/>
          <w:szCs w:val="32"/>
          <w:highlight w:val="none"/>
          <w:lang w:val="en-US" w:eastAsia="zh-CN"/>
        </w:rPr>
        <w:t>100</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highlight w:val="none"/>
          <w:lang w:eastAsia="zh-Hans"/>
        </w:rPr>
        <w:t>总体</w:t>
      </w:r>
      <w:r>
        <w:rPr>
          <w:rFonts w:hint="default" w:ascii="Times New Roman" w:hAnsi="Times New Roman" w:eastAsia="方正仿宋_GBK" w:cs="Times New Roman"/>
          <w:color w:val="auto"/>
          <w:sz w:val="32"/>
          <w:szCs w:val="32"/>
          <w:highlight w:val="none"/>
        </w:rPr>
        <w:t>偏差率为</w:t>
      </w:r>
      <w:r>
        <w:rPr>
          <w:rFonts w:hint="eastAsia" w:eastAsia="方正仿宋_GBK" w:cs="Times New Roman"/>
          <w:color w:val="auto"/>
          <w:sz w:val="32"/>
          <w:szCs w:val="32"/>
          <w:highlight w:val="none"/>
          <w:lang w:val="en-US" w:eastAsia="zh-CN"/>
        </w:rPr>
        <w:t>0</w:t>
      </w:r>
      <w:r>
        <w:rPr>
          <w:rFonts w:hint="default" w:ascii="Times New Roman" w:hAnsi="Times New Roman" w:eastAsia="方正仿宋_GBK" w:cs="Times New Roman"/>
          <w:color w:val="auto"/>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在项目资金使用过程中，严格落实把关，再三审核。</w:t>
      </w:r>
      <w:r>
        <w:rPr>
          <w:rFonts w:hint="eastAsia" w:eastAsia="仿宋_GB2312" w:cs="Times New Roman"/>
          <w:color w:val="auto"/>
          <w:sz w:val="32"/>
          <w:szCs w:val="32"/>
          <w:highlight w:val="none"/>
          <w:lang w:val="en-US" w:eastAsia="zh-CN"/>
        </w:rPr>
        <w:t>同时</w:t>
      </w:r>
      <w:r>
        <w:rPr>
          <w:rFonts w:hint="default" w:ascii="Times New Roman" w:hAnsi="Times New Roman" w:eastAsia="仿宋_GB2312" w:cs="Times New Roman"/>
          <w:color w:val="auto"/>
          <w:sz w:val="32"/>
          <w:szCs w:val="32"/>
          <w:highlight w:val="none"/>
        </w:rPr>
        <w:t>做好监督检查</w:t>
      </w:r>
      <w:r>
        <w:rPr>
          <w:rFonts w:hint="eastAsia" w:eastAsia="仿宋_GB2312" w:cs="Times New Roman"/>
          <w:color w:val="auto"/>
          <w:sz w:val="32"/>
          <w:szCs w:val="32"/>
          <w:highlight w:val="none"/>
          <w:lang w:val="en-US" w:eastAsia="zh-CN"/>
        </w:rPr>
        <w:t>工作</w:t>
      </w:r>
      <w:r>
        <w:rPr>
          <w:rFonts w:hint="default" w:ascii="Times New Roman" w:hAnsi="Times New Roman" w:eastAsia="仿宋_GB2312" w:cs="Times New Roman"/>
          <w:color w:val="auto"/>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在项目完成后，</w:t>
      </w:r>
      <w:r>
        <w:rPr>
          <w:rFonts w:hint="eastAsia" w:eastAsia="仿宋_GB2312" w:cs="Times New Roman"/>
          <w:color w:val="auto"/>
          <w:sz w:val="32"/>
          <w:szCs w:val="32"/>
          <w:highlight w:val="none"/>
          <w:lang w:val="en-US" w:eastAsia="zh-CN"/>
        </w:rPr>
        <w:t>通过利益相关深度，公众参与评价，通过问卷满意度调查，盛情邀请辖区居民进行评价填写，将群众的意见纳入评价结果，</w:t>
      </w:r>
      <w:r>
        <w:rPr>
          <w:rFonts w:hint="default" w:ascii="Times New Roman" w:hAnsi="Times New Roman" w:eastAsia="仿宋_GB2312" w:cs="Times New Roman"/>
          <w:color w:val="auto"/>
          <w:sz w:val="32"/>
          <w:szCs w:val="32"/>
          <w:highlight w:val="none"/>
        </w:rPr>
        <w:t>做好调查工作。</w:t>
      </w:r>
    </w:p>
    <w:p>
      <w:pPr>
        <w:keepNext/>
        <w:keepLines/>
        <w:numPr>
          <w:ilvl w:val="0"/>
          <w:numId w:val="6"/>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1" w:name="page8"/>
      <w:bookmarkEnd w:id="1"/>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eastAsia" w:ascii="Times New Roman" w:hAnsi="Times New Roman" w:eastAsia="仿宋_GB2312" w:cs="Times New Roman"/>
          <w:color w:val="auto"/>
          <w:sz w:val="32"/>
          <w:szCs w:val="32"/>
          <w:highlight w:val="none"/>
          <w:lang w:eastAsia="zh-CN"/>
        </w:rPr>
        <w:t>部门专项-社区党建工作经费项目</w:t>
      </w:r>
      <w:r>
        <w:rPr>
          <w:rFonts w:hint="default" w:ascii="Times New Roman" w:hAnsi="Times New Roman" w:eastAsia="仿宋_GB2312" w:cs="Times New Roman"/>
          <w:color w:val="auto"/>
          <w:sz w:val="32"/>
          <w:szCs w:val="32"/>
          <w:highlight w:val="none"/>
          <w:lang w:eastAsia="zh-Hans"/>
        </w:rPr>
        <w:t>无其他需说明的问题。</w:t>
      </w: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2" w:name="_Toc26499_WPSOffice_Level2"/>
      <w:bookmarkStart w:id="3" w:name="_Toc30064_WPSOffice_Level1"/>
      <w:r>
        <w:rPr>
          <w:rFonts w:hint="eastAsia" w:ascii="仿宋_GB2312" w:hAnsi="仿宋_GB2312" w:eastAsia="仿宋_GB2312" w:cs="仿宋_GB2312"/>
          <w:b/>
          <w:bCs/>
          <w:color w:val="auto"/>
          <w:sz w:val="28"/>
          <w:szCs w:val="40"/>
          <w:highlight w:val="none"/>
          <w:lang w:val="en-US" w:eastAsia="zh-CN"/>
        </w:rPr>
        <w:t>部门专项-社区党建工作经费</w:t>
      </w:r>
      <w:r>
        <w:rPr>
          <w:rFonts w:hint="eastAsia" w:ascii="仿宋_GB2312" w:hAnsi="仿宋_GB2312" w:eastAsia="仿宋_GB2312" w:cs="仿宋_GB2312"/>
          <w:b/>
          <w:bCs/>
          <w:color w:val="auto"/>
          <w:sz w:val="28"/>
          <w:szCs w:val="40"/>
          <w:highlight w:val="none"/>
        </w:rPr>
        <w:t>项目绩效评价指标体系及综合评分表</w:t>
      </w:r>
      <w:bookmarkEnd w:id="2"/>
      <w:bookmarkEnd w:id="3"/>
    </w:p>
    <w:tbl>
      <w:tblPr>
        <w:tblStyle w:val="14"/>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621"/>
        <w:gridCol w:w="618"/>
        <w:gridCol w:w="662"/>
        <w:gridCol w:w="1067"/>
        <w:gridCol w:w="3225"/>
        <w:gridCol w:w="804"/>
        <w:gridCol w:w="84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5"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5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2"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6.67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1906" w:h="16838"/>
          <w:pgMar w:top="1440" w:right="1558" w:bottom="1440" w:left="180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683"/>
        <w:gridCol w:w="496"/>
        <w:gridCol w:w="1349"/>
        <w:gridCol w:w="1088"/>
        <w:gridCol w:w="496"/>
        <w:gridCol w:w="497"/>
        <w:gridCol w:w="496"/>
        <w:gridCol w:w="496"/>
        <w:gridCol w:w="496"/>
        <w:gridCol w:w="497"/>
        <w:gridCol w:w="496"/>
        <w:gridCol w:w="438"/>
        <w:gridCol w:w="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主管部门</w:t>
            </w:r>
          </w:p>
        </w:tc>
        <w:tc>
          <w:tcPr>
            <w:tcW w:w="63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库尔勒市</w:t>
            </w:r>
            <w:r>
              <w:rPr>
                <w:rFonts w:hint="eastAsia" w:ascii="宋体" w:hAnsi="宋体" w:cs="宋体"/>
                <w:i w:val="0"/>
                <w:color w:val="auto"/>
                <w:kern w:val="0"/>
                <w:sz w:val="18"/>
                <w:szCs w:val="18"/>
                <w:highlight w:val="none"/>
                <w:u w:val="none"/>
                <w:lang w:val="en-US" w:eastAsia="zh-CN" w:bidi="ar"/>
              </w:rPr>
              <w:t>思源</w:t>
            </w:r>
            <w:r>
              <w:rPr>
                <w:rFonts w:hint="eastAsia" w:ascii="宋体" w:hAnsi="宋体" w:eastAsia="宋体" w:cs="宋体"/>
                <w:i w:val="0"/>
                <w:color w:val="auto"/>
                <w:kern w:val="0"/>
                <w:sz w:val="18"/>
                <w:szCs w:val="18"/>
                <w:highlight w:val="none"/>
                <w:u w:val="none"/>
                <w:lang w:val="en-US" w:eastAsia="zh-CN" w:bidi="ar"/>
              </w:rPr>
              <w:t>街道</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实施单位</w:t>
            </w:r>
          </w:p>
        </w:tc>
        <w:tc>
          <w:tcPr>
            <w:tcW w:w="4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库尔勒市</w:t>
            </w:r>
            <w:r>
              <w:rPr>
                <w:rFonts w:hint="eastAsia" w:ascii="宋体" w:hAnsi="宋体" w:cs="宋体"/>
                <w:i w:val="0"/>
                <w:color w:val="auto"/>
                <w:kern w:val="0"/>
                <w:sz w:val="18"/>
                <w:szCs w:val="18"/>
                <w:highlight w:val="none"/>
                <w:u w:val="none"/>
                <w:lang w:val="en-US" w:eastAsia="zh-CN" w:bidi="ar"/>
              </w:rPr>
              <w:t>思源</w:t>
            </w:r>
            <w:r>
              <w:rPr>
                <w:rFonts w:hint="eastAsia" w:ascii="宋体" w:hAnsi="宋体" w:eastAsia="宋体" w:cs="宋体"/>
                <w:i w:val="0"/>
                <w:color w:val="auto"/>
                <w:kern w:val="0"/>
                <w:sz w:val="18"/>
                <w:szCs w:val="18"/>
                <w:highlight w:val="none"/>
                <w:u w:val="none"/>
                <w:lang w:val="en-US" w:eastAsia="zh-CN" w:bidi="ar"/>
              </w:rPr>
              <w:t>街道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项目资金</w:t>
            </w:r>
            <w:r>
              <w:rPr>
                <w:rFonts w:hint="eastAsia" w:ascii="宋体" w:hAnsi="宋体" w:eastAsia="宋体" w:cs="宋体"/>
                <w:i w:val="0"/>
                <w:color w:val="auto"/>
                <w:kern w:val="0"/>
                <w:sz w:val="18"/>
                <w:szCs w:val="18"/>
                <w:highlight w:val="none"/>
                <w:u w:val="none"/>
                <w:lang w:val="en-US" w:eastAsia="zh-CN" w:bidi="ar"/>
              </w:rPr>
              <w:br w:type="textWrapping"/>
            </w:r>
            <w:r>
              <w:rPr>
                <w:rFonts w:hint="eastAsia" w:ascii="宋体" w:hAnsi="宋体" w:eastAsia="宋体" w:cs="宋体"/>
                <w:i w:val="0"/>
                <w:color w:val="auto"/>
                <w:kern w:val="0"/>
                <w:sz w:val="18"/>
                <w:szCs w:val="18"/>
                <w:highlight w:val="none"/>
                <w:u w:val="none"/>
                <w:lang w:val="en-US" w:eastAsia="zh-CN" w:bidi="ar"/>
              </w:rPr>
              <w:t>（万元）</w:t>
            </w:r>
          </w:p>
        </w:tc>
        <w:tc>
          <w:tcPr>
            <w:tcW w:w="2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资金来源</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年初预算数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全年预算数</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全年执行数</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分值权重</w:t>
            </w:r>
          </w:p>
        </w:tc>
        <w:tc>
          <w:tcPr>
            <w:tcW w:w="15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执行率</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年度资金总额</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cs="宋体"/>
                <w:i w:val="0"/>
                <w:color w:val="auto"/>
                <w:kern w:val="0"/>
                <w:sz w:val="18"/>
                <w:szCs w:val="18"/>
                <w:highlight w:val="none"/>
                <w:u w:val="none"/>
                <w:lang w:val="en-US" w:eastAsia="zh-CN" w:bidi="ar"/>
              </w:rPr>
              <w:t>55</w:t>
            </w:r>
            <w:r>
              <w:rPr>
                <w:rFonts w:hint="eastAsia" w:ascii="宋体" w:hAnsi="宋体" w:eastAsia="宋体" w:cs="宋体"/>
                <w:i w:val="0"/>
                <w:color w:val="auto"/>
                <w:kern w:val="0"/>
                <w:sz w:val="18"/>
                <w:szCs w:val="18"/>
                <w:highlight w:val="none"/>
                <w:u w:val="none"/>
                <w:lang w:val="en-US" w:eastAsia="zh-CN" w:bidi="ar"/>
              </w:rPr>
              <w:t>.00</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rPr>
            </w:pPr>
            <w:r>
              <w:rPr>
                <w:rFonts w:hint="eastAsia" w:ascii="宋体" w:hAnsi="宋体" w:cs="宋体"/>
                <w:i w:val="0"/>
                <w:color w:val="auto"/>
                <w:kern w:val="0"/>
                <w:sz w:val="18"/>
                <w:szCs w:val="18"/>
                <w:highlight w:val="none"/>
                <w:u w:val="none"/>
                <w:lang w:val="en-US" w:eastAsia="zh-CN" w:bidi="ar"/>
              </w:rPr>
              <w:t>55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rPr>
            </w:pPr>
            <w:r>
              <w:rPr>
                <w:rFonts w:hint="eastAsia" w:ascii="宋体" w:hAnsi="宋体" w:cs="宋体"/>
                <w:i w:val="0"/>
                <w:color w:val="auto"/>
                <w:kern w:val="0"/>
                <w:sz w:val="18"/>
                <w:szCs w:val="18"/>
                <w:highlight w:val="none"/>
                <w:u w:val="none"/>
                <w:lang w:val="en-US" w:eastAsia="zh-CN" w:bidi="ar"/>
              </w:rPr>
              <w:t>55</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15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其中：当年财政拨款</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rPr>
            </w:pPr>
            <w:r>
              <w:rPr>
                <w:rFonts w:hint="eastAsia" w:ascii="宋体" w:hAnsi="宋体" w:cs="宋体"/>
                <w:i w:val="0"/>
                <w:color w:val="auto"/>
                <w:kern w:val="0"/>
                <w:sz w:val="18"/>
                <w:szCs w:val="18"/>
                <w:highlight w:val="none"/>
                <w:u w:val="none"/>
                <w:lang w:val="en-US" w:eastAsia="zh-CN" w:bidi="ar"/>
              </w:rPr>
              <w:t>55</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rPr>
            </w:pPr>
            <w:r>
              <w:rPr>
                <w:rFonts w:hint="eastAsia" w:ascii="宋体" w:hAnsi="宋体" w:cs="宋体"/>
                <w:i w:val="0"/>
                <w:color w:val="auto"/>
                <w:kern w:val="0"/>
                <w:sz w:val="18"/>
                <w:szCs w:val="18"/>
                <w:highlight w:val="none"/>
                <w:u w:val="none"/>
                <w:lang w:val="en-US" w:eastAsia="zh-CN" w:bidi="ar"/>
              </w:rPr>
              <w:t>55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rPr>
            </w:pPr>
            <w:r>
              <w:rPr>
                <w:rFonts w:hint="eastAsia" w:ascii="宋体" w:hAnsi="宋体" w:cs="宋体"/>
                <w:i w:val="0"/>
                <w:color w:val="auto"/>
                <w:kern w:val="0"/>
                <w:sz w:val="18"/>
                <w:szCs w:val="18"/>
                <w:highlight w:val="none"/>
                <w:u w:val="none"/>
                <w:lang w:val="en-US" w:eastAsia="zh-CN" w:bidi="ar"/>
              </w:rPr>
              <w:t>55</w:t>
            </w: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15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98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其他资金</w:t>
            </w:r>
          </w:p>
        </w:tc>
        <w:tc>
          <w:tcPr>
            <w:tcW w:w="175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0.00</w:t>
            </w:r>
          </w:p>
        </w:tc>
        <w:tc>
          <w:tcPr>
            <w:tcW w:w="160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0.00</w:t>
            </w:r>
          </w:p>
        </w:tc>
        <w:tc>
          <w:tcPr>
            <w:tcW w:w="1604"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15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年度总体目标</w:t>
            </w:r>
          </w:p>
        </w:tc>
        <w:tc>
          <w:tcPr>
            <w:tcW w:w="90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总体目标</w:t>
            </w:r>
          </w:p>
        </w:tc>
        <w:tc>
          <w:tcPr>
            <w:tcW w:w="4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905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目标1：实现社区党委数全覆盖，保障2个大社区、1个中社区正常运转。目标2：抓好街道各社区基层党组织建设，确保基层党组织各项事业稳定有序开展，保障各项事业规范运行，开展各项活动，受益居民2万余人。</w:t>
            </w:r>
          </w:p>
        </w:tc>
        <w:tc>
          <w:tcPr>
            <w:tcW w:w="40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本项目完成，保障2个大社区、1个中社区的水、电、暖、办公用品、电脑耗材、阵地零星维修等正常运转支出，保障各项工作稳定有序的开展，同时提高了干部的服务水平及居民生活幸福指数，辖区受益居民达2万余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8" w:hRule="atLeast"/>
        </w:trPr>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一级指标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二级指标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三级指标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指标值设置依据</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指标赋分规则</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佐证资料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指标实际完成值</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完成率</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指标得分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年度绩效指标完成情况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产出指标</w:t>
            </w:r>
          </w:p>
        </w:tc>
        <w:tc>
          <w:tcPr>
            <w:tcW w:w="80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数量指标</w:t>
            </w:r>
          </w:p>
        </w:tc>
        <w:tc>
          <w:tcPr>
            <w:tcW w:w="21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保障大型社区数量</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&gt;=3个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历史标准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66.67%</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rPr>
            </w:pPr>
            <w:r>
              <w:rPr>
                <w:rFonts w:hint="eastAsia" w:ascii="宋体" w:hAnsi="宋体" w:cs="宋体"/>
                <w:i w:val="0"/>
                <w:color w:val="auto"/>
                <w:kern w:val="0"/>
                <w:sz w:val="18"/>
                <w:szCs w:val="18"/>
                <w:highlight w:val="none"/>
                <w:u w:val="none"/>
                <w:lang w:val="en-US" w:eastAsia="zh-CN" w:bidi="ar"/>
              </w:rPr>
              <w:t>1.67</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sz w:val="10"/>
                <w:szCs w:val="13"/>
                <w:highlight w:val="none"/>
              </w:rPr>
              <w:t>原因：2024年填报错误，实际只有2个大型社区；改进措施：提高认识，认真填报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数量指标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保障中型社区数量</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&gt;=1个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历史标准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color w:val="auto"/>
                <w:kern w:val="0"/>
                <w:sz w:val="20"/>
                <w:szCs w:val="20"/>
                <w:highlight w:val="none"/>
                <w:u w:val="none"/>
                <w:lang w:val="en-US" w:eastAsia="zh-CN" w:bidi="ar"/>
              </w:rPr>
            </w:pPr>
            <w:r>
              <w:rPr>
                <w:rFonts w:hint="eastAsia" w:ascii="宋体" w:hAnsi="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18"/>
                <w:szCs w:val="18"/>
                <w:highlight w:val="none"/>
                <w:u w:val="none"/>
                <w:lang w:val="en-US" w:eastAsia="zh-CN" w:bidi="ar"/>
              </w:rPr>
            </w:pPr>
            <w:r>
              <w:rPr>
                <w:rFonts w:hint="eastAsia" w:ascii="宋体" w:hAnsi="宋体" w:eastAsia="宋体" w:cs="宋体"/>
                <w:i w:val="0"/>
                <w:color w:val="auto"/>
                <w:kern w:val="0"/>
                <w:sz w:val="18"/>
                <w:szCs w:val="18"/>
                <w:highlight w:val="none"/>
                <w:u w:val="none"/>
                <w:lang w:val="en-US" w:eastAsia="zh-CN" w:bidi="ar"/>
              </w:rPr>
              <w:t>=1个</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kern w:val="0"/>
                <w:sz w:val="18"/>
                <w:szCs w:val="18"/>
                <w:highlight w:val="none"/>
                <w:u w:val="none"/>
                <w:lang w:val="en-US" w:eastAsia="zh-CN" w:bidi="ar"/>
              </w:rPr>
            </w:pPr>
            <w:r>
              <w:rPr>
                <w:rFonts w:hint="eastAsia" w:ascii="宋体" w:hAnsi="宋体" w:cs="宋体"/>
                <w:i w:val="0"/>
                <w:color w:val="auto"/>
                <w:kern w:val="0"/>
                <w:sz w:val="18"/>
                <w:szCs w:val="18"/>
                <w:highlight w:val="none"/>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质量指标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资金使用合规率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历史标准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时效指标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资金支付及时率</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成本指标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经济成本指标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保障大社区运转经费成本</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&lt;=40万元</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cs="宋体"/>
                <w:i w:val="0"/>
                <w:color w:val="auto"/>
                <w:kern w:val="0"/>
                <w:sz w:val="18"/>
                <w:szCs w:val="18"/>
                <w:highlight w:val="none"/>
                <w:u w:val="none"/>
                <w:lang w:val="en-US" w:eastAsia="zh-CN" w:bidi="ar"/>
              </w:rPr>
              <w:t>1</w:t>
            </w:r>
            <w:r>
              <w:rPr>
                <w:rFonts w:hint="eastAsia" w:ascii="宋体" w:hAnsi="宋体" w:eastAsia="宋体" w:cs="宋体"/>
                <w:i w:val="0"/>
                <w:color w:val="auto"/>
                <w:kern w:val="0"/>
                <w:sz w:val="18"/>
                <w:szCs w:val="18"/>
                <w:highlight w:val="none"/>
                <w:u w:val="none"/>
                <w:lang w:val="en-US" w:eastAsia="zh-CN" w:bidi="ar"/>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原始凭证</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=40万元</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cs="宋体"/>
                <w:i w:val="0"/>
                <w:color w:val="auto"/>
                <w:kern w:val="0"/>
                <w:sz w:val="18"/>
                <w:szCs w:val="18"/>
                <w:highlight w:val="none"/>
                <w:u w:val="none"/>
                <w:lang w:val="en-US" w:eastAsia="zh-CN" w:bidi="ar"/>
              </w:rPr>
              <w:t>1</w:t>
            </w:r>
            <w:r>
              <w:rPr>
                <w:rFonts w:hint="eastAsia" w:ascii="宋体" w:hAnsi="宋体" w:eastAsia="宋体" w:cs="宋体"/>
                <w:i w:val="0"/>
                <w:color w:val="auto"/>
                <w:kern w:val="0"/>
                <w:sz w:val="18"/>
                <w:szCs w:val="18"/>
                <w:highlight w:val="none"/>
                <w:u w:val="none"/>
                <w:lang w:val="en-US" w:eastAsia="zh-CN" w:bidi="ar"/>
              </w:rPr>
              <w:t>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经济成本指标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保障中社区运转经费成本</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rPr>
              <w:t>&lt;=15万元</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cs="宋体"/>
                <w:i w:val="0"/>
                <w:color w:val="auto"/>
                <w:kern w:val="0"/>
                <w:sz w:val="18"/>
                <w:szCs w:val="18"/>
                <w:highlight w:val="none"/>
                <w:u w:val="none"/>
                <w:lang w:val="en-US" w:eastAsia="zh-CN" w:bidi="ar"/>
              </w:rPr>
              <w:t>1</w:t>
            </w:r>
            <w:r>
              <w:rPr>
                <w:rFonts w:hint="eastAsia" w:ascii="宋体" w:hAnsi="宋体" w:eastAsia="宋体" w:cs="宋体"/>
                <w:i w:val="0"/>
                <w:color w:val="auto"/>
                <w:kern w:val="0"/>
                <w:sz w:val="18"/>
                <w:szCs w:val="18"/>
                <w:highlight w:val="none"/>
                <w:u w:val="none"/>
                <w:lang w:val="en-US" w:eastAsia="zh-CN" w:bidi="ar"/>
              </w:rPr>
              <w:t>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
              </w:rPr>
              <w:t>原始凭证</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color w:val="auto"/>
                <w:kern w:val="0"/>
                <w:sz w:val="18"/>
                <w:szCs w:val="18"/>
                <w:highlight w:val="none"/>
                <w:u w:val="none"/>
                <w:lang w:val="en-US" w:eastAsia="zh-CN" w:bidi="ar"/>
              </w:rPr>
              <w:t>=</w:t>
            </w:r>
            <w:r>
              <w:rPr>
                <w:rFonts w:hint="eastAsia" w:ascii="宋体" w:hAnsi="宋体" w:cs="宋体"/>
                <w:i w:val="0"/>
                <w:color w:val="auto"/>
                <w:kern w:val="0"/>
                <w:sz w:val="18"/>
                <w:szCs w:val="18"/>
                <w:highlight w:val="none"/>
                <w:u w:val="none"/>
                <w:lang w:val="en-US" w:eastAsia="zh-CN" w:bidi="ar"/>
              </w:rPr>
              <w:t>15</w:t>
            </w:r>
            <w:r>
              <w:rPr>
                <w:rFonts w:hint="eastAsia" w:ascii="宋体" w:hAnsi="宋体" w:eastAsia="宋体" w:cs="宋体"/>
                <w:i w:val="0"/>
                <w:color w:val="auto"/>
                <w:kern w:val="0"/>
                <w:sz w:val="18"/>
                <w:szCs w:val="18"/>
                <w:highlight w:val="none"/>
                <w:u w:val="none"/>
                <w:lang w:val="en-US" w:eastAsia="zh-CN" w:bidi="ar"/>
              </w:rPr>
              <w:t>万元</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cs="宋体"/>
                <w:i w:val="0"/>
                <w:color w:val="auto"/>
                <w:kern w:val="0"/>
                <w:sz w:val="18"/>
                <w:szCs w:val="18"/>
                <w:highlight w:val="none"/>
                <w:u w:val="none"/>
                <w:lang w:val="en-US" w:eastAsia="zh-CN" w:bidi="ar"/>
              </w:rPr>
              <w:t>1</w:t>
            </w:r>
            <w:r>
              <w:rPr>
                <w:rFonts w:hint="eastAsia" w:ascii="宋体" w:hAnsi="宋体" w:eastAsia="宋体" w:cs="宋体"/>
                <w:i w:val="0"/>
                <w:color w:val="auto"/>
                <w:kern w:val="0"/>
                <w:sz w:val="18"/>
                <w:szCs w:val="18"/>
                <w:highlight w:val="none"/>
                <w:u w:val="none"/>
                <w:lang w:val="en-US" w:eastAsia="zh-CN" w:bidi="ar"/>
              </w:rPr>
              <w:t>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社会成本指标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生态环境成本指标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效益指标</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经济效益指标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104"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0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color w:val="auto"/>
                <w:highlight w:val="none"/>
              </w:rPr>
            </w:pPr>
          </w:p>
        </w:tc>
        <w:tc>
          <w:tcPr>
            <w:tcW w:w="80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社会效益指标</w:t>
            </w: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受益居民人数</w:t>
            </w:r>
          </w:p>
        </w:tc>
        <w:tc>
          <w:tcPr>
            <w:tcW w:w="17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b/>
                <w:bCs/>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&gt;=2万人</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计划标准</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按照正常比例赋分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工作资料</w:t>
            </w:r>
          </w:p>
        </w:tc>
        <w:tc>
          <w:tcPr>
            <w:tcW w:w="8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=2.21万人</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20"/>
                <w:szCs w:val="20"/>
                <w:highlight w:val="none"/>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20</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sz w:val="11"/>
                <w:szCs w:val="15"/>
                <w:highlight w:val="none"/>
              </w:rPr>
              <w:t>偏差原因：居民人数增加，改进措施：做好动态预算</w:t>
            </w:r>
          </w:p>
        </w:tc>
      </w:tr>
    </w:tbl>
    <w:p>
      <w:pPr>
        <w:rPr>
          <w:rFonts w:hint="default" w:ascii="Times New Roman" w:hAnsi="Times New Roman" w:cs="Times New Roman"/>
          <w:color w:val="auto"/>
          <w:highlight w:val="none"/>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ECACC1"/>
    <w:multiLevelType w:val="singleLevel"/>
    <w:tmpl w:val="D6ECACC1"/>
    <w:lvl w:ilvl="0" w:tentative="0">
      <w:start w:val="1"/>
      <w:numFmt w:val="decimal"/>
      <w:lvlText w:val="%1."/>
      <w:lvlJc w:val="left"/>
      <w:pPr>
        <w:tabs>
          <w:tab w:val="left" w:pos="312"/>
        </w:tabs>
      </w:pPr>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ODIyOGEwNTk0N2E4NDk3OTFhNWQ2M2Q2ZjFjNmMifQ=="/>
  </w:docVars>
  <w:rsids>
    <w:rsidRoot w:val="FF6C4049"/>
    <w:rsid w:val="006F7242"/>
    <w:rsid w:val="007B168A"/>
    <w:rsid w:val="008B2CFE"/>
    <w:rsid w:val="00F26FF6"/>
    <w:rsid w:val="01610122"/>
    <w:rsid w:val="02510197"/>
    <w:rsid w:val="03EC461B"/>
    <w:rsid w:val="0461077D"/>
    <w:rsid w:val="04D94E8A"/>
    <w:rsid w:val="06AC5F82"/>
    <w:rsid w:val="07397B77"/>
    <w:rsid w:val="0AD007F3"/>
    <w:rsid w:val="0AFA33B1"/>
    <w:rsid w:val="0B6849F1"/>
    <w:rsid w:val="0BC07A21"/>
    <w:rsid w:val="0CBE4E99"/>
    <w:rsid w:val="0E3C619F"/>
    <w:rsid w:val="100F38EC"/>
    <w:rsid w:val="11170296"/>
    <w:rsid w:val="12C66037"/>
    <w:rsid w:val="12CD1ABC"/>
    <w:rsid w:val="13471461"/>
    <w:rsid w:val="13B90F01"/>
    <w:rsid w:val="155E4C4D"/>
    <w:rsid w:val="181066D2"/>
    <w:rsid w:val="1B236400"/>
    <w:rsid w:val="1C671E73"/>
    <w:rsid w:val="1D322C47"/>
    <w:rsid w:val="1D61249D"/>
    <w:rsid w:val="1D8C48AE"/>
    <w:rsid w:val="1F8115E6"/>
    <w:rsid w:val="23616034"/>
    <w:rsid w:val="23696C97"/>
    <w:rsid w:val="24480FA2"/>
    <w:rsid w:val="25227A45"/>
    <w:rsid w:val="25426D68"/>
    <w:rsid w:val="26AC3A6A"/>
    <w:rsid w:val="2B9D7E25"/>
    <w:rsid w:val="2BF5452C"/>
    <w:rsid w:val="2C7C7A3B"/>
    <w:rsid w:val="2F364819"/>
    <w:rsid w:val="2FD63906"/>
    <w:rsid w:val="31426E12"/>
    <w:rsid w:val="326F2E4C"/>
    <w:rsid w:val="37215DAE"/>
    <w:rsid w:val="377273E1"/>
    <w:rsid w:val="38CA40DD"/>
    <w:rsid w:val="395F2B56"/>
    <w:rsid w:val="3B3D2973"/>
    <w:rsid w:val="3BBA0580"/>
    <w:rsid w:val="3BECE841"/>
    <w:rsid w:val="3CDE204C"/>
    <w:rsid w:val="3D363C36"/>
    <w:rsid w:val="3E9C3F6D"/>
    <w:rsid w:val="3EC6487E"/>
    <w:rsid w:val="3EE9391F"/>
    <w:rsid w:val="3FF7797D"/>
    <w:rsid w:val="46690BD8"/>
    <w:rsid w:val="494F01E5"/>
    <w:rsid w:val="49F70BF1"/>
    <w:rsid w:val="4B4340EE"/>
    <w:rsid w:val="503D507A"/>
    <w:rsid w:val="51FA74D0"/>
    <w:rsid w:val="52AA4A52"/>
    <w:rsid w:val="54705E36"/>
    <w:rsid w:val="56C74439"/>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42B176B"/>
    <w:rsid w:val="643EE26D"/>
    <w:rsid w:val="656019A0"/>
    <w:rsid w:val="65F242EE"/>
    <w:rsid w:val="666D7E19"/>
    <w:rsid w:val="68376930"/>
    <w:rsid w:val="68F91E38"/>
    <w:rsid w:val="6A792EE8"/>
    <w:rsid w:val="6B3158B9"/>
    <w:rsid w:val="6BA02A3F"/>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95176BA"/>
    <w:rsid w:val="79A9BD3F"/>
    <w:rsid w:val="7B2D666E"/>
    <w:rsid w:val="7B776F12"/>
    <w:rsid w:val="7BFFFDD0"/>
    <w:rsid w:val="7C2C2FC0"/>
    <w:rsid w:val="7C336E5F"/>
    <w:rsid w:val="7C8D4919"/>
    <w:rsid w:val="7D4F6C86"/>
    <w:rsid w:val="7D7A5F86"/>
    <w:rsid w:val="7E4B683A"/>
    <w:rsid w:val="7E5E656D"/>
    <w:rsid w:val="7E8F2BCB"/>
    <w:rsid w:val="7F37BB4E"/>
    <w:rsid w:val="7FE010F0"/>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4323</Words>
  <Characters>4386</Characters>
  <Lines>58</Lines>
  <Paragraphs>16</Paragraphs>
  <TotalTime>229</TotalTime>
  <ScaleCrop>false</ScaleCrop>
  <LinksUpToDate>false</LinksUpToDate>
  <CharactersWithSpaces>4398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2025-05-27T08:32:00Z</cp:lastPrinted>
  <dcterms:modified xsi:type="dcterms:W3CDTF">2025-08-15T04:28:46Z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B8AF1EC237F84D2DAAE737B55289C448_13</vt:lpwstr>
  </property>
  <property fmtid="{D5CDD505-2E9C-101B-9397-08002B2CF9AE}" pid="4" name="KSOTemplateDocerSaveRecord">
    <vt:lpwstr>eyJoZGlkIjoiNmNjMDU3NTU2MTYzZDYyYTI2MjczMDIyMmFiMmE0NjkiLCJ1c2VySWQiOiI0NTcxMjM4NjMifQ==</vt:lpwstr>
  </property>
</Properties>
</file>