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BBA87">
      <w:pPr>
        <w:widowControl/>
        <w:spacing w:before="0" w:beforeLines="0" w:beforeAutospacing="0" w:after="0" w:afterLines="0" w:afterAutospacing="0" w:line="240" w:lineRule="auto"/>
        <w:jc w:val="left"/>
        <w:rPr>
          <w:rFonts w:ascii="宋体" w:eastAsia="宋体"/>
          <w:sz w:val="32"/>
          <w:szCs w:val="32"/>
        </w:rPr>
      </w:pPr>
    </w:p>
    <w:p w14:paraId="52C9AD84">
      <w:pPr>
        <w:widowControl/>
        <w:spacing w:before="0" w:beforeLines="0" w:beforeAutospacing="0" w:after="0" w:afterLines="0" w:afterAutospacing="0" w:line="240" w:lineRule="auto"/>
        <w:jc w:val="left"/>
        <w:rPr>
          <w:rFonts w:ascii="宋体" w:eastAsia="宋体"/>
          <w:sz w:val="44"/>
          <w:szCs w:val="44"/>
        </w:rPr>
      </w:pPr>
    </w:p>
    <w:p w14:paraId="10956D52">
      <w:pPr>
        <w:widowControl/>
        <w:spacing w:before="0" w:beforeLines="0" w:beforeAutospacing="0" w:after="0" w:afterLines="0" w:afterAutospacing="0" w:line="240" w:lineRule="auto"/>
        <w:jc w:val="left"/>
        <w:rPr>
          <w:rFonts w:ascii="宋体" w:eastAsia="宋体"/>
          <w:sz w:val="44"/>
          <w:szCs w:val="44"/>
        </w:rPr>
      </w:pPr>
    </w:p>
    <w:p w14:paraId="183375C5">
      <w:pPr>
        <w:widowControl/>
        <w:spacing w:before="0" w:beforeLines="0" w:beforeAutospacing="0" w:after="0" w:afterLines="0" w:afterAutospacing="0" w:line="240" w:lineRule="auto"/>
        <w:jc w:val="left"/>
        <w:rPr>
          <w:rFonts w:ascii="宋体" w:eastAsia="宋体"/>
          <w:sz w:val="44"/>
          <w:szCs w:val="44"/>
        </w:rPr>
      </w:pPr>
    </w:p>
    <w:p w14:paraId="4A6379D3">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库尔勒市医疗保障局</w:t>
      </w:r>
    </w:p>
    <w:p w14:paraId="62F52827">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3169F7E3">
      <w:pPr>
        <w:widowControl/>
      </w:pPr>
      <w:r>
        <w:rPr>
          <w:b w:val="0"/>
          <w:sz w:val="0"/>
          <w:szCs w:val="0"/>
        </w:rPr>
        <w:br w:type="page"/>
      </w:r>
    </w:p>
    <w:p w14:paraId="691AF1CE">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14:paraId="5F0B6BF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第一部分部门概况</w:t>
      </w:r>
    </w:p>
    <w:p w14:paraId="7DD9CF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455A992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35EE421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14:paraId="5789557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427F55B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1B4BAD8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16C9FE2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27A48D8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3B9D8B0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6E9A3E5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05E2D35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3338B4E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08BD41D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43B875D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C07BAA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31E26DC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397D6A5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5262DF2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76508C0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0BDAE5A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5B2129E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4C434CB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14:paraId="0CFD718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14:paraId="6B9A74B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3D90D45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20C0C56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5844B48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45803A0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54BD97B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0301BB6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5B842F6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2D78DF0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45CC4385">
      <w:pPr>
        <w:widowControl/>
      </w:pPr>
      <w:r>
        <w:rPr>
          <w:b w:val="0"/>
          <w:sz w:val="0"/>
          <w:szCs w:val="0"/>
        </w:rPr>
        <w:br w:type="page"/>
      </w:r>
    </w:p>
    <w:p w14:paraId="2D6422D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第一部分部门概况</w:t>
      </w:r>
    </w:p>
    <w:p w14:paraId="1251E3F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2E356281">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一）贯彻实施国家、自治区、自治州医疗保险、生育保险、医疗救助等医疗保障制度，组织实施医疗保障制度相关法规、规章、政策、规划和标准；组织实施医疗保险、生育保险、人身意外伤害保险、大额医疗补助、公务员医疗补助、企事业单位补充医疗保险、离休人员和优抚对象医疗保障等政策、管理办法。</w:t>
      </w:r>
    </w:p>
    <w:p w14:paraId="20BAF4EC">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（二）组织实施医疗保障基金监督管理办法，建立健全医疗保险基金安全防控机制，组织推进医疗保障基金支付方式改革工作，编制库尔勒市医疗保障基金预决算草案。</w:t>
      </w:r>
    </w:p>
    <w:p w14:paraId="4C29AEB8">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（三）组织实施医疗保障筹资和待遇政策，完善动态调整和区域调剂平衡机制，统筹城乡医疗保障待遇标准，建立健全与筹资水平相适应的待遇调整机制。贯彻实施长期护理保险制度改革方案。</w:t>
      </w:r>
    </w:p>
    <w:p w14:paraId="357A7C40">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四）监督实施自治区、自治州药品、医用耗材价格和医疗服务项目、医疗服务设施收费等政策。监督实施药品、医用耗材招标采购政策，实施医保支付医药服务价格合理确定和动态调整机制，实施市场主导的社会医药服务价格形成机制，实施医药服务价格信息监测和信息发布制度，指导实施药品、医用耗材招标采购平台建设。</w:t>
      </w:r>
    </w:p>
    <w:p w14:paraId="67502EAE">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（五）组织实施药品、医用耗材、医疗服务项目、医疗服务设施等医保目录和支付标准，推进动态调整机制。</w:t>
      </w:r>
    </w:p>
    <w:p w14:paraId="5CDEA256">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（六）组织实施定点医药机构协议和支付管理办法，完善医疗保障信息评价体系和信息披露制度建设，监督管理纳入医保范围内的医疗服务行为和医疗费用，依法查处医疗保障、生育保险领域违法违规行为。</w:t>
      </w:r>
    </w:p>
    <w:p w14:paraId="620EA297">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七）负责医疗保障经办管理、公共服务体系和信息化建设。贯彻落实国家跨省异地就医管理和费用结算政策，组织实施疆内异地就医和费用结算政策。推进医疗保障关系转移接续制度建设。指导医疗保障经办机构开展业务工作。</w:t>
      </w:r>
    </w:p>
    <w:p w14:paraId="5780A6E0">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（八）完成市党委、市人民政府交办的其它任务。</w:t>
      </w:r>
    </w:p>
    <w:p w14:paraId="00FAFCBE">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（九）职能转变。</w:t>
      </w:r>
    </w:p>
    <w:p w14:paraId="6B75A6EE">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市医疗保障局应推进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14:paraId="2FE7EB8A">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（十）与市卫生健康委员会的有关职责分工。</w:t>
      </w:r>
    </w:p>
    <w:p w14:paraId="657B774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color w:val="000000"/>
          <w:sz w:val="32"/>
          <w:szCs w:val="32"/>
        </w:rPr>
        <w:t>市卫生健康委员会、市医疗保障局等部门在医疗、医保、医药等方面加强制度、政策衔接，建立沟通协商机制，协同推进改革、提高医疗资源使用效率和医疗保障水平。</w:t>
      </w:r>
    </w:p>
    <w:p w14:paraId="5B3F01E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72EAD66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库尔勒市医疗保障局2024年度，实有人数</w:t>
      </w:r>
      <w:r>
        <w:rPr>
          <w:rFonts w:hint="eastAsia" w:ascii="仿宋_GB2312" w:eastAsia="仿宋_GB2312"/>
          <w:b w:val="0"/>
          <w:sz w:val="32"/>
          <w:szCs w:val="32"/>
          <w:lang w:val="en-US" w:eastAsia="zh-CN"/>
        </w:rPr>
        <w:t>58</w:t>
      </w:r>
      <w:r>
        <w:rPr>
          <w:rFonts w:ascii="仿宋_GB2312" w:eastAsia="仿宋_GB2312"/>
          <w:b w:val="0"/>
          <w:sz w:val="32"/>
          <w:szCs w:val="32"/>
        </w:rPr>
        <w:t>人，其中：在职人员</w:t>
      </w:r>
      <w:r>
        <w:rPr>
          <w:rFonts w:hint="eastAsia" w:ascii="仿宋_GB2312" w:eastAsia="仿宋_GB2312"/>
          <w:b w:val="0"/>
          <w:sz w:val="32"/>
          <w:szCs w:val="32"/>
          <w:lang w:val="en-US" w:eastAsia="zh-CN"/>
        </w:rPr>
        <w:t>53</w:t>
      </w:r>
      <w:r>
        <w:rPr>
          <w:rFonts w:ascii="仿宋_GB2312" w:eastAsia="仿宋_GB2312"/>
          <w:b w:val="0"/>
          <w:sz w:val="32"/>
          <w:szCs w:val="32"/>
        </w:rPr>
        <w:t>人，减少3人；离休人员0人，较上年无变化；退休人员5人，增加1人。</w:t>
      </w:r>
    </w:p>
    <w:p w14:paraId="554D807A">
      <w:pPr>
        <w:widowControl/>
        <w:spacing w:before="0" w:beforeLines="0" w:beforeAutospacing="0" w:after="0" w:afterLines="0" w:afterAutospacing="0" w:line="240" w:lineRule="auto"/>
        <w:ind w:firstLine="640" w:firstLineChars="200"/>
        <w:jc w:val="both"/>
        <w:rPr>
          <w:rFonts w:ascii="仿宋_GB2312" w:eastAsia="仿宋_GB2312" w:hAnsiTheme="minorHAnsi" w:cstheme="minorBidi"/>
          <w:b w:val="0"/>
          <w:sz w:val="32"/>
          <w:szCs w:val="32"/>
        </w:rPr>
      </w:pPr>
      <w:r>
        <w:rPr>
          <w:rFonts w:ascii="仿宋_GB2312" w:eastAsia="仿宋_GB2312"/>
          <w:b w:val="0"/>
          <w:sz w:val="32"/>
          <w:szCs w:val="32"/>
        </w:rPr>
        <w:t>库尔勒市医疗保障局本级</w:t>
      </w:r>
      <w:r>
        <w:rPr>
          <w:rFonts w:ascii="仿宋_GB2312" w:eastAsia="仿宋_GB2312" w:hAnsiTheme="minorHAnsi" w:cstheme="minorBidi"/>
          <w:b w:val="0"/>
          <w:sz w:val="32"/>
          <w:szCs w:val="32"/>
        </w:rPr>
        <w:t>下设</w:t>
      </w:r>
      <w:r>
        <w:rPr>
          <w:rFonts w:hint="eastAsia" w:ascii="仿宋_GB2312" w:eastAsia="仿宋_GB2312" w:hAnsiTheme="minorHAnsi" w:cstheme="minorBidi"/>
          <w:b w:val="0"/>
          <w:sz w:val="32"/>
          <w:szCs w:val="32"/>
          <w:lang w:val="en-US" w:eastAsia="zh-CN"/>
        </w:rPr>
        <w:t>2</w:t>
      </w:r>
      <w:r>
        <w:rPr>
          <w:rFonts w:ascii="仿宋_GB2312" w:eastAsia="仿宋_GB2312" w:hAnsiTheme="minorHAnsi" w:cstheme="minorBidi"/>
          <w:b w:val="0"/>
          <w:sz w:val="32"/>
          <w:szCs w:val="32"/>
        </w:rPr>
        <w:t>个</w:t>
      </w:r>
      <w:r>
        <w:rPr>
          <w:rFonts w:hint="eastAsia" w:ascii="仿宋_GB2312" w:eastAsia="仿宋_GB2312" w:hAnsiTheme="minorHAnsi" w:cstheme="minorBidi"/>
          <w:b w:val="0"/>
          <w:sz w:val="32"/>
          <w:szCs w:val="32"/>
        </w:rPr>
        <w:t>科室</w:t>
      </w:r>
      <w:r>
        <w:rPr>
          <w:rFonts w:ascii="仿宋_GB2312" w:eastAsia="仿宋_GB2312" w:hAnsiTheme="minorHAnsi" w:cstheme="minorBidi"/>
          <w:b w:val="0"/>
          <w:sz w:val="32"/>
          <w:szCs w:val="32"/>
        </w:rPr>
        <w:t>，分别是：</w:t>
      </w:r>
      <w:r>
        <w:rPr>
          <w:rFonts w:hint="eastAsia" w:ascii="仿宋_GB2312" w:eastAsia="仿宋_GB2312" w:hAnsiTheme="minorHAnsi" w:cstheme="minorBidi"/>
          <w:b w:val="0"/>
          <w:sz w:val="32"/>
          <w:szCs w:val="32"/>
        </w:rPr>
        <w:t>办公室、业务室</w:t>
      </w:r>
      <w:r>
        <w:rPr>
          <w:rFonts w:ascii="仿宋_GB2312" w:eastAsia="仿宋_GB2312" w:hAnsiTheme="minorHAnsi" w:cstheme="minorBidi"/>
          <w:b w:val="0"/>
          <w:sz w:val="32"/>
          <w:szCs w:val="32"/>
        </w:rPr>
        <w:t>。</w:t>
      </w:r>
    </w:p>
    <w:p w14:paraId="73CE9524">
      <w:pPr>
        <w:widowControl/>
      </w:pPr>
    </w:p>
    <w:p w14:paraId="720AFCF1">
      <w:pPr>
        <w:pStyle w:val="2"/>
      </w:pPr>
    </w:p>
    <w:p w14:paraId="06242E90">
      <w:pPr>
        <w:pStyle w:val="2"/>
      </w:pPr>
    </w:p>
    <w:p w14:paraId="19186505">
      <w:pPr>
        <w:pStyle w:val="2"/>
      </w:pPr>
    </w:p>
    <w:p w14:paraId="4E459AFB">
      <w:pPr>
        <w:pStyle w:val="2"/>
      </w:pPr>
    </w:p>
    <w:p w14:paraId="2F542A9C">
      <w:pPr>
        <w:pStyle w:val="2"/>
      </w:pPr>
    </w:p>
    <w:p w14:paraId="05A3A170">
      <w:pPr>
        <w:pStyle w:val="2"/>
      </w:pPr>
    </w:p>
    <w:p w14:paraId="6F58E3C4">
      <w:pPr>
        <w:pStyle w:val="2"/>
      </w:pPr>
    </w:p>
    <w:p w14:paraId="770F086E">
      <w:pPr>
        <w:pStyle w:val="2"/>
      </w:pPr>
    </w:p>
    <w:p w14:paraId="2E396ACD">
      <w:pPr>
        <w:pStyle w:val="2"/>
      </w:pPr>
    </w:p>
    <w:p w14:paraId="0D791DE4">
      <w:pPr>
        <w:pStyle w:val="2"/>
      </w:pPr>
    </w:p>
    <w:p w14:paraId="00C6B231">
      <w:pPr>
        <w:pStyle w:val="2"/>
      </w:pPr>
    </w:p>
    <w:p w14:paraId="5C6AE4A8">
      <w:pPr>
        <w:pStyle w:val="2"/>
      </w:pPr>
    </w:p>
    <w:p w14:paraId="5E3C13BC">
      <w:pPr>
        <w:pStyle w:val="2"/>
      </w:pPr>
    </w:p>
    <w:p w14:paraId="6F7B2E9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14:paraId="6C9369E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0846395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2024年度收入总计1,234.37万元，其中：本年收入合计1,234.21万元，使用非财政拨款结余（含专用结余）0.00万元，年初结转和结余0.16万元。</w:t>
      </w:r>
    </w:p>
    <w:p w14:paraId="3CECCC8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2024年度支出总计1,234.37万元，其中：本年支出合计1,234.20万元，结余分配0.00万元，年末结转和结余0.17万元。</w:t>
      </w:r>
    </w:p>
    <w:p w14:paraId="2C1E4805">
      <w:pPr>
        <w:snapToGrid w:val="0"/>
        <w:spacing w:line="520" w:lineRule="exact"/>
        <w:ind w:firstLine="640" w:firstLineChars="200"/>
        <w:rPr>
          <w:rFonts w:ascii="仿宋_GB2312" w:eastAsia="仿宋_GB2312"/>
          <w:sz w:val="32"/>
          <w:szCs w:val="32"/>
        </w:rPr>
      </w:pPr>
      <w:r>
        <w:rPr>
          <w:rFonts w:ascii="仿宋_GB2312" w:eastAsia="仿宋_GB2312"/>
          <w:b w:val="0"/>
          <w:sz w:val="32"/>
          <w:szCs w:val="32"/>
        </w:rPr>
        <w:t>收入支出总体与上年相比，增加287.68万元，增长30.39%，主要原因是：</w:t>
      </w:r>
      <w:r>
        <w:rPr>
          <w:rFonts w:hint="eastAsia" w:ascii="仿宋_GB2312" w:hAnsi="宋体" w:eastAsia="仿宋_GB2312" w:cs="仿宋_GB2312"/>
          <w:kern w:val="0"/>
          <w:sz w:val="32"/>
          <w:szCs w:val="32"/>
          <w:lang w:eastAsia="zh-CN"/>
        </w:rPr>
        <w:t>增加了巴财社[2023]79号关于提前下达2024年自治区人身意外伤害保险补助资金预算的资金</w:t>
      </w:r>
      <w:r>
        <w:rPr>
          <w:rFonts w:hint="eastAsia" w:ascii="仿宋_GB2312" w:hAnsi="宋体" w:eastAsia="仿宋_GB2312" w:cs="仿宋_GB2312"/>
          <w:kern w:val="0"/>
          <w:sz w:val="32"/>
          <w:szCs w:val="32"/>
          <w:lang w:val="en-US" w:eastAsia="zh-CN"/>
        </w:rPr>
        <w:t>341万元；减少了去年已完成信息化建设项目支出</w:t>
      </w:r>
      <w:r>
        <w:rPr>
          <w:rFonts w:hint="eastAsia" w:ascii="仿宋_GB2312" w:hAnsi="宋体" w:eastAsia="仿宋_GB2312" w:cs="仿宋_GB2312"/>
          <w:kern w:val="0"/>
          <w:sz w:val="32"/>
          <w:szCs w:val="32"/>
          <w:lang w:eastAsia="zh-CN"/>
        </w:rPr>
        <w:t>。</w:t>
      </w:r>
    </w:p>
    <w:p w14:paraId="6250D25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332CA3D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本年收入1,234.21万元，其中：财政拨款收入1,234.12万元,占99.99%；上级补助收入0.00万元,占0.00%；事业收入0.00万元，占0.00%；经营收入0.00万元,占0.00%；附属单位上缴收入0.00万元，占0.00%；其他收入0.09万元，占0.01%。</w:t>
      </w:r>
    </w:p>
    <w:p w14:paraId="5EFF442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324B6EA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本年支出1,234.20万元，其中：基本支出860.52万元，占69.72%；项目支出373.68万元，占30.28%；上缴上级支出0.00万元，占0.00%；经营支出0.00万元，占0.00%；对附属单位补助支出0.00万元，占0.00%。</w:t>
      </w:r>
    </w:p>
    <w:p w14:paraId="4483ABA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09A153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1,234.12万元，其中：年初财政拨款结转和结余0.00万元，本年财政拨款收入1,234.12万元。财政拨款支出总计1,234.12万元，其中：年末财政拨款结转和结余0.00万元，本年财政拨款支出1,234.12万元。</w:t>
      </w:r>
    </w:p>
    <w:p w14:paraId="7618C278">
      <w:pPr>
        <w:snapToGrid w:val="0"/>
        <w:spacing w:line="520" w:lineRule="exact"/>
        <w:ind w:firstLine="640" w:firstLineChars="200"/>
        <w:rPr>
          <w:rFonts w:ascii="仿宋_GB2312" w:eastAsia="仿宋_GB2312"/>
          <w:sz w:val="32"/>
          <w:szCs w:val="32"/>
        </w:rPr>
      </w:pPr>
      <w:r>
        <w:rPr>
          <w:rFonts w:ascii="仿宋_GB2312" w:eastAsia="仿宋_GB2312"/>
          <w:b w:val="0"/>
          <w:sz w:val="32"/>
          <w:szCs w:val="32"/>
        </w:rPr>
        <w:t>财政拨款收入支出总体与上年相比，增加287.43万元，增长30.36%，主要原因是：</w:t>
      </w:r>
      <w:r>
        <w:rPr>
          <w:rFonts w:hint="eastAsia" w:ascii="仿宋_GB2312" w:hAnsi="宋体" w:eastAsia="仿宋_GB2312" w:cs="仿宋_GB2312"/>
          <w:kern w:val="0"/>
          <w:sz w:val="32"/>
          <w:szCs w:val="32"/>
          <w:lang w:eastAsia="zh-CN"/>
        </w:rPr>
        <w:t>增加了巴财社[2023]79号关于提前下达2024年自治区人身意外伤害保险补助资金预算的资金</w:t>
      </w:r>
      <w:r>
        <w:rPr>
          <w:rFonts w:hint="eastAsia" w:ascii="仿宋_GB2312" w:hAnsi="宋体" w:eastAsia="仿宋_GB2312" w:cs="仿宋_GB2312"/>
          <w:kern w:val="0"/>
          <w:sz w:val="32"/>
          <w:szCs w:val="32"/>
          <w:lang w:val="en-US" w:eastAsia="zh-CN"/>
        </w:rPr>
        <w:t>341万元；减少了去年已完成信息化建设项目支出</w:t>
      </w:r>
      <w:r>
        <w:rPr>
          <w:rFonts w:hint="eastAsia" w:ascii="仿宋_GB2312" w:hAnsi="宋体" w:eastAsia="仿宋_GB2312" w:cs="仿宋_GB2312"/>
          <w:kern w:val="0"/>
          <w:sz w:val="32"/>
          <w:szCs w:val="32"/>
          <w:lang w:eastAsia="zh-CN"/>
        </w:rPr>
        <w:t>。</w:t>
      </w:r>
      <w:r>
        <w:rPr>
          <w:rFonts w:ascii="仿宋_GB2312" w:eastAsia="仿宋_GB2312"/>
          <w:b w:val="0"/>
          <w:sz w:val="32"/>
          <w:szCs w:val="32"/>
        </w:rPr>
        <w:t>与年初预算相比，年初预算数7,235.34万元，决算数1,234.12万元，预决算差异率-82.94%，主要原因是：</w:t>
      </w:r>
      <w:r>
        <w:rPr>
          <w:rFonts w:hint="eastAsia" w:ascii="仿宋_GB2312" w:eastAsia="仿宋_GB2312"/>
          <w:b w:val="0"/>
          <w:sz w:val="32"/>
          <w:szCs w:val="32"/>
        </w:rPr>
        <w:t>根据财政决算口径要求，由财政局代编财政对城乡居民基本医疗保险基金补助5731</w:t>
      </w:r>
      <w:r>
        <w:rPr>
          <w:rFonts w:hint="eastAsia" w:ascii="仿宋_GB2312" w:eastAsia="仿宋_GB2312"/>
          <w:b w:val="0"/>
          <w:sz w:val="32"/>
          <w:szCs w:val="32"/>
          <w:lang w:val="en-US" w:eastAsia="zh-CN"/>
        </w:rPr>
        <w:t>.</w:t>
      </w:r>
      <w:r>
        <w:rPr>
          <w:rFonts w:hint="eastAsia" w:ascii="仿宋_GB2312" w:eastAsia="仿宋_GB2312"/>
          <w:b w:val="0"/>
          <w:sz w:val="32"/>
          <w:szCs w:val="32"/>
        </w:rPr>
        <w:t>3</w:t>
      </w:r>
      <w:r>
        <w:rPr>
          <w:rFonts w:hint="eastAsia" w:ascii="仿宋_GB2312" w:eastAsia="仿宋_GB2312"/>
          <w:b w:val="0"/>
          <w:sz w:val="32"/>
          <w:szCs w:val="32"/>
          <w:lang w:val="en-US" w:eastAsia="zh-CN"/>
        </w:rPr>
        <w:t>3万元</w:t>
      </w:r>
      <w:r>
        <w:rPr>
          <w:rFonts w:ascii="仿宋_GB2312" w:eastAsia="仿宋_GB2312"/>
          <w:b w:val="0"/>
          <w:sz w:val="32"/>
          <w:szCs w:val="32"/>
        </w:rPr>
        <w:t>。</w:t>
      </w:r>
    </w:p>
    <w:p w14:paraId="7B684F5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70B8C883">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14:paraId="5DEC626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2024年度一般公共预算财政拨款支出1,234.12万元，占本年支出合计的99.99%。与上年相比，增加287.43万元，增长30.36%，主要原因是：</w:t>
      </w:r>
      <w:r>
        <w:rPr>
          <w:rFonts w:hint="eastAsia" w:ascii="仿宋_GB2312" w:hAnsi="宋体" w:eastAsia="仿宋_GB2312" w:cs="仿宋_GB2312"/>
          <w:kern w:val="0"/>
          <w:sz w:val="32"/>
          <w:szCs w:val="32"/>
          <w:lang w:eastAsia="zh-CN"/>
        </w:rPr>
        <w:t>增加了巴财社[2023]79号关于提前下达2024年自治区人身意外伤害保险补助资金预算的资金</w:t>
      </w:r>
      <w:r>
        <w:rPr>
          <w:rFonts w:hint="eastAsia" w:ascii="仿宋_GB2312" w:hAnsi="宋体" w:eastAsia="仿宋_GB2312" w:cs="仿宋_GB2312"/>
          <w:kern w:val="0"/>
          <w:sz w:val="32"/>
          <w:szCs w:val="32"/>
          <w:lang w:val="en-US" w:eastAsia="zh-CN"/>
        </w:rPr>
        <w:t>341万元；减少了去年已完成信息化建设项目支出</w:t>
      </w:r>
      <w:r>
        <w:rPr>
          <w:rFonts w:ascii="仿宋_GB2312" w:eastAsia="仿宋_GB2312"/>
          <w:b w:val="0"/>
          <w:sz w:val="32"/>
          <w:szCs w:val="32"/>
        </w:rPr>
        <w:t>。与年初预算相比，年初预算数7,235.34万元，决算数1,234.12万元，预决算差异率-82.94%，主要原因是：</w:t>
      </w:r>
      <w:r>
        <w:rPr>
          <w:rFonts w:hint="eastAsia" w:ascii="仿宋_GB2312" w:eastAsia="仿宋_GB2312"/>
          <w:b w:val="0"/>
          <w:sz w:val="32"/>
          <w:szCs w:val="32"/>
        </w:rPr>
        <w:t>根据财政决算口径要求，由财政局代编财政对城乡居民基本医疗保险基金补助5731</w:t>
      </w:r>
      <w:r>
        <w:rPr>
          <w:rFonts w:hint="eastAsia" w:ascii="仿宋_GB2312" w:eastAsia="仿宋_GB2312"/>
          <w:b w:val="0"/>
          <w:sz w:val="32"/>
          <w:szCs w:val="32"/>
          <w:lang w:val="en-US" w:eastAsia="zh-CN"/>
        </w:rPr>
        <w:t>.</w:t>
      </w:r>
      <w:r>
        <w:rPr>
          <w:rFonts w:hint="eastAsia" w:ascii="仿宋_GB2312" w:eastAsia="仿宋_GB2312"/>
          <w:b w:val="0"/>
          <w:sz w:val="32"/>
          <w:szCs w:val="32"/>
        </w:rPr>
        <w:t>3</w:t>
      </w:r>
      <w:r>
        <w:rPr>
          <w:rFonts w:hint="eastAsia" w:ascii="仿宋_GB2312" w:eastAsia="仿宋_GB2312"/>
          <w:b w:val="0"/>
          <w:sz w:val="32"/>
          <w:szCs w:val="32"/>
          <w:lang w:val="en-US" w:eastAsia="zh-CN"/>
        </w:rPr>
        <w:t>3万</w:t>
      </w:r>
      <w:r>
        <w:rPr>
          <w:rFonts w:hint="eastAsia" w:ascii="仿宋_GB2312" w:eastAsia="仿宋_GB2312"/>
          <w:b w:val="0"/>
          <w:sz w:val="32"/>
          <w:szCs w:val="32"/>
        </w:rPr>
        <w:t>元。</w:t>
      </w:r>
      <w:r>
        <w:rPr>
          <w:rFonts w:ascii="仿宋_GB2312" w:eastAsia="仿宋_GB2312"/>
          <w:b w:val="0"/>
          <w:sz w:val="32"/>
          <w:szCs w:val="32"/>
        </w:rPr>
        <w:t>。</w:t>
      </w:r>
    </w:p>
    <w:p w14:paraId="687FE5DA">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w:t>
      </w:r>
      <w:r>
        <w:rPr>
          <w:rFonts w:ascii="仿宋_GB2312" w:eastAsia="仿宋_GB2312"/>
          <w:b/>
          <w:sz w:val="32"/>
          <w:szCs w:val="32"/>
          <w:highlight w:val="none"/>
        </w:rPr>
        <w:t>般公共预算财政</w:t>
      </w:r>
      <w:r>
        <w:rPr>
          <w:rFonts w:ascii="仿宋_GB2312" w:eastAsia="仿宋_GB2312"/>
          <w:b/>
          <w:sz w:val="32"/>
          <w:szCs w:val="32"/>
        </w:rPr>
        <w:t>拨款支出决算结构情况</w:t>
      </w:r>
    </w:p>
    <w:p w14:paraId="48483CA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一般公共服务支出（类）1.56万元，占0.13%。</w:t>
      </w:r>
    </w:p>
    <w:p w14:paraId="062C384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教育支出（类）1.68万元，占0.14%。</w:t>
      </w:r>
    </w:p>
    <w:p w14:paraId="05047FE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社会保障和就业支出（类）96.80万元，占7.84%。</w:t>
      </w:r>
    </w:p>
    <w:p w14:paraId="309AE74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卫生健康支出（类）1,066.00万元，占86.38%。</w:t>
      </w:r>
    </w:p>
    <w:p w14:paraId="2A64EB4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住房保障支出（类）68.08万元，占5.5</w:t>
      </w:r>
      <w:r>
        <w:rPr>
          <w:rFonts w:hint="eastAsia" w:ascii="仿宋_GB2312" w:eastAsia="仿宋_GB2312"/>
          <w:b w:val="0"/>
          <w:sz w:val="32"/>
          <w:szCs w:val="32"/>
          <w:lang w:val="en-US" w:eastAsia="zh-CN"/>
        </w:rPr>
        <w:t>1</w:t>
      </w:r>
      <w:r>
        <w:rPr>
          <w:rFonts w:ascii="仿宋_GB2312" w:eastAsia="仿宋_GB2312"/>
          <w:b w:val="0"/>
          <w:sz w:val="32"/>
          <w:szCs w:val="32"/>
        </w:rPr>
        <w:t>%。</w:t>
      </w:r>
    </w:p>
    <w:p w14:paraId="67F219CF">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14:paraId="43380805">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一般公共服务支出（类）组织事务（款）其他组织事务支出（项）：支出决算数为1.56万元，比上年决算增加1.56万元，增长100.00%，主要原因是：</w:t>
      </w:r>
      <w:r>
        <w:rPr>
          <w:rFonts w:hint="eastAsia" w:ascii="仿宋_GB2312" w:eastAsia="仿宋_GB2312"/>
          <w:b w:val="0"/>
          <w:sz w:val="32"/>
          <w:szCs w:val="32"/>
        </w:rPr>
        <w:t>年中追加访惠聚经费支出</w:t>
      </w:r>
      <w:r>
        <w:rPr>
          <w:rFonts w:hint="eastAsia" w:ascii="仿宋_GB2312" w:eastAsia="仿宋_GB2312"/>
          <w:b w:val="0"/>
          <w:sz w:val="32"/>
          <w:szCs w:val="32"/>
          <w:lang w:eastAsia="zh-CN"/>
        </w:rPr>
        <w:t>。</w:t>
      </w:r>
    </w:p>
    <w:p w14:paraId="14094865">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教育支出（类）进修及培训（款）培训支出（项）：支出决算数为1.68万元，比上年决算增加0.42万元，增长33.33%，主要原因是：</w:t>
      </w:r>
      <w:r>
        <w:rPr>
          <w:rFonts w:hint="eastAsia" w:ascii="仿宋_GB2312" w:eastAsia="仿宋_GB2312"/>
          <w:b w:val="0"/>
          <w:sz w:val="32"/>
          <w:szCs w:val="32"/>
        </w:rPr>
        <w:t>根据医保政策文件精神，提高医疗保障工作要求，按时参加培训。</w:t>
      </w:r>
    </w:p>
    <w:p w14:paraId="779CEA39">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社会保障和就业支出（类）行政事业单位养老支出（款）行政单位离退休（项）：支出决算数为3.14万元，比上年决算减少0.28万元，下降8.19%，主要原因是：</w:t>
      </w:r>
      <w:r>
        <w:rPr>
          <w:rFonts w:hint="eastAsia" w:ascii="仿宋_GB2312" w:eastAsia="仿宋_GB2312"/>
          <w:b w:val="0"/>
          <w:sz w:val="32"/>
          <w:szCs w:val="32"/>
        </w:rPr>
        <w:t>退休人员年终一次性奖的发放调整</w:t>
      </w:r>
      <w:r>
        <w:rPr>
          <w:rFonts w:hint="eastAsia" w:ascii="仿宋_GB2312" w:eastAsia="仿宋_GB2312"/>
          <w:b w:val="0"/>
          <w:sz w:val="32"/>
          <w:szCs w:val="32"/>
          <w:lang w:eastAsia="zh-CN"/>
        </w:rPr>
        <w:t>。</w:t>
      </w:r>
    </w:p>
    <w:p w14:paraId="28EE472D">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社会保障和就业支出（类）行政事业单位养老支出（款）机关事业单位基本养老保险缴费支出（项）：支出决算数为87.10万元，比上年决算增加8.52万元，增长10.84%，主要原因是：</w:t>
      </w:r>
      <w:r>
        <w:rPr>
          <w:rFonts w:hint="eastAsia" w:ascii="仿宋_GB2312" w:eastAsia="仿宋_GB2312"/>
          <w:b w:val="0"/>
          <w:sz w:val="32"/>
          <w:szCs w:val="32"/>
        </w:rPr>
        <w:t>每年社保基数的调整</w:t>
      </w:r>
      <w:r>
        <w:rPr>
          <w:rFonts w:hint="eastAsia" w:ascii="仿宋_GB2312" w:eastAsia="仿宋_GB2312"/>
          <w:b w:val="0"/>
          <w:sz w:val="32"/>
          <w:szCs w:val="32"/>
          <w:lang w:eastAsia="zh-CN"/>
        </w:rPr>
        <w:t>。</w:t>
      </w:r>
    </w:p>
    <w:p w14:paraId="24514690">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社会保障和就业支出（类）行政事业单位养老支出（款）机关事业单位职业年金缴费支出（项）：支出决算数为6.56万元，比上年决算减少7.73万元，下降54.09%，主要原因是：</w:t>
      </w:r>
      <w:r>
        <w:rPr>
          <w:rFonts w:hint="eastAsia" w:ascii="仿宋_GB2312" w:eastAsia="仿宋_GB2312"/>
          <w:b w:val="0"/>
          <w:sz w:val="32"/>
          <w:szCs w:val="32"/>
        </w:rPr>
        <w:t>今年退休1人，去年退休2人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所以，退休时缴纳职业年金数比上年减少。</w:t>
      </w:r>
    </w:p>
    <w:p w14:paraId="2D4FD2D7">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卫生健康支出（类）行政事业单位医疗（款）行政单位医疗（项）：支出决算数为39.55万元，比上年决算增加3.12万元，增长8.56%，主要原因是：</w:t>
      </w:r>
      <w:r>
        <w:rPr>
          <w:rFonts w:hint="eastAsia" w:ascii="仿宋_GB2312" w:eastAsia="仿宋_GB2312"/>
          <w:b w:val="0"/>
          <w:sz w:val="32"/>
          <w:szCs w:val="32"/>
          <w:lang w:val="en-US" w:eastAsia="zh-CN"/>
        </w:rPr>
        <w:t>当</w:t>
      </w:r>
      <w:r>
        <w:rPr>
          <w:rFonts w:hint="eastAsia" w:ascii="仿宋_GB2312" w:eastAsia="仿宋_GB2312"/>
          <w:b w:val="0"/>
          <w:sz w:val="32"/>
          <w:szCs w:val="32"/>
        </w:rPr>
        <w:t>年社保基数</w:t>
      </w:r>
      <w:r>
        <w:rPr>
          <w:rFonts w:hint="eastAsia" w:ascii="仿宋_GB2312" w:eastAsia="仿宋_GB2312"/>
          <w:b w:val="0"/>
          <w:sz w:val="32"/>
          <w:szCs w:val="32"/>
          <w:lang w:val="en-US" w:eastAsia="zh-CN"/>
        </w:rPr>
        <w:t>增加，导致2024年行政单位医疗支出增加。</w:t>
      </w:r>
    </w:p>
    <w:p w14:paraId="4F94E1F2">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卫生健康支出（类）行政事业单位医疗（款）公务员医疗补助（项）：支出决算数为4.95万元，比上年决算增加0.19万元，增长3.99%，主要原因是：</w:t>
      </w:r>
      <w:r>
        <w:rPr>
          <w:rFonts w:hint="eastAsia" w:ascii="仿宋_GB2312" w:eastAsia="仿宋_GB2312"/>
          <w:b w:val="0"/>
          <w:sz w:val="32"/>
          <w:szCs w:val="32"/>
          <w:lang w:val="en-US" w:eastAsia="zh-CN"/>
        </w:rPr>
        <w:t>当</w:t>
      </w:r>
      <w:r>
        <w:rPr>
          <w:rFonts w:hint="eastAsia" w:ascii="仿宋_GB2312" w:eastAsia="仿宋_GB2312"/>
          <w:b w:val="0"/>
          <w:sz w:val="32"/>
          <w:szCs w:val="32"/>
        </w:rPr>
        <w:t>年社保基数</w:t>
      </w:r>
      <w:r>
        <w:rPr>
          <w:rFonts w:hint="eastAsia" w:ascii="仿宋_GB2312" w:eastAsia="仿宋_GB2312"/>
          <w:b w:val="0"/>
          <w:sz w:val="32"/>
          <w:szCs w:val="32"/>
          <w:lang w:val="en-US" w:eastAsia="zh-CN"/>
        </w:rPr>
        <w:t>增加，导致2024年公务员医疗补助支出增加。</w:t>
      </w:r>
    </w:p>
    <w:p w14:paraId="247D3B69">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卫生健康支出（类）医疗救助（款）其他医疗救助支出（项）：支出决算数为341.00万元，比上年决算增加341.00万元，增长100.00%，主要原因是：</w:t>
      </w:r>
      <w:r>
        <w:rPr>
          <w:rFonts w:hint="eastAsia" w:ascii="仿宋_GB2312" w:eastAsia="仿宋_GB2312"/>
          <w:b w:val="0"/>
          <w:sz w:val="32"/>
          <w:szCs w:val="32"/>
        </w:rPr>
        <w:t>今年增加年初预算项目，关于提前下达2024年自治区人身意外伤害保险补助资金</w:t>
      </w:r>
      <w:r>
        <w:rPr>
          <w:rFonts w:hint="eastAsia" w:ascii="仿宋_GB2312" w:eastAsia="仿宋_GB2312"/>
          <w:b w:val="0"/>
          <w:sz w:val="32"/>
          <w:szCs w:val="32"/>
          <w:lang w:eastAsia="zh-CN"/>
        </w:rPr>
        <w:t>。</w:t>
      </w:r>
    </w:p>
    <w:p w14:paraId="0A217595">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卫生健康支出（类）医疗保障管理事务（款）行政运行（项）：支出决算数为647.82万元，比上年决算减少56.28万元，下降7.99%，主要原因是：</w:t>
      </w:r>
      <w:r>
        <w:rPr>
          <w:rFonts w:hint="eastAsia" w:ascii="仿宋_GB2312" w:eastAsia="仿宋_GB2312"/>
          <w:b w:val="0"/>
          <w:sz w:val="32"/>
          <w:szCs w:val="32"/>
        </w:rPr>
        <w:t>今年未发放十三月奖励工资；上年发放了2020年下半年年度考核奖。</w:t>
      </w:r>
    </w:p>
    <w:p w14:paraId="5A2F9B21">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卫生健康支出（类）医疗保障管理事务（款）信息化建设（项）：支出决算数为0.00万元，比上年决算减少8.00万元，下降100.00%，主要原因是：</w:t>
      </w:r>
      <w:r>
        <w:rPr>
          <w:rFonts w:hint="eastAsia" w:ascii="仿宋_GB2312" w:eastAsia="仿宋_GB2312"/>
          <w:b w:val="0"/>
          <w:sz w:val="32"/>
          <w:szCs w:val="32"/>
        </w:rPr>
        <w:t>2023年度已完成此项信息化建设工作</w:t>
      </w:r>
      <w:r>
        <w:rPr>
          <w:rFonts w:hint="eastAsia" w:ascii="仿宋_GB2312" w:eastAsia="仿宋_GB2312"/>
          <w:b w:val="0"/>
          <w:sz w:val="32"/>
          <w:szCs w:val="32"/>
          <w:lang w:eastAsia="zh-CN"/>
        </w:rPr>
        <w:t>。</w:t>
      </w:r>
    </w:p>
    <w:p w14:paraId="0210D44B">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卫生健康支出（类）医疗保障管理事务（款）医疗保障政策管理（项）：支出决算数为4.18万元，比上年决算减少11.64万元，下降73.58%，主要原因是：</w:t>
      </w:r>
      <w:r>
        <w:rPr>
          <w:rFonts w:hint="eastAsia" w:ascii="仿宋_GB2312" w:eastAsia="仿宋_GB2312"/>
          <w:b w:val="0"/>
          <w:sz w:val="32"/>
          <w:szCs w:val="32"/>
        </w:rPr>
        <w:t>2023年下达医疗服务与保障能力提升补助资金</w:t>
      </w:r>
      <w:r>
        <w:rPr>
          <w:rFonts w:hint="eastAsia" w:ascii="仿宋_GB2312" w:eastAsia="仿宋_GB2312"/>
          <w:b w:val="0"/>
          <w:sz w:val="32"/>
          <w:szCs w:val="32"/>
          <w:lang w:val="en-US" w:eastAsia="zh-CN"/>
        </w:rPr>
        <w:t>分</w:t>
      </w:r>
      <w:r>
        <w:rPr>
          <w:rFonts w:hint="eastAsia" w:ascii="仿宋_GB2312" w:eastAsia="仿宋_GB2312"/>
          <w:b w:val="0"/>
          <w:sz w:val="32"/>
          <w:szCs w:val="32"/>
        </w:rPr>
        <w:t>两年支付完成</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其中2024年支出数为2023年的结余资金，所以较上年减少。</w:t>
      </w:r>
    </w:p>
    <w:p w14:paraId="384544FD">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卫生健康支出（类）医疗保障管理事务（款）医疗保障经办事务（项）：支出决算数为7.06万元，比上年决算增加4.92万元，增长229.91%，主要原因是</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2023年下达</w:t>
      </w:r>
      <w:r>
        <w:rPr>
          <w:rFonts w:hint="eastAsia" w:ascii="仿宋_GB2312" w:eastAsia="仿宋_GB2312"/>
          <w:b w:val="0"/>
          <w:sz w:val="32"/>
          <w:szCs w:val="32"/>
        </w:rPr>
        <w:t>自治区财政全民参保补助资金</w:t>
      </w:r>
      <w:r>
        <w:rPr>
          <w:rFonts w:hint="eastAsia" w:ascii="仿宋_GB2312" w:eastAsia="仿宋_GB2312"/>
          <w:b w:val="0"/>
          <w:sz w:val="32"/>
          <w:szCs w:val="32"/>
          <w:lang w:val="en-US" w:eastAsia="zh-CN"/>
        </w:rPr>
        <w:t>分两年支出，其中2024年支出数为2023年的结余资金，所以较上年减少</w:t>
      </w:r>
      <w:r>
        <w:rPr>
          <w:rFonts w:hint="eastAsia" w:ascii="仿宋_GB2312" w:eastAsia="仿宋_GB2312"/>
          <w:b w:val="0"/>
          <w:sz w:val="32"/>
          <w:szCs w:val="32"/>
          <w:lang w:eastAsia="zh-CN"/>
        </w:rPr>
        <w:t>。</w:t>
      </w:r>
    </w:p>
    <w:p w14:paraId="4B4703A0">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卫生健康支出（类）医疗保障管理事务（款）其他医疗保障管理事务支出（项）：支出决算数为21.44万元，比上年决算增加7.14万元，增长49.93%，主要原因是：</w:t>
      </w:r>
      <w:r>
        <w:rPr>
          <w:rFonts w:hint="eastAsia" w:ascii="仿宋_GB2312" w:eastAsia="仿宋_GB2312"/>
          <w:b w:val="0"/>
          <w:sz w:val="32"/>
          <w:szCs w:val="32"/>
        </w:rPr>
        <w:t>今年增加设立一项部门专项举报奖励资金，发生一例举报奖励；下达2024年自治区财政全民参保及医疗服务经费补助资金功能分类到此分类中</w:t>
      </w:r>
      <w:r>
        <w:rPr>
          <w:rFonts w:hint="eastAsia" w:ascii="仿宋_GB2312" w:eastAsia="仿宋_GB2312"/>
          <w:b w:val="0"/>
          <w:sz w:val="32"/>
          <w:szCs w:val="32"/>
          <w:lang w:eastAsia="zh-CN"/>
        </w:rPr>
        <w:t>。</w:t>
      </w:r>
    </w:p>
    <w:p w14:paraId="1267EA17">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rPr>
      </w:pPr>
      <w:r>
        <w:rPr>
          <w:rFonts w:ascii="仿宋_GB2312" w:eastAsia="仿宋_GB2312"/>
          <w:b w:val="0"/>
          <w:sz w:val="32"/>
          <w:szCs w:val="32"/>
        </w:rPr>
        <w:t>住房保障支出（类）住房改革支出（款）住房公积金（项）：支出决算数为68.08万元，比上年决算增加4.49万元，增长7.06%，主要原因是：</w:t>
      </w:r>
      <w:r>
        <w:rPr>
          <w:rFonts w:hint="eastAsia" w:ascii="仿宋_GB2312" w:eastAsia="仿宋_GB2312"/>
          <w:b w:val="0"/>
          <w:sz w:val="32"/>
          <w:szCs w:val="32"/>
          <w:lang w:val="en-US" w:eastAsia="zh-CN"/>
        </w:rPr>
        <w:t>当</w:t>
      </w:r>
      <w:r>
        <w:rPr>
          <w:rFonts w:hint="eastAsia" w:ascii="仿宋_GB2312" w:eastAsia="仿宋_GB2312"/>
          <w:b w:val="0"/>
          <w:sz w:val="32"/>
          <w:szCs w:val="32"/>
        </w:rPr>
        <w:t>年社保基数</w:t>
      </w:r>
      <w:r>
        <w:rPr>
          <w:rFonts w:hint="eastAsia" w:ascii="仿宋_GB2312" w:eastAsia="仿宋_GB2312"/>
          <w:b w:val="0"/>
          <w:sz w:val="32"/>
          <w:szCs w:val="32"/>
          <w:lang w:val="en-US" w:eastAsia="zh-CN"/>
        </w:rPr>
        <w:t>增加，导致2024年住房公积金支出增加。</w:t>
      </w:r>
    </w:p>
    <w:p w14:paraId="43FD944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2ADDDD2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w:t>
      </w:r>
      <w:r>
        <w:rPr>
          <w:rFonts w:ascii="仿宋_GB2312" w:eastAsia="仿宋_GB2312"/>
          <w:b w:val="0"/>
          <w:sz w:val="32"/>
          <w:szCs w:val="32"/>
          <w:highlight w:val="none"/>
        </w:rPr>
        <w:t>年度一般公共预算财政拨款基本支出860.44万元，其中：人员经费829.69</w:t>
      </w:r>
      <w:r>
        <w:rPr>
          <w:rFonts w:ascii="仿宋_GB2312" w:eastAsia="仿宋_GB2312"/>
          <w:b w:val="0"/>
          <w:sz w:val="32"/>
          <w:szCs w:val="32"/>
        </w:rPr>
        <w:t>万元，包括：基本工资、津贴补贴、奖金、机关事业单位基本养老保险缴费、职业年金缴费、职工基本医疗保险缴费、公务员医疗补助缴费、其他社会保障缴费、住房公积金、其他工资福利支出和退休费。</w:t>
      </w:r>
    </w:p>
    <w:p w14:paraId="63AFDB5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公用经费30.75万元，包括：办公费、印刷费、水费、电费、邮电费、物业管理费、维修（护）费、培训费、劳务费、工会经费和公务用车运行维护费。</w:t>
      </w:r>
    </w:p>
    <w:p w14:paraId="2D34599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7E9D563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本部门本年度无政府性基金预算财政拨款收入支出及结转和结余政府性基金预算财政拨款收入支出决算表为空表。</w:t>
      </w:r>
    </w:p>
    <w:p w14:paraId="281AAEE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17BAA7D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本部门本年度无国有资本经营预算财政拨款收入、支出及结转和结余，国有资本经营预算财政拨款收入支出决算表为空表。</w:t>
      </w:r>
    </w:p>
    <w:p w14:paraId="1E2C34A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4E91BCF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2024年度财政拨款“三公”经费支出3.71万元，比上年增加0.04万元，增长1.09%，主要原因是：</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lang w:eastAsia="zh-CN"/>
        </w:rPr>
        <w:t>辆</w:t>
      </w:r>
      <w:r>
        <w:rPr>
          <w:rFonts w:hint="eastAsia" w:ascii="仿宋_GB2312" w:eastAsia="仿宋_GB2312"/>
          <w:b w:val="0"/>
          <w:sz w:val="32"/>
          <w:szCs w:val="32"/>
        </w:rPr>
        <w:t>车辆使用年限长，公务用车维修费用增加</w:t>
      </w:r>
      <w:r>
        <w:rPr>
          <w:rFonts w:ascii="仿宋_GB2312" w:eastAsia="仿宋_GB2312"/>
          <w:b w:val="0"/>
          <w:sz w:val="32"/>
          <w:szCs w:val="32"/>
        </w:rPr>
        <w:t>。其中：因公出国（境）费支出0.00万元,占0.00%，与上年相比无变化，主要原因是：</w:t>
      </w:r>
      <w:r>
        <w:rPr>
          <w:rFonts w:hint="eastAsia" w:ascii="仿宋_GB2312" w:hAnsi="宋体" w:eastAsia="仿宋_GB2312" w:cs="宋体"/>
          <w:kern w:val="0"/>
          <w:sz w:val="32"/>
          <w:szCs w:val="32"/>
        </w:rPr>
        <w:t>本年未安排</w:t>
      </w:r>
      <w:r>
        <w:rPr>
          <w:rFonts w:ascii="仿宋_GB2312" w:eastAsia="仿宋_GB2312"/>
          <w:b w:val="0"/>
          <w:sz w:val="32"/>
          <w:szCs w:val="32"/>
        </w:rPr>
        <w:t>因公出国（境）费</w:t>
      </w:r>
      <w:r>
        <w:rPr>
          <w:rFonts w:hint="eastAsia" w:ascii="仿宋_GB2312" w:hAnsi="宋体" w:eastAsia="仿宋_GB2312" w:cs="宋体"/>
          <w:kern w:val="0"/>
          <w:sz w:val="32"/>
          <w:szCs w:val="32"/>
        </w:rPr>
        <w:t>支出，无开支内容</w:t>
      </w:r>
      <w:r>
        <w:rPr>
          <w:rFonts w:ascii="仿宋_GB2312" w:eastAsia="仿宋_GB2312"/>
          <w:b w:val="0"/>
          <w:sz w:val="32"/>
          <w:szCs w:val="32"/>
        </w:rPr>
        <w:t>；公务用车购置及运行维护费支出3.71万元，占100.00%，比上年增加0.04万元，增长1.09%，主要原因是：</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lang w:eastAsia="zh-CN"/>
        </w:rPr>
        <w:t>辆</w:t>
      </w:r>
      <w:r>
        <w:rPr>
          <w:rFonts w:hint="eastAsia" w:ascii="仿宋_GB2312" w:eastAsia="仿宋_GB2312"/>
          <w:b w:val="0"/>
          <w:sz w:val="32"/>
          <w:szCs w:val="32"/>
        </w:rPr>
        <w:t>车辆使用年限长，公务用车维修费用增加</w:t>
      </w:r>
      <w:r>
        <w:rPr>
          <w:rFonts w:ascii="仿宋_GB2312" w:eastAsia="仿宋_GB2312"/>
          <w:b w:val="0"/>
          <w:sz w:val="32"/>
          <w:szCs w:val="32"/>
        </w:rPr>
        <w:t>；公务接待费支出0.00万元，占0.00%，与上年相比无变化，主要原因是：</w:t>
      </w:r>
      <w:r>
        <w:rPr>
          <w:rFonts w:hint="eastAsia" w:ascii="仿宋_GB2312" w:hAnsi="宋体" w:eastAsia="仿宋_GB2312" w:cs="宋体"/>
          <w:kern w:val="0"/>
          <w:sz w:val="32"/>
          <w:szCs w:val="32"/>
        </w:rPr>
        <w:t>本年未安排公务接待费支出，无开支内容</w:t>
      </w:r>
      <w:r>
        <w:rPr>
          <w:rFonts w:ascii="仿宋_GB2312" w:eastAsia="仿宋_GB2312"/>
          <w:b w:val="0"/>
          <w:sz w:val="32"/>
          <w:szCs w:val="32"/>
        </w:rPr>
        <w:t>。</w:t>
      </w:r>
    </w:p>
    <w:p w14:paraId="53BCA8E8">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27A400C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14:paraId="50452CC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3.71万元，其中：公务用车购置费0.00万元，公务用车运行维护费3.71万元。公务用车运行维护费开支内容包括。公务用车购置数0辆，公务用车保有量4辆。国有资产占用情况中固定资产车辆4辆，与公务用车保有量差异原因是：国有资产占用情况中固定资产车辆与公务用车保有量</w:t>
      </w:r>
      <w:r>
        <w:rPr>
          <w:rFonts w:hint="eastAsia" w:ascii="仿宋_GB2312" w:eastAsia="仿宋_GB2312"/>
          <w:b w:val="0"/>
          <w:sz w:val="32"/>
          <w:szCs w:val="32"/>
          <w:lang w:eastAsia="zh-CN"/>
        </w:rPr>
        <w:t>无差异</w:t>
      </w:r>
      <w:r>
        <w:rPr>
          <w:rFonts w:ascii="仿宋_GB2312" w:eastAsia="仿宋_GB2312"/>
          <w:b w:val="0"/>
          <w:sz w:val="32"/>
          <w:szCs w:val="32"/>
        </w:rPr>
        <w:t>。</w:t>
      </w:r>
    </w:p>
    <w:p w14:paraId="26ADB88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14:paraId="194E65B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与全年预算相比，财政拨款“三公”经费支出全年预算数3.71万元，决算数3.71万元，预决算差异率0.00%，主要原因是：</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lang w:eastAsia="zh-CN"/>
        </w:rPr>
        <w:t>辆</w:t>
      </w:r>
      <w:r>
        <w:rPr>
          <w:rFonts w:hint="eastAsia" w:ascii="仿宋_GB2312" w:eastAsia="仿宋_GB2312"/>
          <w:b w:val="0"/>
          <w:sz w:val="32"/>
          <w:szCs w:val="32"/>
        </w:rPr>
        <w:t>车辆使用年限长</w:t>
      </w:r>
      <w:r>
        <w:rPr>
          <w:rFonts w:hint="eastAsia" w:ascii="仿宋_GB2312" w:eastAsia="仿宋_GB2312"/>
          <w:b w:val="0"/>
          <w:sz w:val="32"/>
          <w:szCs w:val="32"/>
          <w:lang w:val="en-US" w:eastAsia="zh-CN"/>
        </w:rPr>
        <w:t>,主要用于</w:t>
      </w:r>
      <w:r>
        <w:rPr>
          <w:rFonts w:hint="eastAsia" w:ascii="仿宋_GB2312" w:eastAsia="仿宋_GB2312"/>
          <w:sz w:val="32"/>
          <w:szCs w:val="32"/>
          <w:lang w:eastAsia="zh-CN"/>
        </w:rPr>
        <w:t>车辆保险费、燃油费、车辆维修费、车辆年审运行费</w:t>
      </w:r>
      <w:r>
        <w:rPr>
          <w:rFonts w:hint="eastAsia" w:ascii="仿宋_GB2312" w:eastAsia="仿宋_GB2312"/>
          <w:sz w:val="32"/>
          <w:szCs w:val="32"/>
          <w:highlight w:val="none"/>
          <w:lang w:eastAsia="zh-CN"/>
        </w:rPr>
        <w:t>用</w:t>
      </w:r>
      <w:r>
        <w:rPr>
          <w:rFonts w:ascii="仿宋_GB2312" w:eastAsia="仿宋_GB2312"/>
          <w:b w:val="0"/>
          <w:sz w:val="32"/>
          <w:szCs w:val="32"/>
          <w:highlight w:val="none"/>
        </w:rPr>
        <w:t>。其中：因公出国（境）费全年预算数0.00万元，决算数0.00万元，预决算差异率0.00%，主要原因是：</w:t>
      </w:r>
      <w:r>
        <w:rPr>
          <w:rFonts w:hint="eastAsia" w:ascii="仿宋_GB2312" w:hAnsi="宋体" w:eastAsia="仿宋_GB2312" w:cs="宋体"/>
          <w:kern w:val="0"/>
          <w:sz w:val="32"/>
          <w:szCs w:val="32"/>
          <w:highlight w:val="none"/>
        </w:rPr>
        <w:t>本年未安排</w:t>
      </w:r>
      <w:r>
        <w:rPr>
          <w:rFonts w:ascii="仿宋_GB2312" w:eastAsia="仿宋_GB2312"/>
          <w:b w:val="0"/>
          <w:sz w:val="32"/>
          <w:szCs w:val="32"/>
          <w:highlight w:val="none"/>
        </w:rPr>
        <w:t>因公出国（境）费</w:t>
      </w:r>
      <w:r>
        <w:rPr>
          <w:rFonts w:hint="eastAsia" w:ascii="仿宋_GB2312" w:hAnsi="宋体" w:eastAsia="仿宋_GB2312" w:cs="宋体"/>
          <w:kern w:val="0"/>
          <w:sz w:val="32"/>
          <w:szCs w:val="32"/>
          <w:highlight w:val="none"/>
        </w:rPr>
        <w:t>支出，无开支内容</w:t>
      </w:r>
      <w:r>
        <w:rPr>
          <w:rFonts w:ascii="仿宋_GB2312" w:eastAsia="仿宋_GB2312"/>
          <w:b w:val="0"/>
          <w:sz w:val="32"/>
          <w:szCs w:val="32"/>
          <w:highlight w:val="none"/>
        </w:rPr>
        <w:t>。公务用车购置费全年预算数0.00万元，决算数0.00万元，预决算差异率0.00%，主要原因是：</w:t>
      </w:r>
      <w:r>
        <w:rPr>
          <w:rFonts w:hint="eastAsia" w:ascii="仿宋_GB2312" w:hAnsi="宋体" w:eastAsia="仿宋_GB2312" w:cs="宋体"/>
          <w:kern w:val="0"/>
          <w:sz w:val="32"/>
          <w:szCs w:val="32"/>
          <w:highlight w:val="none"/>
        </w:rPr>
        <w:t>本年未安排</w:t>
      </w:r>
      <w:r>
        <w:rPr>
          <w:rFonts w:ascii="仿宋_GB2312" w:eastAsia="仿宋_GB2312"/>
          <w:b w:val="0"/>
          <w:sz w:val="32"/>
          <w:szCs w:val="32"/>
          <w:highlight w:val="none"/>
        </w:rPr>
        <w:t>公务用车购置费</w:t>
      </w:r>
      <w:r>
        <w:rPr>
          <w:rFonts w:hint="eastAsia" w:ascii="仿宋_GB2312" w:hAnsi="宋体" w:eastAsia="仿宋_GB2312" w:cs="宋体"/>
          <w:kern w:val="0"/>
          <w:sz w:val="32"/>
          <w:szCs w:val="32"/>
          <w:highlight w:val="none"/>
        </w:rPr>
        <w:t>支出，无开支内容</w:t>
      </w:r>
      <w:r>
        <w:rPr>
          <w:rFonts w:ascii="仿宋_GB2312" w:eastAsia="仿宋_GB2312"/>
          <w:b w:val="0"/>
          <w:sz w:val="32"/>
          <w:szCs w:val="32"/>
          <w:highlight w:val="none"/>
        </w:rPr>
        <w:t>。公务用车运行维</w:t>
      </w:r>
      <w:r>
        <w:rPr>
          <w:rFonts w:ascii="仿宋_GB2312" w:eastAsia="仿宋_GB2312"/>
          <w:b w:val="0"/>
          <w:sz w:val="32"/>
          <w:szCs w:val="32"/>
        </w:rPr>
        <w:t>护费全年预算数3.71万元，决算数3.71万元，预决算差异率0.00%，主要原因是：</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lang w:eastAsia="zh-CN"/>
        </w:rPr>
        <w:t>辆</w:t>
      </w:r>
      <w:r>
        <w:rPr>
          <w:rFonts w:hint="eastAsia" w:ascii="仿宋_GB2312" w:eastAsia="仿宋_GB2312"/>
          <w:b w:val="0"/>
          <w:sz w:val="32"/>
          <w:szCs w:val="32"/>
        </w:rPr>
        <w:t>车辆使用年限长</w:t>
      </w:r>
      <w:r>
        <w:rPr>
          <w:rFonts w:hint="eastAsia" w:ascii="仿宋_GB2312" w:eastAsia="仿宋_GB2312"/>
          <w:b w:val="0"/>
          <w:sz w:val="32"/>
          <w:szCs w:val="32"/>
          <w:lang w:val="en-US" w:eastAsia="zh-CN"/>
        </w:rPr>
        <w:t>,主要用于</w:t>
      </w:r>
      <w:r>
        <w:rPr>
          <w:rFonts w:hint="eastAsia" w:ascii="仿宋_GB2312" w:eastAsia="仿宋_GB2312"/>
          <w:sz w:val="32"/>
          <w:szCs w:val="32"/>
          <w:lang w:eastAsia="zh-CN"/>
        </w:rPr>
        <w:t>车辆保险费、燃油费、车辆维修费、车辆年审运行费用</w:t>
      </w:r>
      <w:r>
        <w:rPr>
          <w:rFonts w:ascii="仿宋_GB2312" w:eastAsia="仿宋_GB2312"/>
          <w:b w:val="0"/>
          <w:sz w:val="32"/>
          <w:szCs w:val="32"/>
        </w:rPr>
        <w:t>。公务接待费全年预算数0.00万元，决算数0.00万元，预决算差异率0.00%，主要原因是：</w:t>
      </w:r>
      <w:r>
        <w:rPr>
          <w:rFonts w:hint="eastAsia" w:ascii="仿宋_GB2312" w:hAnsi="宋体" w:eastAsia="仿宋_GB2312" w:cs="宋体"/>
          <w:kern w:val="0"/>
          <w:sz w:val="32"/>
          <w:szCs w:val="32"/>
        </w:rPr>
        <w:t>本年未安排公务接待费支出，无开支内容</w:t>
      </w:r>
      <w:r>
        <w:rPr>
          <w:rFonts w:ascii="仿宋_GB2312" w:eastAsia="仿宋_GB2312"/>
          <w:b w:val="0"/>
          <w:sz w:val="32"/>
          <w:szCs w:val="32"/>
        </w:rPr>
        <w:t>。</w:t>
      </w:r>
    </w:p>
    <w:p w14:paraId="26B89E0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27A07C61">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14:paraId="0721706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w:t>
      </w:r>
      <w:r>
        <w:rPr>
          <w:rFonts w:ascii="仿宋_GB2312" w:eastAsia="仿宋_GB2312"/>
          <w:b w:val="0"/>
          <w:sz w:val="32"/>
          <w:szCs w:val="32"/>
          <w:highlight w:val="none"/>
        </w:rPr>
        <w:t>勒市医疗保障局部门机关运行经费支出30.75万元，比上年减少2.39万元</w:t>
      </w:r>
      <w:r>
        <w:rPr>
          <w:rFonts w:ascii="仿宋_GB2312" w:eastAsia="仿宋_GB2312"/>
          <w:b w:val="0"/>
          <w:sz w:val="32"/>
          <w:szCs w:val="32"/>
        </w:rPr>
        <w:t>，下降7.21%，主要原因是：</w:t>
      </w:r>
      <w:r>
        <w:rPr>
          <w:rFonts w:hint="eastAsia" w:ascii="仿宋_GB2312" w:eastAsia="仿宋_GB2312"/>
          <w:b w:val="0"/>
          <w:sz w:val="32"/>
          <w:szCs w:val="32"/>
          <w:lang w:eastAsia="zh-CN"/>
        </w:rPr>
        <w:t>今年未支付职工福利费支出</w:t>
      </w:r>
      <w:r>
        <w:rPr>
          <w:rFonts w:ascii="仿宋_GB2312" w:eastAsia="仿宋_GB2312"/>
          <w:b w:val="0"/>
          <w:sz w:val="32"/>
          <w:szCs w:val="32"/>
        </w:rPr>
        <w:t>。</w:t>
      </w:r>
    </w:p>
    <w:p w14:paraId="24B2103F">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14:paraId="1ABEEBA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2024年度政府采购支出总额34.01万元，其中：政府采购货物支出18.38万元、政府采购工程支出0.00万元、政府采购服务支出15.63万元。</w:t>
      </w:r>
    </w:p>
    <w:p w14:paraId="0CE15A1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授予中小企业合同金额34.01万元，占政府采购支出总额的100.00%，其中：授予小微企业合同金额23.51万元，占政府采购支出总额的69.13%。</w:t>
      </w:r>
    </w:p>
    <w:p w14:paraId="5328B347">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14:paraId="320C68C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4辆，价值24.20万元，其中：副部（省）级及以上领导用车0辆、主要负责人用车0辆、机要通信用车0辆、应急保障用车0辆、执法执勤用车0辆、特种专业技术用车0辆、离退休干部服务用车0辆、其他用车4辆，其他用车主要是：</w:t>
      </w:r>
      <w:r>
        <w:rPr>
          <w:rFonts w:ascii="仿宋" w:hAnsi="仿宋" w:eastAsia="仿宋" w:cs="仿宋"/>
          <w:color w:val="000000"/>
          <w:kern w:val="0"/>
          <w:sz w:val="31"/>
          <w:szCs w:val="31"/>
          <w:lang w:bidi="ar"/>
        </w:rPr>
        <w:t xml:space="preserve">用于医疗保障业务用车 </w:t>
      </w:r>
      <w:r>
        <w:rPr>
          <w:rFonts w:ascii="仿宋_GB2312" w:eastAsia="仿宋_GB2312"/>
          <w:b w:val="0"/>
          <w:sz w:val="32"/>
          <w:szCs w:val="32"/>
        </w:rPr>
        <w:t>;单价100万元（含）以上设备（不含车辆）0台（套）。</w:t>
      </w:r>
    </w:p>
    <w:p w14:paraId="0E24E9F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27A8C57E">
      <w:pPr>
        <w:snapToGrid w:val="0"/>
        <w:spacing w:line="520" w:lineRule="exact"/>
        <w:ind w:firstLine="640" w:firstLineChars="200"/>
        <w:rPr>
          <w:rFonts w:ascii="仿宋_GB2312" w:eastAsia="仿宋_GB2312"/>
          <w:sz w:val="32"/>
          <w:szCs w:val="32"/>
        </w:rPr>
      </w:pPr>
      <w:r>
        <w:rPr>
          <w:rFonts w:ascii="仿宋_GB2312" w:eastAsia="仿宋_GB2312"/>
          <w:b w:val="0"/>
          <w:sz w:val="32"/>
          <w:szCs w:val="32"/>
        </w:rPr>
        <w:t>根据预算绩效管理要求，本部门2024年度预算绩效管理形成整体支出绩效自评表1个，全年预算总额</w:t>
      </w:r>
      <w:r>
        <w:rPr>
          <w:rFonts w:hint="eastAsia" w:ascii="仿宋_GB2312" w:eastAsia="仿宋_GB2312"/>
          <w:b w:val="0"/>
          <w:sz w:val="32"/>
          <w:szCs w:val="32"/>
          <w:lang w:val="en-US" w:eastAsia="zh-CN"/>
        </w:rPr>
        <w:t>1234.37</w:t>
      </w:r>
      <w:r>
        <w:rPr>
          <w:rFonts w:ascii="仿宋_GB2312" w:eastAsia="仿宋_GB2312"/>
          <w:b w:val="0"/>
          <w:sz w:val="32"/>
          <w:szCs w:val="32"/>
        </w:rPr>
        <w:t>万元，实际执行总额</w:t>
      </w:r>
      <w:r>
        <w:rPr>
          <w:rFonts w:hint="eastAsia" w:ascii="仿宋_GB2312" w:eastAsia="仿宋_GB2312"/>
          <w:b w:val="0"/>
          <w:sz w:val="32"/>
          <w:szCs w:val="32"/>
          <w:lang w:val="en-US" w:eastAsia="zh-CN"/>
        </w:rPr>
        <w:t>1234.20</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7</w:t>
      </w:r>
      <w:r>
        <w:rPr>
          <w:rFonts w:ascii="仿宋_GB2312" w:eastAsia="仿宋_GB2312"/>
          <w:b w:val="0"/>
          <w:sz w:val="32"/>
          <w:szCs w:val="32"/>
        </w:rPr>
        <w:t>个，全年预算数</w:t>
      </w:r>
      <w:r>
        <w:rPr>
          <w:rFonts w:hint="eastAsia" w:ascii="仿宋_GB2312" w:eastAsia="仿宋_GB2312"/>
          <w:b w:val="0"/>
          <w:sz w:val="32"/>
          <w:szCs w:val="32"/>
          <w:lang w:val="en-US" w:eastAsia="zh-CN"/>
        </w:rPr>
        <w:t>6105.95</w:t>
      </w:r>
      <w:r>
        <w:rPr>
          <w:rFonts w:ascii="仿宋_GB2312" w:eastAsia="仿宋_GB2312"/>
          <w:b w:val="0"/>
          <w:sz w:val="32"/>
          <w:szCs w:val="32"/>
        </w:rPr>
        <w:t>万元，全年执行数</w:t>
      </w:r>
      <w:r>
        <w:rPr>
          <w:rFonts w:hint="eastAsia" w:ascii="仿宋_GB2312" w:eastAsia="仿宋_GB2312"/>
          <w:b w:val="0"/>
          <w:sz w:val="32"/>
          <w:szCs w:val="32"/>
          <w:lang w:val="en-US" w:eastAsia="zh-CN"/>
        </w:rPr>
        <w:t>6105</w:t>
      </w:r>
      <w:r>
        <w:rPr>
          <w:rFonts w:ascii="仿宋_GB2312" w:eastAsia="仿宋_GB2312"/>
          <w:b w:val="0"/>
          <w:sz w:val="32"/>
          <w:szCs w:val="32"/>
        </w:rPr>
        <w:t>万元</w:t>
      </w:r>
      <w:r>
        <w:rPr>
          <w:rFonts w:hint="eastAsia" w:ascii="仿宋_GB2312" w:eastAsia="仿宋_GB2312"/>
          <w:b w:val="0"/>
          <w:sz w:val="32"/>
          <w:szCs w:val="32"/>
          <w:lang w:val="en-US" w:eastAsia="zh-CN"/>
        </w:rPr>
        <w:t>(</w:t>
      </w:r>
      <w:r>
        <w:rPr>
          <w:rFonts w:hint="eastAsia" w:ascii="仿宋_GB2312" w:eastAsia="仿宋_GB2312"/>
          <w:b w:val="0"/>
          <w:sz w:val="32"/>
          <w:szCs w:val="32"/>
        </w:rPr>
        <w:t>根据财政决算口径要求，财政对城乡居民基本医疗保险基金补助5731</w:t>
      </w:r>
      <w:r>
        <w:rPr>
          <w:rFonts w:hint="eastAsia" w:ascii="仿宋_GB2312" w:eastAsia="仿宋_GB2312"/>
          <w:b w:val="0"/>
          <w:sz w:val="32"/>
          <w:szCs w:val="32"/>
          <w:lang w:val="en-US" w:eastAsia="zh-CN"/>
        </w:rPr>
        <w:t>.</w:t>
      </w:r>
      <w:r>
        <w:rPr>
          <w:rFonts w:hint="eastAsia" w:ascii="仿宋_GB2312" w:eastAsia="仿宋_GB2312"/>
          <w:b w:val="0"/>
          <w:sz w:val="32"/>
          <w:szCs w:val="32"/>
        </w:rPr>
        <w:t>3</w:t>
      </w:r>
      <w:r>
        <w:rPr>
          <w:rFonts w:hint="eastAsia" w:ascii="仿宋_GB2312" w:eastAsia="仿宋_GB2312"/>
          <w:b w:val="0"/>
          <w:sz w:val="32"/>
          <w:szCs w:val="32"/>
          <w:lang w:val="en-US" w:eastAsia="zh-CN"/>
        </w:rPr>
        <w:t>3万元</w:t>
      </w:r>
      <w:r>
        <w:rPr>
          <w:rFonts w:hint="eastAsia" w:ascii="仿宋_GB2312" w:eastAsia="仿宋_GB2312"/>
          <w:b w:val="0"/>
          <w:sz w:val="32"/>
          <w:szCs w:val="32"/>
        </w:rPr>
        <w:t>由财政局代编</w:t>
      </w:r>
      <w:r>
        <w:rPr>
          <w:rFonts w:hint="eastAsia" w:ascii="仿宋_GB2312" w:eastAsia="仿宋_GB2312"/>
          <w:b w:val="0"/>
          <w:sz w:val="32"/>
          <w:szCs w:val="32"/>
          <w:lang w:val="en-US" w:eastAsia="zh-CN"/>
        </w:rPr>
        <w:t>)</w:t>
      </w:r>
      <w:r>
        <w:rPr>
          <w:rFonts w:ascii="仿宋_GB2312" w:eastAsia="仿宋_GB2312"/>
          <w:b w:val="0"/>
          <w:sz w:val="32"/>
          <w:szCs w:val="32"/>
        </w:rPr>
        <w:t>。预算绩效管理取得的成效：</w:t>
      </w:r>
      <w:r>
        <w:rPr>
          <w:rFonts w:hint="default" w:ascii="Times New Roman" w:hAnsi="Times New Roman" w:eastAsia="仿宋_GB2312" w:cs="Times New Roman"/>
          <w:sz w:val="32"/>
          <w:szCs w:val="32"/>
          <w:highlight w:val="none"/>
          <w:lang w:val="en-US" w:eastAsia="zh-CN"/>
        </w:rPr>
        <w:t>为确保</w:t>
      </w:r>
      <w:r>
        <w:rPr>
          <w:rFonts w:ascii="仿宋_GB2312" w:eastAsia="仿宋_GB2312"/>
          <w:b w:val="0"/>
          <w:sz w:val="32"/>
          <w:szCs w:val="32"/>
        </w:rPr>
        <w:t>预算绩效</w:t>
      </w:r>
      <w:r>
        <w:rPr>
          <w:rFonts w:hint="default" w:ascii="Times New Roman" w:hAnsi="Times New Roman" w:eastAsia="仿宋_GB2312" w:cs="Times New Roman"/>
          <w:sz w:val="32"/>
          <w:szCs w:val="32"/>
          <w:highlight w:val="none"/>
          <w:lang w:val="en-US" w:eastAsia="zh-CN"/>
        </w:rPr>
        <w:t>项目顺利进行，提前做好项目规划，将所列计划再三审核。在项目实施过程中做好定期监督检查，在项目资金</w:t>
      </w:r>
      <w:r>
        <w:rPr>
          <w:rFonts w:hint="eastAsia" w:eastAsia="仿宋_GB2312" w:cs="Times New Roman"/>
          <w:sz w:val="32"/>
          <w:szCs w:val="32"/>
          <w:highlight w:val="none"/>
          <w:lang w:val="en-US" w:eastAsia="zh-CN"/>
        </w:rPr>
        <w:t>拨付</w:t>
      </w:r>
      <w:r>
        <w:rPr>
          <w:rFonts w:hint="default" w:ascii="Times New Roman" w:hAnsi="Times New Roman" w:eastAsia="仿宋_GB2312" w:cs="Times New Roman"/>
          <w:sz w:val="32"/>
          <w:szCs w:val="32"/>
          <w:highlight w:val="none"/>
          <w:lang w:val="en-US" w:eastAsia="zh-CN"/>
        </w:rPr>
        <w:t>过程中，严格落实把关，按照项目资金</w:t>
      </w:r>
      <w:r>
        <w:rPr>
          <w:rFonts w:hint="eastAsia" w:eastAsia="仿宋_GB2312" w:cs="Times New Roman"/>
          <w:sz w:val="32"/>
          <w:szCs w:val="32"/>
          <w:highlight w:val="none"/>
          <w:lang w:val="en-US" w:eastAsia="zh-CN"/>
        </w:rPr>
        <w:t>支付</w:t>
      </w:r>
      <w:r>
        <w:rPr>
          <w:rFonts w:hint="default" w:ascii="Times New Roman" w:hAnsi="Times New Roman" w:eastAsia="仿宋_GB2312" w:cs="Times New Roman"/>
          <w:sz w:val="32"/>
          <w:szCs w:val="32"/>
          <w:highlight w:val="none"/>
          <w:lang w:val="en-US" w:eastAsia="zh-CN"/>
        </w:rPr>
        <w:t>做好审核工作，让</w:t>
      </w:r>
      <w:r>
        <w:rPr>
          <w:rFonts w:ascii="仿宋_GB2312" w:eastAsia="仿宋_GB2312"/>
          <w:b w:val="0"/>
          <w:sz w:val="32"/>
          <w:szCs w:val="32"/>
        </w:rPr>
        <w:t>预算绩效</w:t>
      </w:r>
      <w:r>
        <w:rPr>
          <w:rFonts w:hint="default" w:ascii="Times New Roman" w:hAnsi="Times New Roman" w:eastAsia="仿宋_GB2312" w:cs="Times New Roman"/>
          <w:sz w:val="32"/>
          <w:szCs w:val="32"/>
          <w:highlight w:val="none"/>
          <w:lang w:val="en-US" w:eastAsia="zh-CN"/>
        </w:rPr>
        <w:t>项目资金</w:t>
      </w:r>
      <w:r>
        <w:rPr>
          <w:rFonts w:hint="eastAsia" w:eastAsia="仿宋_GB2312" w:cs="Times New Roman"/>
          <w:sz w:val="32"/>
          <w:szCs w:val="32"/>
          <w:highlight w:val="none"/>
          <w:lang w:val="en-US" w:eastAsia="zh-CN"/>
        </w:rPr>
        <w:t>到位</w:t>
      </w:r>
      <w:r>
        <w:rPr>
          <w:rFonts w:hint="default" w:ascii="Times New Roman" w:hAnsi="Times New Roman" w:eastAsia="仿宋_GB2312" w:cs="Times New Roman"/>
          <w:sz w:val="32"/>
          <w:szCs w:val="32"/>
          <w:highlight w:val="none"/>
          <w:lang w:val="en-US" w:eastAsia="zh-CN"/>
        </w:rPr>
        <w:t>落于实处。对整个项目过程中的经验教训进行归纳和总结，以便在以后的项目中能够更好地应用和改进。高度重视财政绩效评价工作，积极加强部门之间沟通协调，按照财政局通知要求，认真开展绩效自评工作。</w:t>
      </w:r>
      <w:r>
        <w:rPr>
          <w:rFonts w:ascii="仿宋_GB2312" w:eastAsia="仿宋_GB2312"/>
          <w:b w:val="0"/>
          <w:sz w:val="32"/>
          <w:szCs w:val="32"/>
        </w:rPr>
        <w:t>发现的问题及原因：</w:t>
      </w:r>
      <w:r>
        <w:rPr>
          <w:rStyle w:val="5"/>
          <w:rFonts w:hint="eastAsia" w:ascii="仿宋_GB2312" w:hAnsi="楷体" w:eastAsia="仿宋_GB2312" w:cs="Times New Roman"/>
          <w:b w:val="0"/>
          <w:spacing w:val="-4"/>
          <w:sz w:val="32"/>
          <w:szCs w:val="32"/>
          <w:highlight w:val="none"/>
          <w:lang w:val="en-US" w:eastAsia="zh-CN"/>
        </w:rPr>
        <w:t>一是</w:t>
      </w:r>
      <w:r>
        <w:rPr>
          <w:rStyle w:val="5"/>
          <w:rFonts w:hint="default" w:ascii="仿宋_GB2312" w:hAnsi="楷体" w:eastAsia="仿宋_GB2312" w:cs="Times New Roman"/>
          <w:b w:val="0"/>
          <w:spacing w:val="-4"/>
          <w:sz w:val="32"/>
          <w:szCs w:val="32"/>
          <w:highlight w:val="none"/>
          <w:lang w:val="en-US" w:eastAsia="zh-CN"/>
        </w:rPr>
        <w:t>个别干部的医保服务水平和服务能力需进一步提高</w:t>
      </w:r>
      <w:r>
        <w:rPr>
          <w:rStyle w:val="5"/>
          <w:rFonts w:hint="default" w:ascii="仿宋_GB2312" w:hAnsi="楷体" w:eastAsia="仿宋_GB2312" w:cs="Times New Roman"/>
          <w:b w:val="0"/>
          <w:spacing w:val="-4"/>
          <w:sz w:val="32"/>
          <w:szCs w:val="32"/>
          <w:highlight w:val="none"/>
          <w:lang w:eastAsia="zh-CN"/>
        </w:rPr>
        <w:t>。</w:t>
      </w:r>
      <w:r>
        <w:rPr>
          <w:rStyle w:val="5"/>
          <w:rFonts w:hint="default" w:ascii="仿宋_GB2312" w:hAnsi="楷体" w:eastAsia="仿宋_GB2312" w:cs="Times New Roman"/>
          <w:b w:val="0"/>
          <w:spacing w:val="-4"/>
          <w:sz w:val="32"/>
          <w:szCs w:val="32"/>
          <w:highlight w:val="none"/>
          <w:lang w:val="en-US" w:eastAsia="zh-CN"/>
        </w:rPr>
        <w:t>医保业务知识培训力度还不够，部分干部文化素质有限，对系统操作还不够熟悉，服务水平还需进一步提高。医保惠民政策调整较快，干部职工对医保报销比例、缴费基数、门诊共济等政策知识掌握与施行“综柜”服务还存在差距。</w:t>
      </w:r>
      <w:r>
        <w:rPr>
          <w:rStyle w:val="5"/>
          <w:rFonts w:hint="eastAsia" w:ascii="仿宋_GB2312" w:hAnsi="楷体" w:eastAsia="仿宋_GB2312" w:cs="Times New Roman"/>
          <w:b w:val="0"/>
          <w:spacing w:val="-4"/>
          <w:sz w:val="32"/>
          <w:szCs w:val="32"/>
          <w:highlight w:val="none"/>
          <w:lang w:val="en-US" w:eastAsia="zh-CN"/>
        </w:rPr>
        <w:t>二是</w:t>
      </w:r>
      <w:r>
        <w:rPr>
          <w:rStyle w:val="5"/>
          <w:rFonts w:hint="default" w:ascii="仿宋_GB2312" w:hAnsi="楷体" w:eastAsia="仿宋_GB2312" w:cs="Times New Roman"/>
          <w:b w:val="0"/>
          <w:spacing w:val="-4"/>
          <w:sz w:val="32"/>
          <w:szCs w:val="32"/>
          <w:highlight w:val="none"/>
          <w:lang w:val="en-US" w:eastAsia="zh-CN"/>
        </w:rPr>
        <w:t>医保基金监管力量薄弱。目前基金监管人员只有7名，其中只有3名是医学专业，缺少财务和法律等具有相关专业知识的监管人员。在实际检查督导中，存在对具体检查事项指导性和实际操作性不够，导致在医保基金监督检查中依据不足，震慑作用不明显。</w:t>
      </w:r>
      <w:r>
        <w:rPr>
          <w:rFonts w:ascii="仿宋_GB2312" w:eastAsia="仿宋_GB2312"/>
          <w:b w:val="0"/>
          <w:sz w:val="32"/>
          <w:szCs w:val="32"/>
        </w:rPr>
        <w:t>下一步改进措施：</w:t>
      </w:r>
      <w:r>
        <w:rPr>
          <w:rStyle w:val="5"/>
          <w:rFonts w:hint="eastAsia" w:ascii="仿宋_GB2312" w:hAnsi="楷体" w:eastAsia="仿宋_GB2312" w:cs="Times New Roman"/>
          <w:b w:val="0"/>
          <w:spacing w:val="-4"/>
          <w:sz w:val="32"/>
          <w:szCs w:val="32"/>
          <w:highlight w:val="none"/>
          <w:lang w:val="en-US" w:eastAsia="zh-CN"/>
        </w:rPr>
        <w:t>一是</w:t>
      </w:r>
      <w:r>
        <w:rPr>
          <w:rStyle w:val="5"/>
          <w:rFonts w:hint="default" w:ascii="仿宋_GB2312" w:hAnsi="楷体" w:eastAsia="仿宋_GB2312" w:cs="Times New Roman"/>
          <w:b w:val="0"/>
          <w:spacing w:val="-4"/>
          <w:sz w:val="32"/>
          <w:szCs w:val="32"/>
          <w:highlight w:val="none"/>
          <w:lang w:val="en-US" w:eastAsia="zh-CN"/>
        </w:rPr>
        <w:t>个别干部的医保服务水平和服务能力需进一步提高</w:t>
      </w:r>
      <w:r>
        <w:rPr>
          <w:rStyle w:val="5"/>
          <w:rFonts w:hint="eastAsia" w:ascii="仿宋_GB2312" w:hAnsi="楷体" w:eastAsia="仿宋_GB2312" w:cs="Times New Roman"/>
          <w:b w:val="0"/>
          <w:spacing w:val="-4"/>
          <w:sz w:val="32"/>
          <w:szCs w:val="32"/>
          <w:highlight w:val="none"/>
          <w:lang w:val="en-US" w:eastAsia="zh-CN"/>
        </w:rPr>
        <w:t>，可以</w:t>
      </w:r>
      <w:r>
        <w:rPr>
          <w:rStyle w:val="5"/>
          <w:rFonts w:hint="default" w:ascii="仿宋_GB2312" w:hAnsi="楷体" w:eastAsia="仿宋_GB2312" w:cs="Times New Roman"/>
          <w:b w:val="0"/>
          <w:spacing w:val="-4"/>
          <w:sz w:val="32"/>
          <w:szCs w:val="32"/>
          <w:highlight w:val="none"/>
          <w:lang w:val="en-US" w:eastAsia="zh-CN"/>
        </w:rPr>
        <w:t>围绕 “综柜” 服务要求，开展跨业务、跨系统的综合培训，使干部熟悉各类医保业务办理流程，具备 “一窗通办” 能力。安排业务能力强、经验丰富的干部与系统操作不熟练的干部结成帮扶对子，在日常工作中进行现场指导，分享操作技巧和工作经验，帮助其快速提升系统操作水平 。</w:t>
      </w:r>
      <w:r>
        <w:rPr>
          <w:rStyle w:val="5"/>
          <w:rFonts w:hint="eastAsia" w:ascii="仿宋_GB2312" w:hAnsi="楷体" w:eastAsia="仿宋_GB2312" w:cs="Times New Roman"/>
          <w:b w:val="0"/>
          <w:spacing w:val="-4"/>
          <w:sz w:val="32"/>
          <w:szCs w:val="32"/>
          <w:highlight w:val="none"/>
          <w:lang w:val="en-US" w:eastAsia="zh-CN"/>
        </w:rPr>
        <w:t>二是通过</w:t>
      </w:r>
      <w:r>
        <w:rPr>
          <w:rStyle w:val="5"/>
          <w:rFonts w:hint="default" w:ascii="仿宋_GB2312" w:hAnsi="楷体" w:eastAsia="仿宋_GB2312" w:cs="Times New Roman"/>
          <w:b w:val="0"/>
          <w:spacing w:val="-4"/>
          <w:sz w:val="32"/>
          <w:szCs w:val="32"/>
          <w:highlight w:val="none"/>
          <w:lang w:val="en-US" w:eastAsia="zh-CN"/>
        </w:rPr>
        <w:t>人才引进补充</w:t>
      </w:r>
      <w:r>
        <w:rPr>
          <w:rStyle w:val="5"/>
          <w:rFonts w:hint="eastAsia" w:ascii="仿宋_GB2312" w:hAnsi="楷体" w:eastAsia="仿宋_GB2312" w:cs="Times New Roman"/>
          <w:b w:val="0"/>
          <w:spacing w:val="-4"/>
          <w:sz w:val="32"/>
          <w:szCs w:val="32"/>
          <w:highlight w:val="none"/>
          <w:lang w:val="en-US" w:eastAsia="zh-CN"/>
        </w:rPr>
        <w:t>基金监管</w:t>
      </w:r>
      <w:r>
        <w:rPr>
          <w:rStyle w:val="5"/>
          <w:rFonts w:hint="default" w:ascii="仿宋_GB2312" w:hAnsi="楷体" w:eastAsia="仿宋_GB2312" w:cs="Times New Roman"/>
          <w:b w:val="0"/>
          <w:spacing w:val="-4"/>
          <w:sz w:val="32"/>
          <w:szCs w:val="32"/>
          <w:highlight w:val="none"/>
          <w:lang w:val="en-US" w:eastAsia="zh-CN"/>
        </w:rPr>
        <w:t>、法律专业人员，优化监管队伍专业结构</w:t>
      </w:r>
      <w:r>
        <w:rPr>
          <w:rStyle w:val="5"/>
          <w:rFonts w:hint="eastAsia" w:ascii="仿宋_GB2312" w:hAnsi="楷体" w:eastAsia="仿宋_GB2312" w:cs="Times New Roman"/>
          <w:b w:val="0"/>
          <w:spacing w:val="-4"/>
          <w:sz w:val="32"/>
          <w:szCs w:val="32"/>
          <w:highlight w:val="none"/>
          <w:lang w:val="en-US" w:eastAsia="zh-CN"/>
        </w:rPr>
        <w:t>，</w:t>
      </w:r>
      <w:r>
        <w:rPr>
          <w:rStyle w:val="5"/>
          <w:rFonts w:hint="default" w:ascii="仿宋_GB2312" w:hAnsi="楷体" w:eastAsia="仿宋_GB2312" w:cs="Times New Roman"/>
          <w:b w:val="0"/>
          <w:spacing w:val="-4"/>
          <w:sz w:val="32"/>
          <w:szCs w:val="32"/>
          <w:highlight w:val="none"/>
          <w:lang w:val="en-US" w:eastAsia="zh-CN"/>
        </w:rPr>
        <w:t>加强医保基金监管，守好、用好百姓“救命钱”。严格落实医保基金付费前初审、复审机制，实现日常稽核、自查自纠、抽查复查“三个全覆盖”。开展打击欺诈骗保专项整治行动，坚决查处各种违规行为。加强医保基金监管考核管理，推动定点医药机构加强规范管理和自我约束，营造良好的医保基金使用环境</w:t>
      </w:r>
      <w:r>
        <w:rPr>
          <w:rFonts w:ascii="仿宋_GB2312" w:eastAsia="仿宋_GB2312"/>
          <w:b w:val="0"/>
          <w:sz w:val="32"/>
          <w:szCs w:val="32"/>
        </w:rPr>
        <w:t>。</w:t>
      </w:r>
      <w:r>
        <w:rPr>
          <w:rFonts w:hint="eastAsia" w:ascii="仿宋_GB2312" w:eastAsia="仿宋_GB2312"/>
          <w:b w:val="0"/>
          <w:sz w:val="32"/>
          <w:szCs w:val="32"/>
        </w:rPr>
        <w:t>具体项目自评情况附绩效自评表及自评报告。</w:t>
      </w:r>
    </w:p>
    <w:p w14:paraId="2F4D6A7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251B0EB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本部门无其他需说明事项。</w:t>
      </w:r>
    </w:p>
    <w:p w14:paraId="4028056E">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6B9EF103">
      <w:pPr>
        <w:widowControl/>
      </w:pPr>
      <w:r>
        <w:rPr>
          <w:b w:val="0"/>
          <w:sz w:val="0"/>
          <w:szCs w:val="0"/>
        </w:rPr>
        <w:br w:type="page"/>
      </w:r>
    </w:p>
    <w:p w14:paraId="23FD0D4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14:paraId="1EC0D34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201EAAE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2D59E9B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2B29416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454308A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655A658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596D8BF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785506C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F5243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46DD46A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1E33405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11ADF0D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51F3428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2EC1E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3E4F27CF">
      <w:pPr>
        <w:widowControl/>
      </w:pPr>
      <w:r>
        <w:rPr>
          <w:b w:val="0"/>
          <w:sz w:val="0"/>
          <w:szCs w:val="0"/>
        </w:rPr>
        <w:br w:type="page"/>
      </w:r>
    </w:p>
    <w:p w14:paraId="57C8848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14:paraId="0C53CB1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45A3DB0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4C4D8F0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543FD09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096A3DE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2B339E6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2FFBEFA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3BD2C1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CA53DA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14:paraId="7E52DDE1">
      <w:pPr>
        <w:pStyle w:val="2"/>
        <w:rPr>
          <w:rFonts w:ascii="仿宋_GB2312" w:eastAsia="仿宋_GB2312"/>
          <w:b w:val="0"/>
          <w:sz w:val="32"/>
          <w:szCs w:val="32"/>
        </w:rPr>
      </w:pPr>
    </w:p>
    <w:p w14:paraId="6D1CE0FE">
      <w:pPr>
        <w:pStyle w:val="2"/>
        <w:rPr>
          <w:rFonts w:ascii="仿宋_GB2312" w:eastAsia="仿宋_GB2312"/>
          <w:b w:val="0"/>
          <w:sz w:val="32"/>
          <w:szCs w:val="32"/>
        </w:rPr>
      </w:pPr>
    </w:p>
    <w:p w14:paraId="3D1866C3">
      <w:pPr>
        <w:pStyle w:val="2"/>
        <w:rPr>
          <w:rFonts w:ascii="仿宋_GB2312" w:eastAsia="仿宋_GB2312"/>
          <w:b w:val="0"/>
          <w:sz w:val="32"/>
          <w:szCs w:val="32"/>
        </w:rPr>
      </w:pPr>
    </w:p>
    <w:p w14:paraId="0017DCCE">
      <w:pPr>
        <w:pStyle w:val="2"/>
        <w:rPr>
          <w:rFonts w:ascii="仿宋_GB2312" w:eastAsia="仿宋_GB2312"/>
          <w:b w:val="0"/>
          <w:sz w:val="32"/>
          <w:szCs w:val="32"/>
        </w:rPr>
      </w:pPr>
    </w:p>
    <w:p w14:paraId="36D58E09">
      <w:pPr>
        <w:pStyle w:val="2"/>
        <w:rPr>
          <w:rFonts w:ascii="仿宋_GB2312" w:eastAsia="仿宋_GB2312"/>
          <w:b w:val="0"/>
          <w:sz w:val="32"/>
          <w:szCs w:val="32"/>
        </w:rPr>
      </w:pPr>
    </w:p>
    <w:p w14:paraId="5EA3E824">
      <w:pPr>
        <w:pStyle w:val="2"/>
        <w:rPr>
          <w:rFonts w:ascii="仿宋_GB2312" w:eastAsia="仿宋_GB2312"/>
          <w:b w:val="0"/>
          <w:sz w:val="32"/>
          <w:szCs w:val="32"/>
        </w:rPr>
      </w:pPr>
    </w:p>
    <w:p w14:paraId="2D360784">
      <w:pPr>
        <w:pStyle w:val="2"/>
        <w:rPr>
          <w:rFonts w:ascii="仿宋_GB2312" w:eastAsia="仿宋_GB2312"/>
          <w:b w:val="0"/>
          <w:sz w:val="32"/>
          <w:szCs w:val="32"/>
        </w:rPr>
      </w:pPr>
    </w:p>
    <w:p w14:paraId="77FC1915">
      <w:pPr>
        <w:pStyle w:val="2"/>
        <w:rPr>
          <w:rFonts w:ascii="仿宋_GB2312" w:eastAsia="仿宋_GB2312"/>
          <w:b w:val="0"/>
          <w:sz w:val="32"/>
          <w:szCs w:val="32"/>
        </w:rPr>
      </w:pPr>
    </w:p>
    <w:p w14:paraId="01713973">
      <w:pPr>
        <w:pStyle w:val="2"/>
        <w:rPr>
          <w:rFonts w:ascii="仿宋_GB2312" w:eastAsia="仿宋_GB2312"/>
          <w:b w:val="0"/>
          <w:sz w:val="32"/>
          <w:szCs w:val="32"/>
        </w:rPr>
      </w:pPr>
    </w:p>
    <w:p w14:paraId="679B241C">
      <w:pPr>
        <w:pStyle w:val="2"/>
        <w:rPr>
          <w:rFonts w:ascii="仿宋_GB2312" w:eastAsia="仿宋_GB2312"/>
          <w:b w:val="0"/>
          <w:sz w:val="32"/>
          <w:szCs w:val="32"/>
        </w:rPr>
      </w:pPr>
    </w:p>
    <w:p w14:paraId="30657426">
      <w:pPr>
        <w:pStyle w:val="2"/>
        <w:rPr>
          <w:rFonts w:ascii="仿宋_GB2312" w:eastAsia="仿宋_GB2312"/>
          <w:b w:val="0"/>
          <w:sz w:val="32"/>
          <w:szCs w:val="32"/>
        </w:rPr>
      </w:pPr>
    </w:p>
    <w:p w14:paraId="32F7A013">
      <w:pPr>
        <w:pStyle w:val="2"/>
        <w:rPr>
          <w:rFonts w:ascii="仿宋_GB2312" w:eastAsia="仿宋_GB2312"/>
          <w:b w:val="0"/>
          <w:sz w:val="32"/>
          <w:szCs w:val="32"/>
        </w:rPr>
      </w:pPr>
    </w:p>
    <w:p w14:paraId="676296B9">
      <w:pPr>
        <w:pStyle w:val="2"/>
        <w:rPr>
          <w:rFonts w:ascii="仿宋_GB2312" w:eastAsia="仿宋_GB2312"/>
          <w:b w:val="0"/>
          <w:sz w:val="32"/>
          <w:szCs w:val="32"/>
        </w:rPr>
      </w:pPr>
    </w:p>
    <w:p w14:paraId="0177DA6C">
      <w:pPr>
        <w:pStyle w:val="2"/>
        <w:rPr>
          <w:rFonts w:ascii="仿宋_GB2312" w:eastAsia="仿宋_GB2312"/>
          <w:b w:val="0"/>
          <w:sz w:val="32"/>
          <w:szCs w:val="32"/>
        </w:rPr>
      </w:pPr>
    </w:p>
    <w:p w14:paraId="17B1C749">
      <w:pPr>
        <w:pStyle w:val="2"/>
        <w:rPr>
          <w:rFonts w:ascii="仿宋_GB2312" w:eastAsia="仿宋_GB2312"/>
          <w:b w:val="0"/>
          <w:sz w:val="32"/>
          <w:szCs w:val="32"/>
        </w:rPr>
      </w:pPr>
    </w:p>
    <w:p w14:paraId="6F664AE7">
      <w:pPr>
        <w:pStyle w:val="2"/>
        <w:rPr>
          <w:rFonts w:ascii="仿宋_GB2312" w:eastAsia="仿宋_GB2312"/>
          <w:b w:val="0"/>
          <w:sz w:val="32"/>
          <w:szCs w:val="32"/>
        </w:rPr>
      </w:pPr>
    </w:p>
    <w:p w14:paraId="551D272C">
      <w:pPr>
        <w:pStyle w:val="2"/>
        <w:rPr>
          <w:rFonts w:ascii="仿宋_GB2312" w:eastAsia="仿宋_GB2312"/>
          <w:b w:val="0"/>
          <w:sz w:val="32"/>
          <w:szCs w:val="32"/>
        </w:rPr>
      </w:pPr>
    </w:p>
    <w:p w14:paraId="5FDC2887">
      <w:pPr>
        <w:pStyle w:val="2"/>
        <w:rPr>
          <w:rFonts w:ascii="仿宋_GB2312" w:eastAsia="仿宋_GB2312"/>
          <w:b w:val="0"/>
          <w:sz w:val="32"/>
          <w:szCs w:val="32"/>
        </w:rPr>
      </w:pPr>
    </w:p>
    <w:p w14:paraId="68DBB41C">
      <w:pPr>
        <w:pStyle w:val="2"/>
        <w:rPr>
          <w:rFonts w:ascii="仿宋_GB2312" w:eastAsia="仿宋_GB2312"/>
          <w:b w:val="0"/>
          <w:sz w:val="32"/>
          <w:szCs w:val="32"/>
        </w:rPr>
      </w:pPr>
    </w:p>
    <w:p w14:paraId="6B797CFD">
      <w:pPr>
        <w:pStyle w:val="2"/>
        <w:rPr>
          <w:rFonts w:ascii="仿宋_GB2312" w:eastAsia="仿宋_GB2312"/>
          <w:b w:val="0"/>
          <w:sz w:val="32"/>
          <w:szCs w:val="32"/>
        </w:rPr>
      </w:pPr>
    </w:p>
    <w:p w14:paraId="18E5C8E7">
      <w:pPr>
        <w:pStyle w:val="2"/>
        <w:rPr>
          <w:rFonts w:ascii="仿宋_GB2312" w:eastAsia="仿宋_GB2312"/>
          <w:b w:val="0"/>
          <w:sz w:val="32"/>
          <w:szCs w:val="32"/>
        </w:rPr>
      </w:pPr>
    </w:p>
    <w:p w14:paraId="6A52E31E">
      <w:pPr>
        <w:pStyle w:val="2"/>
        <w:keepNext w:val="0"/>
        <w:keepLines w:val="0"/>
        <w:pageBreakBefore w:val="0"/>
        <w:widowControl/>
        <w:kinsoku/>
        <w:wordWrap/>
        <w:overflowPunct/>
        <w:topLinePunct w:val="0"/>
        <w:autoSpaceDE/>
        <w:autoSpaceDN/>
        <w:bidi w:val="0"/>
        <w:adjustRightInd/>
        <w:snapToGrid/>
        <w:spacing w:line="240" w:lineRule="auto"/>
        <w:textAlignment w:val="auto"/>
      </w:pPr>
      <w:r>
        <w:drawing>
          <wp:inline distT="0" distB="0" distL="114300" distR="114300">
            <wp:extent cx="5637530" cy="8111490"/>
            <wp:effectExtent l="0" t="0" r="127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4"/>
                    <a:stretch>
                      <a:fillRect/>
                    </a:stretch>
                  </pic:blipFill>
                  <pic:spPr>
                    <a:xfrm>
                      <a:off x="0" y="0"/>
                      <a:ext cx="5637530" cy="8111490"/>
                    </a:xfrm>
                    <a:prstGeom prst="rect">
                      <a:avLst/>
                    </a:prstGeom>
                    <a:noFill/>
                    <a:ln>
                      <a:noFill/>
                    </a:ln>
                  </pic:spPr>
                </pic:pic>
              </a:graphicData>
            </a:graphic>
          </wp:inline>
        </w:drawing>
      </w:r>
    </w:p>
    <w:p w14:paraId="43A02E64">
      <w:pPr>
        <w:pStyle w:val="2"/>
        <w:keepNext w:val="0"/>
        <w:keepLines w:val="0"/>
        <w:pageBreakBefore w:val="0"/>
        <w:widowControl/>
        <w:kinsoku/>
        <w:wordWrap/>
        <w:overflowPunct/>
        <w:topLinePunct w:val="0"/>
        <w:autoSpaceDE/>
        <w:autoSpaceDN/>
        <w:bidi w:val="0"/>
        <w:adjustRightInd/>
        <w:snapToGrid/>
        <w:spacing w:line="240" w:lineRule="auto"/>
        <w:textAlignment w:val="auto"/>
      </w:pPr>
      <w:r>
        <w:drawing>
          <wp:inline distT="0" distB="0" distL="114300" distR="114300">
            <wp:extent cx="5633720" cy="7903210"/>
            <wp:effectExtent l="0" t="0" r="508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633720" cy="7903210"/>
                    </a:xfrm>
                    <a:prstGeom prst="rect">
                      <a:avLst/>
                    </a:prstGeom>
                    <a:noFill/>
                    <a:ln>
                      <a:noFill/>
                    </a:ln>
                  </pic:spPr>
                </pic:pic>
              </a:graphicData>
            </a:graphic>
          </wp:inline>
        </w:drawing>
      </w:r>
    </w:p>
    <w:p w14:paraId="29FF1E5E">
      <w:pPr>
        <w:pStyle w:val="2"/>
        <w:keepNext w:val="0"/>
        <w:keepLines w:val="0"/>
        <w:pageBreakBefore w:val="0"/>
        <w:widowControl/>
        <w:kinsoku/>
        <w:wordWrap/>
        <w:overflowPunct/>
        <w:topLinePunct w:val="0"/>
        <w:autoSpaceDE/>
        <w:autoSpaceDN/>
        <w:bidi w:val="0"/>
        <w:adjustRightInd/>
        <w:snapToGrid/>
        <w:spacing w:line="240" w:lineRule="auto"/>
        <w:textAlignment w:val="auto"/>
      </w:pPr>
    </w:p>
    <w:p w14:paraId="532693D2">
      <w:pPr>
        <w:pStyle w:val="2"/>
        <w:keepNext w:val="0"/>
        <w:keepLines w:val="0"/>
        <w:pageBreakBefore w:val="0"/>
        <w:widowControl/>
        <w:kinsoku/>
        <w:wordWrap/>
        <w:overflowPunct/>
        <w:topLinePunct w:val="0"/>
        <w:autoSpaceDE/>
        <w:autoSpaceDN/>
        <w:bidi w:val="0"/>
        <w:adjustRightInd/>
        <w:snapToGrid/>
        <w:spacing w:line="240" w:lineRule="auto"/>
        <w:textAlignment w:val="auto"/>
      </w:pPr>
      <w:r>
        <w:drawing>
          <wp:inline distT="0" distB="0" distL="114300" distR="114300">
            <wp:extent cx="5632450" cy="8008620"/>
            <wp:effectExtent l="0" t="0" r="635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632450" cy="8008620"/>
                    </a:xfrm>
                    <a:prstGeom prst="rect">
                      <a:avLst/>
                    </a:prstGeom>
                    <a:noFill/>
                    <a:ln>
                      <a:noFill/>
                    </a:ln>
                  </pic:spPr>
                </pic:pic>
              </a:graphicData>
            </a:graphic>
          </wp:inline>
        </w:drawing>
      </w:r>
    </w:p>
    <w:p w14:paraId="1E021A0F">
      <w:pPr>
        <w:pStyle w:val="2"/>
        <w:keepNext w:val="0"/>
        <w:keepLines w:val="0"/>
        <w:pageBreakBefore w:val="0"/>
        <w:widowControl/>
        <w:kinsoku/>
        <w:wordWrap/>
        <w:overflowPunct/>
        <w:topLinePunct w:val="0"/>
        <w:autoSpaceDE/>
        <w:autoSpaceDN/>
        <w:bidi w:val="0"/>
        <w:adjustRightInd/>
        <w:snapToGrid/>
        <w:spacing w:line="240" w:lineRule="auto"/>
        <w:textAlignment w:val="auto"/>
      </w:pPr>
      <w:r>
        <w:drawing>
          <wp:inline distT="0" distB="0" distL="114300" distR="114300">
            <wp:extent cx="5636895" cy="8016240"/>
            <wp:effectExtent l="0" t="0" r="1905"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7"/>
                    <a:stretch>
                      <a:fillRect/>
                    </a:stretch>
                  </pic:blipFill>
                  <pic:spPr>
                    <a:xfrm>
                      <a:off x="0" y="0"/>
                      <a:ext cx="5636895" cy="8016240"/>
                    </a:xfrm>
                    <a:prstGeom prst="rect">
                      <a:avLst/>
                    </a:prstGeom>
                    <a:noFill/>
                    <a:ln>
                      <a:noFill/>
                    </a:ln>
                  </pic:spPr>
                </pic:pic>
              </a:graphicData>
            </a:graphic>
          </wp:inline>
        </w:drawing>
      </w:r>
    </w:p>
    <w:p w14:paraId="302531EA">
      <w:pPr>
        <w:pStyle w:val="2"/>
        <w:keepNext w:val="0"/>
        <w:keepLines w:val="0"/>
        <w:pageBreakBefore w:val="0"/>
        <w:widowControl/>
        <w:kinsoku/>
        <w:wordWrap/>
        <w:overflowPunct/>
        <w:topLinePunct w:val="0"/>
        <w:autoSpaceDE/>
        <w:autoSpaceDN/>
        <w:bidi w:val="0"/>
        <w:adjustRightInd/>
        <w:snapToGrid/>
        <w:spacing w:line="240" w:lineRule="auto"/>
        <w:textAlignment w:val="auto"/>
        <w:rPr>
          <w:rFonts w:ascii="仿宋_GB2312" w:eastAsia="仿宋_GB2312"/>
          <w:b w:val="0"/>
          <w:sz w:val="32"/>
          <w:szCs w:val="32"/>
        </w:rPr>
      </w:pPr>
      <w:r>
        <w:drawing>
          <wp:inline distT="0" distB="0" distL="114300" distR="114300">
            <wp:extent cx="5636260" cy="7826375"/>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636260" cy="7826375"/>
                    </a:xfrm>
                    <a:prstGeom prst="rect">
                      <a:avLst/>
                    </a:prstGeom>
                    <a:noFill/>
                    <a:ln>
                      <a:noFill/>
                    </a:ln>
                  </pic:spPr>
                </pic:pic>
              </a:graphicData>
            </a:graphic>
          </wp:inline>
        </w:drawing>
      </w:r>
    </w:p>
    <w:p w14:paraId="2D3B51EF">
      <w:pPr>
        <w:pStyle w:val="2"/>
        <w:keepNext w:val="0"/>
        <w:keepLines w:val="0"/>
        <w:pageBreakBefore w:val="0"/>
        <w:widowControl/>
        <w:kinsoku/>
        <w:wordWrap/>
        <w:overflowPunct/>
        <w:topLinePunct w:val="0"/>
        <w:autoSpaceDE/>
        <w:autoSpaceDN/>
        <w:bidi w:val="0"/>
        <w:adjustRightInd/>
        <w:snapToGrid/>
        <w:spacing w:line="240" w:lineRule="auto"/>
        <w:textAlignment w:val="auto"/>
        <w:rPr>
          <w:rFonts w:ascii="仿宋_GB2312" w:eastAsia="仿宋_GB2312"/>
          <w:b w:val="0"/>
          <w:sz w:val="32"/>
          <w:szCs w:val="32"/>
        </w:rPr>
      </w:pPr>
      <w:r>
        <w:drawing>
          <wp:inline distT="0" distB="0" distL="114300" distR="114300">
            <wp:extent cx="5638800" cy="812800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9"/>
                    <a:stretch>
                      <a:fillRect/>
                    </a:stretch>
                  </pic:blipFill>
                  <pic:spPr>
                    <a:xfrm>
                      <a:off x="0" y="0"/>
                      <a:ext cx="5638800" cy="8128000"/>
                    </a:xfrm>
                    <a:prstGeom prst="rect">
                      <a:avLst/>
                    </a:prstGeom>
                    <a:noFill/>
                    <a:ln>
                      <a:noFill/>
                    </a:ln>
                  </pic:spPr>
                </pic:pic>
              </a:graphicData>
            </a:graphic>
          </wp:inline>
        </w:drawing>
      </w:r>
    </w:p>
    <w:p w14:paraId="386F36B8">
      <w:pPr>
        <w:pStyle w:val="2"/>
        <w:keepNext w:val="0"/>
        <w:keepLines w:val="0"/>
        <w:pageBreakBefore w:val="0"/>
        <w:widowControl/>
        <w:kinsoku/>
        <w:wordWrap/>
        <w:overflowPunct/>
        <w:topLinePunct w:val="0"/>
        <w:autoSpaceDE/>
        <w:autoSpaceDN/>
        <w:bidi w:val="0"/>
        <w:adjustRightInd/>
        <w:snapToGrid/>
        <w:spacing w:line="240" w:lineRule="auto"/>
        <w:textAlignment w:val="auto"/>
        <w:rPr>
          <w:rFonts w:ascii="仿宋_GB2312" w:eastAsia="仿宋_GB2312"/>
          <w:b w:val="0"/>
          <w:sz w:val="32"/>
          <w:szCs w:val="32"/>
        </w:rPr>
      </w:pPr>
      <w:r>
        <w:drawing>
          <wp:inline distT="0" distB="0" distL="114300" distR="114300">
            <wp:extent cx="5636895" cy="1923415"/>
            <wp:effectExtent l="0" t="0" r="1905" b="6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5636895" cy="1923415"/>
                    </a:xfrm>
                    <a:prstGeom prst="rect">
                      <a:avLst/>
                    </a:prstGeom>
                    <a:noFill/>
                    <a:ln>
                      <a:noFill/>
                    </a:ln>
                  </pic:spPr>
                </pic:pic>
              </a:graphicData>
            </a:graphic>
          </wp:inline>
        </w:drawing>
      </w:r>
    </w:p>
    <w:p w14:paraId="432F85F8">
      <w:pPr>
        <w:pStyle w:val="2"/>
        <w:rPr>
          <w:rFonts w:ascii="仿宋_GB2312" w:eastAsia="仿宋_GB2312"/>
          <w:b w:val="0"/>
          <w:sz w:val="32"/>
          <w:szCs w:val="32"/>
        </w:rPr>
      </w:pPr>
    </w:p>
    <w:p w14:paraId="75C8D2B2">
      <w:pPr>
        <w:pStyle w:val="2"/>
        <w:rPr>
          <w:rFonts w:ascii="仿宋_GB2312" w:eastAsia="仿宋_GB2312"/>
          <w:b w:val="0"/>
          <w:sz w:val="32"/>
          <w:szCs w:val="32"/>
        </w:rPr>
      </w:pPr>
    </w:p>
    <w:p w14:paraId="2B523B4B">
      <w:pPr>
        <w:pStyle w:val="2"/>
        <w:rPr>
          <w:rFonts w:ascii="仿宋_GB2312" w:eastAsia="仿宋_GB2312"/>
          <w:b w:val="0"/>
          <w:sz w:val="32"/>
          <w:szCs w:val="32"/>
        </w:rPr>
      </w:pPr>
    </w:p>
    <w:p w14:paraId="32FA5B03">
      <w:pPr>
        <w:pStyle w:val="2"/>
        <w:rPr>
          <w:rFonts w:ascii="仿宋_GB2312" w:eastAsia="仿宋_GB2312"/>
          <w:b w:val="0"/>
          <w:sz w:val="32"/>
          <w:szCs w:val="32"/>
        </w:rPr>
      </w:pPr>
    </w:p>
    <w:p w14:paraId="6E107820">
      <w:pPr>
        <w:pStyle w:val="2"/>
        <w:rPr>
          <w:rFonts w:ascii="仿宋_GB2312" w:eastAsia="仿宋_GB2312"/>
          <w:b w:val="0"/>
          <w:sz w:val="32"/>
          <w:szCs w:val="32"/>
        </w:rPr>
      </w:pPr>
    </w:p>
    <w:p w14:paraId="506D758A">
      <w:pPr>
        <w:pStyle w:val="2"/>
        <w:rPr>
          <w:rFonts w:ascii="仿宋_GB2312" w:eastAsia="仿宋_GB2312"/>
          <w:b w:val="0"/>
          <w:sz w:val="32"/>
          <w:szCs w:val="32"/>
        </w:rPr>
      </w:pPr>
    </w:p>
    <w:p w14:paraId="7CA22A5F">
      <w:pPr>
        <w:pStyle w:val="2"/>
        <w:rPr>
          <w:rFonts w:ascii="仿宋_GB2312" w:eastAsia="仿宋_GB2312"/>
          <w:b w:val="0"/>
          <w:sz w:val="32"/>
          <w:szCs w:val="32"/>
        </w:rPr>
      </w:pPr>
    </w:p>
    <w:p w14:paraId="27AC0A87">
      <w:pPr>
        <w:pStyle w:val="2"/>
        <w:rPr>
          <w:rFonts w:ascii="仿宋_GB2312" w:eastAsia="仿宋_GB2312"/>
          <w:b w:val="0"/>
          <w:sz w:val="32"/>
          <w:szCs w:val="32"/>
        </w:rPr>
      </w:pPr>
    </w:p>
    <w:p w14:paraId="7B6CB6B9">
      <w:pPr>
        <w:pStyle w:val="2"/>
        <w:rPr>
          <w:rFonts w:ascii="仿宋_GB2312" w:eastAsia="仿宋_GB2312"/>
          <w:b w:val="0"/>
          <w:sz w:val="32"/>
          <w:szCs w:val="32"/>
        </w:rPr>
      </w:pPr>
    </w:p>
    <w:p w14:paraId="1EF6CF9E">
      <w:pPr>
        <w:pStyle w:val="2"/>
        <w:rPr>
          <w:rFonts w:ascii="仿宋_GB2312" w:eastAsia="仿宋_GB2312"/>
          <w:b w:val="0"/>
          <w:sz w:val="32"/>
          <w:szCs w:val="32"/>
        </w:rPr>
      </w:pPr>
    </w:p>
    <w:p w14:paraId="03E35817">
      <w:pPr>
        <w:pStyle w:val="2"/>
        <w:rPr>
          <w:rFonts w:ascii="仿宋_GB2312" w:eastAsia="仿宋_GB2312"/>
          <w:b w:val="0"/>
          <w:sz w:val="32"/>
          <w:szCs w:val="32"/>
        </w:rPr>
      </w:pPr>
    </w:p>
    <w:p w14:paraId="36E06768">
      <w:pPr>
        <w:pStyle w:val="2"/>
        <w:rPr>
          <w:rFonts w:ascii="仿宋_GB2312" w:eastAsia="仿宋_GB2312"/>
          <w:b w:val="0"/>
          <w:sz w:val="32"/>
          <w:szCs w:val="32"/>
        </w:rPr>
      </w:pPr>
    </w:p>
    <w:p w14:paraId="2F8A2438">
      <w:pPr>
        <w:pStyle w:val="2"/>
        <w:rPr>
          <w:rFonts w:ascii="仿宋_GB2312" w:eastAsia="仿宋_GB2312"/>
          <w:b w:val="0"/>
          <w:sz w:val="32"/>
          <w:szCs w:val="32"/>
        </w:rPr>
      </w:pPr>
    </w:p>
    <w:p w14:paraId="1458882E">
      <w:pPr>
        <w:pStyle w:val="2"/>
        <w:rPr>
          <w:rFonts w:ascii="仿宋_GB2312" w:eastAsia="仿宋_GB2312"/>
          <w:b w:val="0"/>
          <w:sz w:val="32"/>
          <w:szCs w:val="32"/>
        </w:rPr>
      </w:pPr>
    </w:p>
    <w:p w14:paraId="2A16DDDE">
      <w:pPr>
        <w:pStyle w:val="2"/>
        <w:rPr>
          <w:rFonts w:ascii="仿宋_GB2312" w:eastAsia="仿宋_GB2312"/>
          <w:b w:val="0"/>
          <w:sz w:val="32"/>
          <w:szCs w:val="32"/>
        </w:rPr>
      </w:pPr>
    </w:p>
    <w:p w14:paraId="6F084AFA">
      <w:pPr>
        <w:pStyle w:val="2"/>
        <w:rPr>
          <w:rFonts w:ascii="仿宋_GB2312" w:eastAsia="仿宋_GB2312"/>
          <w:b w:val="0"/>
          <w:sz w:val="32"/>
          <w:szCs w:val="32"/>
        </w:rPr>
      </w:pPr>
    </w:p>
    <w:p w14:paraId="5C3E9422">
      <w:pPr>
        <w:pStyle w:val="2"/>
        <w:rPr>
          <w:rFonts w:ascii="仿宋_GB2312" w:eastAsia="仿宋_GB2312"/>
          <w:b w:val="0"/>
          <w:sz w:val="32"/>
          <w:szCs w:val="32"/>
        </w:rPr>
      </w:pPr>
    </w:p>
    <w:p w14:paraId="7CBDB29E">
      <w:pPr>
        <w:pStyle w:val="2"/>
        <w:rPr>
          <w:rFonts w:ascii="仿宋_GB2312" w:eastAsia="仿宋_GB2312"/>
          <w:b w:val="0"/>
          <w:sz w:val="32"/>
          <w:szCs w:val="32"/>
        </w:rPr>
      </w:pPr>
    </w:p>
    <w:p w14:paraId="1EA866D4">
      <w:pPr>
        <w:pStyle w:val="2"/>
        <w:rPr>
          <w:rFonts w:ascii="仿宋_GB2312" w:eastAsia="仿宋_GB2312"/>
          <w:b w:val="0"/>
          <w:sz w:val="32"/>
          <w:szCs w:val="32"/>
        </w:rPr>
      </w:pPr>
    </w:p>
    <w:p w14:paraId="58D70028">
      <w:pPr>
        <w:pStyle w:val="2"/>
        <w:rPr>
          <w:rFonts w:ascii="仿宋_GB2312" w:eastAsia="仿宋_GB2312"/>
          <w:b w:val="0"/>
          <w:sz w:val="32"/>
          <w:szCs w:val="32"/>
        </w:rPr>
      </w:pPr>
    </w:p>
    <w:p w14:paraId="627B27D2">
      <w:pPr>
        <w:pStyle w:val="2"/>
        <w:rPr>
          <w:rFonts w:ascii="仿宋_GB2312" w:eastAsia="仿宋_GB2312"/>
          <w:b w:val="0"/>
          <w:sz w:val="32"/>
          <w:szCs w:val="32"/>
        </w:rPr>
      </w:pPr>
    </w:p>
    <w:p w14:paraId="0B0CA1B5">
      <w:pPr>
        <w:pStyle w:val="2"/>
        <w:keepNext w:val="0"/>
        <w:keepLines w:val="0"/>
        <w:pageBreakBefore w:val="0"/>
        <w:widowControl/>
        <w:kinsoku/>
        <w:wordWrap/>
        <w:overflowPunct/>
        <w:topLinePunct w:val="0"/>
        <w:autoSpaceDE/>
        <w:autoSpaceDN/>
        <w:bidi w:val="0"/>
        <w:adjustRightInd/>
        <w:snapToGrid/>
        <w:spacing w:line="240" w:lineRule="auto"/>
        <w:textAlignment w:val="auto"/>
        <w:rPr>
          <w:rFonts w:ascii="仿宋_GB2312" w:eastAsia="仿宋_GB2312"/>
          <w:b w:val="0"/>
          <w:sz w:val="32"/>
          <w:szCs w:val="32"/>
        </w:rPr>
      </w:pPr>
    </w:p>
    <w:p w14:paraId="055D8A20">
      <w:pPr>
        <w:pStyle w:val="2"/>
        <w:keepNext w:val="0"/>
        <w:keepLines w:val="0"/>
        <w:pageBreakBefore w:val="0"/>
        <w:widowControl/>
        <w:kinsoku/>
        <w:wordWrap/>
        <w:overflowPunct/>
        <w:topLinePunct w:val="0"/>
        <w:autoSpaceDE/>
        <w:autoSpaceDN/>
        <w:bidi w:val="0"/>
        <w:adjustRightInd/>
        <w:snapToGrid/>
        <w:spacing w:line="240" w:lineRule="auto"/>
        <w:textAlignment w:val="auto"/>
        <w:rPr>
          <w:rFonts w:ascii="仿宋_GB2312" w:eastAsia="仿宋_GB2312"/>
          <w:b w:val="0"/>
          <w:sz w:val="32"/>
          <w:szCs w:val="32"/>
        </w:rPr>
      </w:pPr>
    </w:p>
    <w:p w14:paraId="37399BE2">
      <w:pPr>
        <w:pStyle w:val="2"/>
        <w:keepNext w:val="0"/>
        <w:keepLines w:val="0"/>
        <w:pageBreakBefore w:val="0"/>
        <w:widowControl/>
        <w:kinsoku/>
        <w:wordWrap/>
        <w:overflowPunct/>
        <w:topLinePunct w:val="0"/>
        <w:autoSpaceDE/>
        <w:autoSpaceDN/>
        <w:bidi w:val="0"/>
        <w:adjustRightInd/>
        <w:snapToGrid/>
        <w:spacing w:line="240" w:lineRule="auto"/>
        <w:textAlignment w:val="auto"/>
        <w:rPr>
          <w:rFonts w:ascii="仿宋_GB2312" w:eastAsia="仿宋_GB2312"/>
          <w:b w:val="0"/>
          <w:sz w:val="32"/>
          <w:szCs w:val="32"/>
        </w:rPr>
      </w:pPr>
    </w:p>
    <w:p w14:paraId="1EAF8EA3">
      <w:pPr>
        <w:pStyle w:val="2"/>
        <w:keepNext w:val="0"/>
        <w:keepLines w:val="0"/>
        <w:pageBreakBefore w:val="0"/>
        <w:widowControl/>
        <w:kinsoku/>
        <w:wordWrap/>
        <w:overflowPunct/>
        <w:topLinePunct w:val="0"/>
        <w:autoSpaceDE/>
        <w:autoSpaceDN/>
        <w:bidi w:val="0"/>
        <w:adjustRightInd/>
        <w:snapToGrid/>
        <w:spacing w:line="240" w:lineRule="auto"/>
        <w:textAlignment w:val="auto"/>
        <w:rPr>
          <w:rFonts w:ascii="仿宋_GB2312" w:eastAsia="仿宋_GB2312"/>
          <w:b w:val="0"/>
          <w:sz w:val="32"/>
          <w:szCs w:val="32"/>
        </w:rPr>
      </w:pPr>
      <w:r>
        <w:drawing>
          <wp:inline distT="0" distB="0" distL="114300" distR="114300">
            <wp:extent cx="5636895" cy="1951990"/>
            <wp:effectExtent l="0" t="0" r="1905" b="1016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5636895" cy="1951990"/>
                    </a:xfrm>
                    <a:prstGeom prst="rect">
                      <a:avLst/>
                    </a:prstGeom>
                    <a:noFill/>
                    <a:ln>
                      <a:noFill/>
                    </a:ln>
                  </pic:spPr>
                </pic:pic>
              </a:graphicData>
            </a:graphic>
          </wp:inline>
        </w:drawing>
      </w:r>
      <w:bookmarkStart w:id="0" w:name="_GoBack"/>
      <w:bookmarkEnd w:id="0"/>
    </w:p>
    <w:p w14:paraId="15528BD0">
      <w:pPr>
        <w:pStyle w:val="2"/>
        <w:keepNext w:val="0"/>
        <w:keepLines w:val="0"/>
        <w:pageBreakBefore w:val="0"/>
        <w:widowControl/>
        <w:kinsoku/>
        <w:wordWrap/>
        <w:overflowPunct/>
        <w:topLinePunct w:val="0"/>
        <w:autoSpaceDE/>
        <w:autoSpaceDN/>
        <w:bidi w:val="0"/>
        <w:adjustRightInd/>
        <w:snapToGrid/>
        <w:spacing w:line="240" w:lineRule="auto"/>
        <w:textAlignment w:val="auto"/>
        <w:rPr>
          <w:rFonts w:ascii="仿宋_GB2312" w:eastAsia="仿宋_GB2312"/>
          <w:b w:val="0"/>
          <w:sz w:val="32"/>
          <w:szCs w:val="32"/>
        </w:rPr>
      </w:pPr>
    </w:p>
    <w:p w14:paraId="1E7690EE">
      <w:pPr>
        <w:pStyle w:val="2"/>
        <w:keepNext w:val="0"/>
        <w:keepLines w:val="0"/>
        <w:pageBreakBefore w:val="0"/>
        <w:widowControl/>
        <w:kinsoku/>
        <w:wordWrap/>
        <w:overflowPunct/>
        <w:topLinePunct w:val="0"/>
        <w:autoSpaceDE/>
        <w:autoSpaceDN/>
        <w:bidi w:val="0"/>
        <w:adjustRightInd/>
        <w:snapToGrid/>
        <w:spacing w:line="240" w:lineRule="auto"/>
        <w:textAlignment w:val="auto"/>
        <w:rPr>
          <w:rFonts w:ascii="仿宋_GB2312" w:eastAsia="仿宋_GB2312"/>
          <w:b w:val="0"/>
          <w:sz w:val="32"/>
          <w:szCs w:val="32"/>
        </w:rPr>
      </w:pPr>
    </w:p>
    <w:p w14:paraId="2A81B1BF">
      <w:pPr>
        <w:pStyle w:val="2"/>
        <w:rPr>
          <w:rFonts w:ascii="仿宋_GB2312" w:eastAsia="仿宋_GB2312"/>
          <w:b w:val="0"/>
          <w:sz w:val="32"/>
          <w:szCs w:val="32"/>
        </w:rPr>
      </w:pPr>
    </w:p>
    <w:p w14:paraId="7BA7D2AB">
      <w:pPr>
        <w:pStyle w:val="2"/>
        <w:rPr>
          <w:rFonts w:ascii="仿宋_GB2312" w:eastAsia="仿宋_GB2312"/>
          <w:b w:val="0"/>
          <w:sz w:val="32"/>
          <w:szCs w:val="32"/>
        </w:rPr>
      </w:pPr>
    </w:p>
    <w:p w14:paraId="563ADFD8">
      <w:pPr>
        <w:pStyle w:val="2"/>
        <w:rPr>
          <w:rFonts w:ascii="仿宋_GB2312" w:eastAsia="仿宋_GB2312"/>
          <w:b w:val="0"/>
          <w:sz w:val="32"/>
          <w:szCs w:val="32"/>
        </w:rPr>
      </w:pPr>
    </w:p>
    <w:p w14:paraId="7A64B0B3">
      <w:pPr>
        <w:pStyle w:val="2"/>
        <w:rPr>
          <w:rFonts w:ascii="仿宋_GB2312" w:eastAsia="仿宋_GB2312"/>
          <w:b w:val="0"/>
          <w:sz w:val="32"/>
          <w:szCs w:val="32"/>
        </w:rPr>
      </w:pPr>
    </w:p>
    <w:p w14:paraId="5869F27C">
      <w:pPr>
        <w:pStyle w:val="2"/>
        <w:rPr>
          <w:rFonts w:ascii="仿宋_GB2312" w:eastAsia="仿宋_GB2312"/>
          <w:b w:val="0"/>
          <w:sz w:val="32"/>
          <w:szCs w:val="32"/>
        </w:rPr>
      </w:pPr>
    </w:p>
    <w:p w14:paraId="1FB3A947">
      <w:pPr>
        <w:pStyle w:val="2"/>
        <w:rPr>
          <w:rFonts w:ascii="仿宋_GB2312" w:eastAsia="仿宋_GB2312"/>
          <w:b w:val="0"/>
          <w:sz w:val="32"/>
          <w:szCs w:val="32"/>
        </w:rPr>
      </w:pPr>
    </w:p>
    <w:p w14:paraId="6124C9B3">
      <w:pPr>
        <w:pStyle w:val="2"/>
        <w:rPr>
          <w:rFonts w:ascii="仿宋_GB2312" w:eastAsia="仿宋_GB2312"/>
          <w:b w:val="0"/>
          <w:sz w:val="32"/>
          <w:szCs w:val="32"/>
        </w:rPr>
      </w:pPr>
    </w:p>
    <w:p w14:paraId="344E4EF0">
      <w:pPr>
        <w:pStyle w:val="2"/>
        <w:rPr>
          <w:rFonts w:ascii="仿宋_GB2312" w:eastAsia="仿宋_GB2312"/>
          <w:b w:val="0"/>
          <w:sz w:val="32"/>
          <w:szCs w:val="32"/>
        </w:rPr>
      </w:pPr>
    </w:p>
    <w:p w14:paraId="466BFAD7">
      <w:pPr>
        <w:pStyle w:val="2"/>
        <w:rPr>
          <w:rFonts w:ascii="仿宋_GB2312" w:eastAsia="仿宋_GB2312"/>
          <w:b w:val="0"/>
          <w:sz w:val="32"/>
          <w:szCs w:val="32"/>
        </w:rPr>
      </w:pPr>
    </w:p>
    <w:p w14:paraId="66F80586">
      <w:pPr>
        <w:pStyle w:val="2"/>
        <w:rPr>
          <w:rFonts w:ascii="仿宋_GB2312" w:eastAsia="仿宋_GB2312"/>
          <w:b w:val="0"/>
          <w:sz w:val="32"/>
          <w:szCs w:val="32"/>
        </w:rPr>
      </w:pPr>
    </w:p>
    <w:p w14:paraId="3ED363EC">
      <w:pPr>
        <w:pStyle w:val="2"/>
        <w:rPr>
          <w:rFonts w:ascii="仿宋_GB2312" w:eastAsia="仿宋_GB2312"/>
          <w:b w:val="0"/>
          <w:sz w:val="32"/>
          <w:szCs w:val="32"/>
        </w:rPr>
      </w:pPr>
    </w:p>
    <w:p w14:paraId="5CA52E61">
      <w:pPr>
        <w:pStyle w:val="2"/>
        <w:rPr>
          <w:rFonts w:ascii="仿宋_GB2312" w:eastAsia="仿宋_GB2312"/>
          <w:b w:val="0"/>
          <w:sz w:val="32"/>
          <w:szCs w:val="32"/>
        </w:rPr>
      </w:pPr>
    </w:p>
    <w:p w14:paraId="1F482C27">
      <w:pPr>
        <w:pStyle w:val="2"/>
        <w:rPr>
          <w:rFonts w:ascii="仿宋_GB2312" w:eastAsia="仿宋_GB2312"/>
          <w:b w:val="0"/>
          <w:sz w:val="32"/>
          <w:szCs w:val="32"/>
        </w:rPr>
      </w:pPr>
    </w:p>
    <w:p w14:paraId="5CE781D8">
      <w:pPr>
        <w:pStyle w:val="2"/>
        <w:rPr>
          <w:rFonts w:ascii="仿宋_GB2312" w:eastAsia="仿宋_GB2312"/>
          <w:b w:val="0"/>
          <w:sz w:val="32"/>
          <w:szCs w:val="32"/>
        </w:rPr>
      </w:pPr>
    </w:p>
    <w:p w14:paraId="3F627A58">
      <w:pPr>
        <w:pStyle w:val="2"/>
        <w:rPr>
          <w:rFonts w:ascii="仿宋_GB2312" w:eastAsia="仿宋_GB2312"/>
          <w:b w:val="0"/>
          <w:sz w:val="32"/>
          <w:szCs w:val="32"/>
        </w:rPr>
      </w:pPr>
    </w:p>
    <w:p w14:paraId="0CF74B14">
      <w:pPr>
        <w:pStyle w:val="2"/>
        <w:rPr>
          <w:rFonts w:ascii="仿宋_GB2312" w:eastAsia="仿宋_GB2312"/>
          <w:b w:val="0"/>
          <w:sz w:val="32"/>
          <w:szCs w:val="32"/>
        </w:rPr>
      </w:pPr>
    </w:p>
    <w:p w14:paraId="16F9FB9D">
      <w:pPr>
        <w:pStyle w:val="2"/>
        <w:rPr>
          <w:rFonts w:ascii="仿宋_GB2312" w:eastAsia="仿宋_GB2312"/>
          <w:b w:val="0"/>
          <w:sz w:val="32"/>
          <w:szCs w:val="32"/>
        </w:rPr>
      </w:pPr>
    </w:p>
    <w:p w14:paraId="6321113C">
      <w:pPr>
        <w:pStyle w:val="2"/>
        <w:keepNext w:val="0"/>
        <w:keepLines w:val="0"/>
        <w:pageBreakBefore w:val="0"/>
        <w:widowControl/>
        <w:kinsoku/>
        <w:wordWrap/>
        <w:overflowPunct/>
        <w:topLinePunct w:val="0"/>
        <w:autoSpaceDE/>
        <w:autoSpaceDN/>
        <w:bidi w:val="0"/>
        <w:adjustRightInd/>
        <w:snapToGrid/>
        <w:spacing w:line="240" w:lineRule="auto"/>
        <w:textAlignment w:val="auto"/>
        <w:rPr>
          <w:rFonts w:ascii="仿宋_GB2312" w:eastAsia="仿宋_GB2312"/>
          <w:b w:val="0"/>
          <w:sz w:val="32"/>
          <w:szCs w:val="32"/>
        </w:rPr>
      </w:pPr>
      <w:r>
        <w:rPr>
          <w:rFonts w:hint="eastAsia"/>
          <w:lang w:val="en-US" w:eastAsia="zh-CN"/>
        </w:rPr>
        <w:t xml:space="preserve"> </w:t>
      </w:r>
      <w:r>
        <w:drawing>
          <wp:inline distT="0" distB="0" distL="114300" distR="114300">
            <wp:extent cx="5634990" cy="2610485"/>
            <wp:effectExtent l="0" t="0" r="3810" b="1841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2"/>
                    <a:stretch>
                      <a:fillRect/>
                    </a:stretch>
                  </pic:blipFill>
                  <pic:spPr>
                    <a:xfrm>
                      <a:off x="0" y="0"/>
                      <a:ext cx="5634990" cy="2610485"/>
                    </a:xfrm>
                    <a:prstGeom prst="rect">
                      <a:avLst/>
                    </a:prstGeom>
                    <a:noFill/>
                    <a:ln>
                      <a:noFill/>
                    </a:ln>
                  </pic:spPr>
                </pic:pic>
              </a:graphicData>
            </a:graphic>
          </wp:inline>
        </w:drawing>
      </w:r>
    </w:p>
    <w:p w14:paraId="761E8ED0">
      <w:pPr>
        <w:pStyle w:val="2"/>
        <w:rPr>
          <w:rFonts w:ascii="仿宋_GB2312" w:eastAsia="仿宋_GB2312"/>
          <w:b w:val="0"/>
          <w:sz w:val="32"/>
          <w:szCs w:val="32"/>
        </w:rPr>
      </w:pPr>
    </w:p>
    <w:p w14:paraId="2CDFD096">
      <w:pPr>
        <w:pStyle w:val="2"/>
        <w:rPr>
          <w:rFonts w:ascii="仿宋_GB2312" w:eastAsia="仿宋_GB2312"/>
          <w:b w:val="0"/>
          <w:sz w:val="32"/>
          <w:szCs w:val="32"/>
        </w:rPr>
      </w:pPr>
    </w:p>
    <w:p w14:paraId="669409E5">
      <w:pPr>
        <w:pStyle w:val="2"/>
        <w:rPr>
          <w:rFonts w:ascii="仿宋_GB2312" w:eastAsia="仿宋_GB2312"/>
          <w:b w:val="0"/>
          <w:sz w:val="32"/>
          <w:szCs w:val="32"/>
        </w:rPr>
      </w:pPr>
    </w:p>
    <w:p w14:paraId="1F87617E">
      <w:pPr>
        <w:pStyle w:val="2"/>
        <w:rPr>
          <w:rFonts w:ascii="仿宋_GB2312" w:eastAsia="仿宋_GB2312"/>
          <w:b w:val="0"/>
          <w:sz w:val="32"/>
          <w:szCs w:val="32"/>
        </w:rPr>
      </w:pPr>
    </w:p>
    <w:sectPr>
      <w:pgSz w:w="12240" w:h="15840"/>
      <w:pgMar w:top="1440" w:right="1559"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934EA5"/>
    <w:rsid w:val="016F5158"/>
    <w:rsid w:val="01E500CB"/>
    <w:rsid w:val="02496813"/>
    <w:rsid w:val="045F7E04"/>
    <w:rsid w:val="05FE3392"/>
    <w:rsid w:val="06EB582F"/>
    <w:rsid w:val="093965B9"/>
    <w:rsid w:val="0A480F3B"/>
    <w:rsid w:val="0B687C0C"/>
    <w:rsid w:val="0D6B3F6B"/>
    <w:rsid w:val="0F881523"/>
    <w:rsid w:val="12084346"/>
    <w:rsid w:val="127F6B93"/>
    <w:rsid w:val="154E59FA"/>
    <w:rsid w:val="15B17F63"/>
    <w:rsid w:val="18940527"/>
    <w:rsid w:val="18C63E2A"/>
    <w:rsid w:val="1B87719D"/>
    <w:rsid w:val="1BE13CE6"/>
    <w:rsid w:val="1C4E5A54"/>
    <w:rsid w:val="1F2769A3"/>
    <w:rsid w:val="227718C2"/>
    <w:rsid w:val="22A40632"/>
    <w:rsid w:val="24E213E0"/>
    <w:rsid w:val="26CF524A"/>
    <w:rsid w:val="278501F0"/>
    <w:rsid w:val="27BC5F5B"/>
    <w:rsid w:val="27E94107"/>
    <w:rsid w:val="2B0A6015"/>
    <w:rsid w:val="2F6A494D"/>
    <w:rsid w:val="30E10181"/>
    <w:rsid w:val="30E845DF"/>
    <w:rsid w:val="30E9187D"/>
    <w:rsid w:val="3623416D"/>
    <w:rsid w:val="36DB02C9"/>
    <w:rsid w:val="3887644E"/>
    <w:rsid w:val="38EF618D"/>
    <w:rsid w:val="390D3E4E"/>
    <w:rsid w:val="39B1300D"/>
    <w:rsid w:val="3A4A6DA2"/>
    <w:rsid w:val="3AAA5607"/>
    <w:rsid w:val="3FD014BF"/>
    <w:rsid w:val="40D25328"/>
    <w:rsid w:val="41151C7B"/>
    <w:rsid w:val="41A45874"/>
    <w:rsid w:val="45DD10FD"/>
    <w:rsid w:val="465514EE"/>
    <w:rsid w:val="4702243E"/>
    <w:rsid w:val="476342CC"/>
    <w:rsid w:val="48354025"/>
    <w:rsid w:val="48CE2A56"/>
    <w:rsid w:val="4ADB1E4B"/>
    <w:rsid w:val="4BF57A3C"/>
    <w:rsid w:val="4EB14C0F"/>
    <w:rsid w:val="4EC62A0F"/>
    <w:rsid w:val="503806FA"/>
    <w:rsid w:val="503F169B"/>
    <w:rsid w:val="5498178D"/>
    <w:rsid w:val="54983A90"/>
    <w:rsid w:val="55973F0D"/>
    <w:rsid w:val="559E002B"/>
    <w:rsid w:val="564709C5"/>
    <w:rsid w:val="56870F1D"/>
    <w:rsid w:val="58880C0D"/>
    <w:rsid w:val="5CE12897"/>
    <w:rsid w:val="600D7276"/>
    <w:rsid w:val="62511A40"/>
    <w:rsid w:val="63291F36"/>
    <w:rsid w:val="63E60A13"/>
    <w:rsid w:val="655F1FB9"/>
    <w:rsid w:val="670465C6"/>
    <w:rsid w:val="6835461F"/>
    <w:rsid w:val="69EC3FAD"/>
    <w:rsid w:val="6A6716FB"/>
    <w:rsid w:val="6BF648D8"/>
    <w:rsid w:val="6EBC11E2"/>
    <w:rsid w:val="6F777AB9"/>
    <w:rsid w:val="78CD533C"/>
    <w:rsid w:val="7A3E5014"/>
    <w:rsid w:val="7B4311B0"/>
    <w:rsid w:val="7BB367F4"/>
    <w:rsid w:val="7C175A6A"/>
    <w:rsid w:val="7DFC73B4"/>
    <w:rsid w:val="7E1B6B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Char"/>
    <w:basedOn w:val="1"/>
    <w:qFormat/>
    <w:uiPriority w:val="0"/>
    <w:pPr>
      <w:widowControl/>
      <w:spacing w:after="160" w:line="240" w:lineRule="exact"/>
      <w:jc w:val="left"/>
    </w:pPr>
    <w:rPr>
      <w:rFonts w:ascii="Calibri" w:hAnsi="Calibri" w:eastAsia="宋体" w:cs="Times New Roman"/>
      <w:spacing w:val="0"/>
      <w:sz w:val="21"/>
      <w:szCs w:val="24"/>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25</Pages>
  <TotalTime>6</TotalTime>
  <ScaleCrop>false</ScaleCrop>
  <LinksUpToDate>false</LinksUpToDate>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2025-08-13T09:47:00Z</dcterms:created>
  <dc:creator>Administrator</dc:creator>
  <cp:lastModifiedBy>lenovo</cp:lastModifiedBy>
  <dcterms:modified xsi:type="dcterms:W3CDTF">2025-08-21T02:33:29Z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0C64D408A4A2465E8F7A935F5C1F21BB</vt:lpwstr>
  </property>
  <property fmtid="{D5CDD505-2E9C-101B-9397-08002B2CF9AE}" pid="4" name="KSOTemplateDocerSaveRecord">
    <vt:lpwstr>eyJoZGlkIjoiN2UyYzA3ZTJiNTkwNDJkN2UyYmRiZWNlYzNlZDMxOTQifQ==</vt:lpwstr>
  </property>
</Properties>
</file>