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880" w:firstLineChars="200"/>
        <w:jc w:val="center"/>
        <w:textAlignment w:val="auto"/>
        <w:outlineLvl w:val="0"/>
        <w:rPr>
          <w:rFonts w:ascii="宋体" w:eastAsia="黑体"/>
          <w:sz w:val="44"/>
          <w:szCs w:val="44"/>
        </w:rPr>
      </w:pPr>
      <w:r>
        <w:rPr>
          <w:rFonts w:ascii="宋体" w:eastAsia="黑体"/>
          <w:b w:val="0"/>
          <w:sz w:val="44"/>
          <w:szCs w:val="44"/>
        </w:rPr>
        <w:t>库尔勒市畜牧兽医站</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880" w:firstLineChars="200"/>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50" w:lineRule="exact"/>
        <w:ind w:left="0"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50" w:lineRule="exact"/>
        <w:ind w:left="0"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b w:val="0"/>
          <w:sz w:val="32"/>
          <w:szCs w:val="32"/>
        </w:rPr>
      </w:pPr>
      <w:r>
        <w:rPr>
          <w:rFonts w:ascii="黑体" w:eastAsia="黑体"/>
          <w:b w:val="0"/>
          <w:sz w:val="32"/>
          <w:szCs w:val="32"/>
        </w:rPr>
        <w:t>主要职能</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hint="default" w:ascii="仿宋_GB2312" w:eastAsia="仿宋_GB2312"/>
          <w:b w:val="0"/>
          <w:sz w:val="32"/>
          <w:szCs w:val="32"/>
          <w:lang w:val="en-US" w:eastAsia="zh-CN"/>
        </w:rPr>
      </w:pPr>
      <w:r>
        <w:rPr>
          <w:rFonts w:hint="eastAsia" w:ascii="仿宋_GB2312" w:eastAsia="仿宋_GB2312"/>
          <w:b w:val="0"/>
          <w:sz w:val="32"/>
          <w:szCs w:val="32"/>
          <w:lang w:val="en-US" w:eastAsia="zh-CN"/>
        </w:rPr>
        <w:t>宣传贯彻国家有关发展畜牧兽医食品业的方针、政策、 法规，协助乡政府制定全乡畜牧业发展规划。指导全市畜牧 业科技推广计划、规划并组织实施，提供信息服务和信息咨 询。协同有关部门搞好全市的畜产品及其产品的专业市场管 理，健全交易市场体系。负责全市的各种动物疫病监测、预 防、控制、扑灭工作，并对兽药残留、饲料及其饲料添加剂 安全使用进行监测。负责全市畜牧业生产科技、培训村畜牧 业科技员、基层干部和农民技术员进行科技示范，提供畜牧 业技术服务。建立健全需求疫病防治、畜禽良种改良、饲料 饲草开发利用、畜产品及流通等一系列配套服务。</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库尔勒市畜牧兽医站2024年度，实有人数44人，其中：在职人员20人，较上年无变化；离休人员0人，较上年无变化；退休人员24人，减少1人。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库尔勒市畜牧兽医站无下属预算单位，下设</w:t>
      </w:r>
      <w:r>
        <w:rPr>
          <w:rFonts w:hint="eastAsia" w:ascii="仿宋_GB2312" w:eastAsia="仿宋_GB2312"/>
          <w:b w:val="0"/>
          <w:sz w:val="32"/>
          <w:szCs w:val="32"/>
          <w:lang w:val="en-US" w:eastAsia="zh-CN"/>
        </w:rPr>
        <w:t>4</w:t>
      </w:r>
      <w:r>
        <w:rPr>
          <w:rFonts w:ascii="仿宋_GB2312" w:eastAsia="仿宋_GB2312"/>
          <w:b w:val="0"/>
          <w:sz w:val="32"/>
          <w:szCs w:val="32"/>
        </w:rPr>
        <w:t>个</w:t>
      </w:r>
      <w:r>
        <w:rPr>
          <w:rFonts w:hint="eastAsia" w:ascii="仿宋_GB2312" w:hAnsi="Times New Roman" w:eastAsia="仿宋_GB2312" w:cs="Times New Roman"/>
          <w:color w:val="auto"/>
          <w:sz w:val="32"/>
          <w:szCs w:val="32"/>
          <w:highlight w:val="none"/>
          <w:lang w:val="en-US" w:eastAsia="zh-CN"/>
        </w:rPr>
        <w:t>科室</w:t>
      </w:r>
      <w:r>
        <w:rPr>
          <w:rFonts w:ascii="仿宋_GB2312" w:eastAsia="仿宋_GB2312"/>
          <w:b w:val="0"/>
          <w:sz w:val="32"/>
          <w:szCs w:val="32"/>
        </w:rPr>
        <w:t>，分别是：</w:t>
      </w:r>
      <w:r>
        <w:rPr>
          <w:rFonts w:hint="eastAsia" w:ascii="仿宋_GB2312" w:hAnsi="Times New Roman" w:eastAsia="仿宋_GB2312" w:cs="Times New Roman"/>
          <w:color w:val="auto"/>
          <w:sz w:val="32"/>
          <w:szCs w:val="32"/>
          <w:highlight w:val="none"/>
          <w:lang w:val="en-US" w:eastAsia="zh-CN"/>
        </w:rPr>
        <w:t>行政办、疫苗管理办公室、疫病防控办公室、 疫情测报站</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50" w:lineRule="exact"/>
        <w:ind w:left="0"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2024年度收入总计850.51万元，其中：本年收入合计850.51万元，使用非财政拨款结余（含专用结余）0.00万元，年初结转和结余0.00万元。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2024年度支出总计850.51万元，其中：本年支出合计850.51万元，结余分配0.00万元，年末结转和结余0.00万元。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收入支出总体与上年相比，减少63.80万元，下降6.98%，主要原因是：</w:t>
      </w:r>
      <w:r>
        <w:rPr>
          <w:rFonts w:hint="eastAsia" w:ascii="仿宋_GB2312" w:eastAsia="仿宋_GB2312"/>
          <w:b w:val="0"/>
          <w:sz w:val="32"/>
          <w:szCs w:val="32"/>
          <w:lang w:val="en-US" w:eastAsia="zh-CN"/>
        </w:rPr>
        <w:t>一是本年上级拨入政府购买服务（村级防疫员公岗106人）动物防疫绩效劳务补助上半年在我单位发放，下半年根据上级要求将款转入库尔勒市农业农村局实行“一卡通”发放，导致资金减少；二是上级动物防疫补助专项经费拨款比上年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本年收入850.51万元，其中：财政拨款收入850.51万元,占100.00%；上级补助收入0.00万元,占0.00%；事业收入0.00万元，占0.00%；经营收入0.00万元,占0.00%；附属单位上缴收入0.00万元，占0.00%；其他收入0.00万元，占0.00%。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本年支出850.51万元，其中：基本支出747.70万元，占87.91%；项目支出102.81万元，占12.09%；上缴上级支出0.00万元，占0.00%；经营支出0.00万元，占0.00%；对附属单位补助支出0.00万元，占0.00%。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2024年度财政拨款收入总计850.51万元，其中：年初财政拨款结转和结余0.00万元，本年财政拨款收入850.51万元。财政拨款支出总计850.51万元，其中：年末财政拨款结转和结余0.00万元，本年财政拨款支出850.51万元。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财政拨款收入支出总体与上年相比，减少63.80万元，下降6.98%，主要原因是：</w:t>
      </w:r>
      <w:r>
        <w:rPr>
          <w:rFonts w:hint="eastAsia" w:ascii="仿宋_GB2312" w:eastAsia="仿宋_GB2312"/>
          <w:b w:val="0"/>
          <w:sz w:val="32"/>
          <w:szCs w:val="32"/>
          <w:lang w:val="en-US" w:eastAsia="zh-CN"/>
        </w:rPr>
        <w:t>一是本年上级拨入政府购买服务（村级防疫员公岗106人）动物防疫绩效劳务补助上半年在我单位发放，下半年根据上级要求将款转入库尔勒市农业农村局实行“一卡通”发放，导致资金减少；二是上级动物防疫补助专项经费拨款比上年减少</w:t>
      </w:r>
      <w:r>
        <w:rPr>
          <w:rFonts w:ascii="仿宋_GB2312" w:eastAsia="仿宋_GB2312"/>
          <w:b w:val="0"/>
          <w:sz w:val="32"/>
          <w:szCs w:val="32"/>
        </w:rPr>
        <w:t>。与年初预算相比，年初预算数975.50万元，决算数850.51万元，预决算差异率-12.81%，主要原因是：</w:t>
      </w:r>
      <w:r>
        <w:rPr>
          <w:rFonts w:hint="eastAsia" w:ascii="仿宋_GB2312" w:eastAsia="仿宋_GB2312"/>
          <w:b w:val="0"/>
          <w:sz w:val="32"/>
          <w:szCs w:val="32"/>
          <w:lang w:val="en-US" w:eastAsia="zh-CN"/>
        </w:rPr>
        <w:t>一是本年上级拨入政府购买服务（村级防疫员公岗106人）动物防疫绩效劳务补助上半年在我单位发放，下半年根据上级要求将款转入库尔勒市农业农村局实行“一卡通”发放，导致资金减少；二是上级动物防疫补助专项经费拨款比上年减少；三是公岗人员本年比上年减少5人，工资、社保缴费等人员经费相应减少，导致</w:t>
      </w:r>
      <w:r>
        <w:rPr>
          <w:rFonts w:ascii="仿宋_GB2312" w:eastAsia="仿宋_GB2312"/>
          <w:b w:val="0"/>
          <w:sz w:val="32"/>
          <w:szCs w:val="32"/>
        </w:rPr>
        <w:t>与年初预算相比预决算差异率-12.81%。</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2024年度一般公共预算财政拨款支出850.51万元，占本年支出合计的100.00%。与上年相比，减少62.43万元，下降6.84%，主要原因是：</w:t>
      </w:r>
      <w:r>
        <w:rPr>
          <w:rFonts w:hint="eastAsia" w:ascii="仿宋_GB2312" w:eastAsia="仿宋_GB2312"/>
          <w:b w:val="0"/>
          <w:sz w:val="32"/>
          <w:szCs w:val="32"/>
          <w:lang w:val="en-US" w:eastAsia="zh-CN"/>
        </w:rPr>
        <w:t>一是本年上级拨入政府购买服务（村级防疫员公岗106人）动物防疫绩效劳务补助上半年在我单位发放，下半年根据上级要求将款转入库尔勒市农业农村局实行“一卡通”发放，导致资金减少；二是上级动物防疫补助专项经费拨款比上年减少</w:t>
      </w:r>
      <w:r>
        <w:rPr>
          <w:rFonts w:ascii="仿宋_GB2312" w:eastAsia="仿宋_GB2312"/>
          <w:b w:val="0"/>
          <w:sz w:val="32"/>
          <w:szCs w:val="32"/>
        </w:rPr>
        <w:t>。与年初预算相比，年初预算数975.50万元，决算数850.51万元，预决算差异率-12.81%，主要原因是：</w:t>
      </w:r>
      <w:r>
        <w:rPr>
          <w:rFonts w:hint="eastAsia" w:ascii="仿宋_GB2312" w:eastAsia="仿宋_GB2312"/>
          <w:b w:val="0"/>
          <w:sz w:val="32"/>
          <w:szCs w:val="32"/>
          <w:lang w:val="en-US" w:eastAsia="zh-CN"/>
        </w:rPr>
        <w:t>一是本年上级拨入政府购买服务（村级防疫员公岗106人）动物防疫绩效劳务补助上半年在我单位发放，下半年根据上级要求将款转入库尔勒市农业农村局实行“一卡通”发放，导致资金减少；二是上级动物防疫补助专项经费拨款比上年减少</w:t>
      </w:r>
      <w:r>
        <w:rPr>
          <w:rFonts w:ascii="仿宋_GB2312" w:eastAsia="仿宋_GB2312"/>
          <w:b w:val="0"/>
          <w:sz w:val="32"/>
          <w:szCs w:val="32"/>
        </w:rPr>
        <w:t>。与年初预算相比，年初预算数975.50万元，决算数850.51万元，预决算差异率-12.81%，主要原因是：</w:t>
      </w:r>
      <w:r>
        <w:rPr>
          <w:rFonts w:hint="eastAsia" w:ascii="仿宋_GB2312" w:eastAsia="仿宋_GB2312"/>
          <w:b w:val="0"/>
          <w:sz w:val="32"/>
          <w:szCs w:val="32"/>
          <w:lang w:val="en-US" w:eastAsia="zh-CN"/>
        </w:rPr>
        <w:t>一是本年上级拨入政府购买服务（村级防疫员公岗106人）动物防疫绩效劳务补助上半年在我单位发放，下半年根据上级要求将款转入库尔勒市农业农村局实行“一卡通”发放，导致资金减少；二是上级动物防疫补助专项经费拨款比上年减少；三是公岗人员本年比上年减少5人，工资、社保缴费等人员经费相应减少，导致</w:t>
      </w:r>
      <w:r>
        <w:rPr>
          <w:rFonts w:ascii="仿宋_GB2312" w:eastAsia="仿宋_GB2312"/>
          <w:b w:val="0"/>
          <w:sz w:val="32"/>
          <w:szCs w:val="32"/>
        </w:rPr>
        <w:t>与年初预算相比预决算差异率-12.81%。</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农林水支出（类）850.51万元，占100.00%。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50" w:lineRule="exact"/>
        <w:ind w:left="0"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教育支出（类）进修及培训（款）培训支出（项）：支出决算数为0.00万元，比上年决算减少2.17万元，下降100.00%，主要原因是：</w:t>
      </w:r>
      <w:r>
        <w:rPr>
          <w:rFonts w:hint="eastAsia" w:ascii="仿宋_GB2312" w:eastAsia="仿宋_GB2312"/>
          <w:b w:val="0"/>
          <w:sz w:val="32"/>
          <w:szCs w:val="32"/>
          <w:lang w:val="en-US" w:eastAsia="zh-CN"/>
        </w:rPr>
        <w:t>本年外出培训次数减少，培训经费减少。</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50" w:lineRule="exact"/>
        <w:ind w:left="0"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农林水支出（类）农业农村（款）事业运行（项）：支出决算数为747.70万元，比上年决算减少36.08万元，下降4.60%，主要原因是：</w:t>
      </w:r>
      <w:r>
        <w:rPr>
          <w:rFonts w:hint="eastAsia" w:ascii="仿宋_GB2312" w:eastAsia="仿宋_GB2312"/>
          <w:b w:val="0"/>
          <w:sz w:val="32"/>
          <w:szCs w:val="32"/>
          <w:lang w:val="en-US" w:eastAsia="zh-CN"/>
        </w:rPr>
        <w:t>本年上级拨入政府购买服务（村级防疫员公岗106人）动物防疫绩效劳务补助上半年在我单位发放，下半年根据上级要求将款转入库尔勒市农业农村局实行“一卡通”发放，导致资金减少。</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50" w:lineRule="exact"/>
        <w:ind w:left="0"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农林水支出（类）农业农村（款）病虫害控制（项）：支出决算数为102.81万元，比上年决算减少24.19万元，下降19.05%，主要原因是：</w:t>
      </w:r>
      <w:r>
        <w:rPr>
          <w:rFonts w:hint="eastAsia" w:ascii="仿宋_GB2312" w:eastAsia="仿宋_GB2312"/>
          <w:b w:val="0"/>
          <w:sz w:val="32"/>
          <w:szCs w:val="32"/>
          <w:lang w:val="en-US" w:eastAsia="zh-CN"/>
        </w:rPr>
        <w:t>上级动物防疫补助专项经费拨款比上年减少。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747.70万元，其中：人员经费731.89万元，包括：基本工资、津贴补贴、奖金、机关事业单位基本养老保险缴费、职工基本医疗保险缴费、其他社会保障缴费、住房公积金、医疗费、其他工资福利支出和退休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公用经费15.81万元，包括：办公费、手续费、电费、邮电费、取暖费、物业管理费、维修（护）费、培训费、专用材料费、劳务费、工会经费、福利费和公务用车运行维护费。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2024年度财政拨款“三公”经费支出2.40万元，与上年相比无变化，主要原因是：</w:t>
      </w:r>
      <w:r>
        <w:rPr>
          <w:rFonts w:hint="eastAsia" w:ascii="仿宋_GB2312" w:eastAsia="仿宋_GB2312"/>
          <w:sz w:val="32"/>
          <w:szCs w:val="32"/>
          <w:lang w:val="zh-CN"/>
        </w:rPr>
        <w:t>与上年基本持平</w:t>
      </w:r>
      <w:r>
        <w:rPr>
          <w:rFonts w:ascii="仿宋_GB2312" w:eastAsia="仿宋_GB2312"/>
          <w:b w:val="0"/>
          <w:sz w:val="32"/>
          <w:szCs w:val="32"/>
        </w:rPr>
        <w:t>。其中：因公出国（境）费支出0.00万元,占0.00%，与上年相比无变化，主要原因是：</w:t>
      </w:r>
      <w:r>
        <w:rPr>
          <w:rFonts w:hint="eastAsia" w:ascii="仿宋_GB2312" w:eastAsia="仿宋_GB2312"/>
          <w:sz w:val="32"/>
          <w:szCs w:val="32"/>
          <w:lang w:val="zh-CN"/>
        </w:rPr>
        <w:t>单位无因公出国（境）人员</w:t>
      </w:r>
      <w:r>
        <w:rPr>
          <w:rFonts w:ascii="仿宋_GB2312" w:eastAsia="仿宋_GB2312"/>
          <w:b w:val="0"/>
          <w:sz w:val="32"/>
          <w:szCs w:val="32"/>
        </w:rPr>
        <w:t>；公务用车购置及运行维护费支出2.40万元，占100.00%，与上年相比无变化，主要原因是：</w:t>
      </w:r>
      <w:r>
        <w:rPr>
          <w:rFonts w:hint="eastAsia" w:ascii="仿宋_GB2312" w:eastAsia="仿宋_GB2312"/>
          <w:sz w:val="32"/>
          <w:szCs w:val="32"/>
          <w:lang w:val="zh-CN"/>
        </w:rPr>
        <w:t>与上年公务用车运行维护基本持平</w:t>
      </w:r>
      <w:r>
        <w:rPr>
          <w:rFonts w:ascii="仿宋_GB2312" w:eastAsia="仿宋_GB2312"/>
          <w:b w:val="0"/>
          <w:sz w:val="32"/>
          <w:szCs w:val="32"/>
        </w:rPr>
        <w:t>；公务接待费支出0.00万元，占0.00%，与上年相比无变化，主要原因是：</w:t>
      </w:r>
      <w:r>
        <w:rPr>
          <w:rFonts w:hint="eastAsia" w:ascii="仿宋_GB2312" w:eastAsia="仿宋_GB2312"/>
          <w:sz w:val="32"/>
          <w:szCs w:val="32"/>
          <w:lang w:val="zh-CN"/>
        </w:rPr>
        <w:t>单位无公务接待费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因公出国（境）费支出0.00万元，开支内容包括0。单位全年安排的因公出国（境）团组0个，因公出国（境）0人次。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公务用车购置及运行维护费2.40万元，其中：公务用车购置费0.00万元，公务用车运行维护费2.40万元。公务用车运行维护费开支内容包括</w:t>
      </w:r>
      <w:r>
        <w:rPr>
          <w:rFonts w:hint="eastAsia" w:ascii="仿宋_GB2312" w:eastAsia="仿宋_GB2312"/>
          <w:b w:val="0"/>
          <w:sz w:val="32"/>
          <w:szCs w:val="32"/>
          <w:lang w:eastAsia="zh-CN"/>
        </w:rPr>
        <w:t>：</w:t>
      </w:r>
      <w:r>
        <w:rPr>
          <w:rFonts w:hint="eastAsia" w:ascii="仿宋_GB2312" w:eastAsia="仿宋_GB2312"/>
          <w:color w:val="auto"/>
          <w:sz w:val="32"/>
          <w:szCs w:val="32"/>
          <w:highlight w:val="none"/>
          <w:lang w:val="en-US" w:eastAsia="zh-CN"/>
        </w:rPr>
        <w:t>车辆维护费、车辆燃料费、车辆保险费</w:t>
      </w:r>
      <w:r>
        <w:rPr>
          <w:rFonts w:ascii="仿宋_GB2312" w:eastAsia="仿宋_GB2312"/>
          <w:b w:val="0"/>
          <w:sz w:val="32"/>
          <w:szCs w:val="32"/>
        </w:rPr>
        <w:t>。公务用车购置数0辆，公务用车保有量1辆。国有资产占用情况中固定资产车辆8辆，与公务用车保有量差异原因是：国有资产占用情况中固定资产车辆8辆</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主要为</w:t>
      </w:r>
      <w:r>
        <w:rPr>
          <w:rFonts w:hint="eastAsia" w:ascii="仿宋_GB2312" w:eastAsia="仿宋_GB2312"/>
          <w:sz w:val="32"/>
          <w:szCs w:val="32"/>
          <w:lang w:val="en-US" w:eastAsia="zh-CN"/>
        </w:rPr>
        <w:t>8</w:t>
      </w:r>
      <w:r>
        <w:rPr>
          <w:rFonts w:hint="eastAsia" w:ascii="仿宋_GB2312" w:eastAsia="仿宋_GB2312"/>
          <w:sz w:val="32"/>
          <w:szCs w:val="32"/>
          <w:lang w:val="zh-CN"/>
        </w:rPr>
        <w:t>辆已到使用年限等待报废</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公务接待费0.00万元，开支内容包括0。单位全年安排的国内公务接待0批次，0人次。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与全年预算相比，财政拨款“三公”经费支出全年预算数2.40万元，决算数2.40万元，预决算差异率0.00%，主要原因是：</w:t>
      </w:r>
      <w:r>
        <w:rPr>
          <w:rFonts w:hint="eastAsia" w:ascii="仿宋_GB2312" w:eastAsia="仿宋_GB2312"/>
          <w:sz w:val="32"/>
          <w:szCs w:val="32"/>
          <w:lang w:val="zh-CN"/>
        </w:rPr>
        <w:t>与上年公务用车运行维护基本持平</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sz w:val="32"/>
          <w:szCs w:val="32"/>
          <w:lang w:val="zh-CN"/>
        </w:rPr>
        <w:t>单位无因公出国（境）人员</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单位无公务用车购置费支出</w:t>
      </w:r>
      <w:r>
        <w:rPr>
          <w:rFonts w:ascii="仿宋_GB2312" w:eastAsia="仿宋_GB2312"/>
          <w:b w:val="0"/>
          <w:sz w:val="32"/>
          <w:szCs w:val="32"/>
        </w:rPr>
        <w:t>。公务用车运行维护费全年预算数2.40万元，决算数2.40万元，预决算差异率0.00%，主要原因是：</w:t>
      </w:r>
      <w:r>
        <w:rPr>
          <w:rFonts w:hint="eastAsia" w:ascii="仿宋_GB2312" w:eastAsia="仿宋_GB2312"/>
          <w:sz w:val="32"/>
          <w:szCs w:val="32"/>
          <w:lang w:val="zh-CN"/>
        </w:rPr>
        <w:t>与上年公务用车运行维护基本持平</w:t>
      </w:r>
      <w:r>
        <w:rPr>
          <w:rFonts w:ascii="仿宋_GB2312" w:eastAsia="仿宋_GB2312"/>
          <w:b w:val="0"/>
          <w:sz w:val="32"/>
          <w:szCs w:val="32"/>
        </w:rPr>
        <w:t>。公务接待费全年预算数0.00万元，决算数0.00万元，预决算差异率0.00%，主要原因是：</w:t>
      </w:r>
      <w:r>
        <w:rPr>
          <w:rFonts w:hint="eastAsia" w:ascii="仿宋_GB2312" w:eastAsia="仿宋_GB2312"/>
          <w:sz w:val="32"/>
          <w:szCs w:val="32"/>
          <w:lang w:val="zh-CN"/>
        </w:rPr>
        <w:t>单位无公务接待费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2024年度公用经费支出15.81万元，比上年增加4.28万元，增长37.12%，主要原因是：</w:t>
      </w:r>
      <w:r>
        <w:rPr>
          <w:rFonts w:hint="eastAsia" w:ascii="仿宋_GB2312" w:eastAsia="仿宋_GB2312"/>
          <w:b w:val="0"/>
          <w:sz w:val="32"/>
          <w:szCs w:val="32"/>
          <w:lang w:val="en-US" w:eastAsia="zh-CN"/>
        </w:rPr>
        <w:t>根据工作需要，本年新增公用</w:t>
      </w:r>
      <w:r>
        <w:rPr>
          <w:rFonts w:hint="eastAsia" w:ascii="仿宋_GB2312" w:eastAsia="仿宋_GB2312"/>
          <w:b w:val="0"/>
          <w:sz w:val="32"/>
          <w:szCs w:val="32"/>
        </w:rPr>
        <w:t>取暖费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动物实验室特殊垃圾处理费、专用材料费、劳务费等</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2024年度政府采购支出总额22.14万元，其中：政府采购货物支出21.00万元、政府采购工程支出0.00万元、政府采购服务支出1.14万元。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授予中小企业合同金额22.14万元，占政府采购支出总额的100.00%，其中：授予小微企业合同金额21.80万元，占政府采购支出总额的98.46%。</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7,270.25平方米，价值133.17万元。车辆8辆，价值52.42万元，其中：副部（省）级及以上领导用车0辆、主要负责人用车0辆、机要通信用车0辆、应急保障用车0辆、执法执勤用车0辆、特种专业技术用车0辆、离退休干部服务用车0辆、其他用车8辆，其他用车主要是：其他用车8辆</w:t>
      </w:r>
      <w:r>
        <w:rPr>
          <w:rFonts w:hint="eastAsia" w:ascii="仿宋_GB2312" w:eastAsia="仿宋_GB2312"/>
          <w:b w:val="0"/>
          <w:sz w:val="32"/>
          <w:szCs w:val="32"/>
          <w:lang w:val="en-US" w:eastAsia="zh-CN"/>
        </w:rPr>
        <w:t>使用年限久，已损坏，处于待报废状态</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kinsoku/>
        <w:wordWrap/>
        <w:overflowPunct/>
        <w:topLinePunct w:val="0"/>
        <w:autoSpaceDE/>
        <w:autoSpaceDN/>
        <w:bidi w:val="0"/>
        <w:adjustRightInd/>
        <w:snapToGrid/>
        <w:spacing w:line="550" w:lineRule="exact"/>
        <w:ind w:left="0" w:leftChars="0" w:firstLine="640" w:firstLineChars="200"/>
        <w:textAlignment w:val="auto"/>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rPr>
        <w:t>975.5</w:t>
      </w:r>
      <w:r>
        <w:rPr>
          <w:rFonts w:ascii="仿宋_GB2312" w:eastAsia="仿宋_GB2312"/>
          <w:b w:val="0"/>
          <w:sz w:val="32"/>
          <w:szCs w:val="32"/>
        </w:rPr>
        <w:t>万元，实际执行总额</w:t>
      </w:r>
      <w:r>
        <w:rPr>
          <w:rFonts w:hint="eastAsia" w:ascii="仿宋_GB2312" w:eastAsia="仿宋_GB2312"/>
          <w:b w:val="0"/>
          <w:sz w:val="32"/>
          <w:szCs w:val="32"/>
        </w:rPr>
        <w:t>850.51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w:t>
      </w:r>
      <w:r>
        <w:rPr>
          <w:rFonts w:hint="eastAsia" w:ascii="仿宋_GB2312" w:eastAsia="仿宋_GB2312"/>
          <w:b w:val="0"/>
          <w:sz w:val="32"/>
          <w:szCs w:val="32"/>
          <w:lang w:val="en-US" w:eastAsia="zh-CN"/>
        </w:rPr>
        <w:t>136</w:t>
      </w:r>
      <w:r>
        <w:rPr>
          <w:rFonts w:ascii="仿宋_GB2312" w:eastAsia="仿宋_GB2312"/>
          <w:b w:val="0"/>
          <w:sz w:val="32"/>
          <w:szCs w:val="32"/>
        </w:rPr>
        <w:t>万元，全年执行数</w:t>
      </w:r>
      <w:r>
        <w:rPr>
          <w:rFonts w:hint="eastAsia" w:ascii="仿宋_GB2312" w:eastAsia="仿宋_GB2312"/>
          <w:b w:val="0"/>
          <w:sz w:val="32"/>
          <w:szCs w:val="32"/>
          <w:lang w:val="en-US" w:eastAsia="zh-CN"/>
        </w:rPr>
        <w:t>136</w:t>
      </w:r>
      <w:r>
        <w:rPr>
          <w:rFonts w:ascii="仿宋_GB2312" w:eastAsia="仿宋_GB2312"/>
          <w:b w:val="0"/>
          <w:sz w:val="32"/>
          <w:szCs w:val="32"/>
        </w:rPr>
        <w:t>万元。</w:t>
      </w:r>
    </w:p>
    <w:p>
      <w:pPr>
        <w:keepNext w:val="0"/>
        <w:keepLines w:val="0"/>
        <w:pageBreakBefore w:val="0"/>
        <w:widowControl w:val="0"/>
        <w:kinsoku/>
        <w:wordWrap/>
        <w:overflowPunct/>
        <w:topLinePunct w:val="0"/>
        <w:autoSpaceDE/>
        <w:autoSpaceDN/>
        <w:bidi w:val="0"/>
        <w:adjustRightInd/>
        <w:snapToGrid/>
        <w:spacing w:line="550" w:lineRule="exact"/>
        <w:ind w:left="0" w:leftChars="0" w:firstLine="643" w:firstLineChars="200"/>
        <w:textAlignment w:val="auto"/>
        <w:rPr>
          <w:rFonts w:ascii="仿宋_GB2312" w:eastAsia="仿宋_GB2312"/>
          <w:b/>
          <w:bCs/>
          <w:sz w:val="32"/>
          <w:szCs w:val="32"/>
        </w:rPr>
      </w:pPr>
      <w:r>
        <w:rPr>
          <w:rFonts w:ascii="仿宋_GB2312" w:eastAsia="仿宋_GB2312"/>
          <w:b/>
          <w:bCs/>
          <w:sz w:val="32"/>
          <w:szCs w:val="32"/>
        </w:rPr>
        <w:t>预算绩效管理取得的成效：</w:t>
      </w:r>
    </w:p>
    <w:p>
      <w:pPr>
        <w:keepNext w:val="0"/>
        <w:keepLines w:val="0"/>
        <w:pageBreakBefore w:val="0"/>
        <w:widowControl w:val="0"/>
        <w:kinsoku/>
        <w:wordWrap/>
        <w:overflowPunct/>
        <w:topLinePunct w:val="0"/>
        <w:autoSpaceDE/>
        <w:autoSpaceDN/>
        <w:bidi w:val="0"/>
        <w:adjustRightInd/>
        <w:snapToGrid/>
        <w:spacing w:line="550" w:lineRule="exact"/>
        <w:ind w:left="0" w:leftChars="0" w:firstLine="624" w:firstLineChars="200"/>
        <w:textAlignment w:val="auto"/>
        <w:rPr>
          <w:rStyle w:val="4"/>
          <w:rFonts w:hint="eastAsia" w:ascii="楷体" w:hAnsi="楷体" w:eastAsia="楷体"/>
          <w:b w:val="0"/>
          <w:bCs w:val="0"/>
          <w:spacing w:val="-4"/>
          <w:sz w:val="32"/>
          <w:szCs w:val="32"/>
        </w:rPr>
      </w:pPr>
      <w:r>
        <w:rPr>
          <w:rStyle w:val="4"/>
          <w:rFonts w:hint="eastAsia" w:ascii="楷体" w:hAnsi="楷体" w:eastAsia="楷体"/>
          <w:b w:val="0"/>
          <w:bCs w:val="0"/>
          <w:spacing w:val="-4"/>
          <w:sz w:val="32"/>
          <w:szCs w:val="32"/>
        </w:rPr>
        <w:t>1</w:t>
      </w:r>
      <w:r>
        <w:rPr>
          <w:rStyle w:val="4"/>
          <w:rFonts w:hint="eastAsia" w:ascii="楷体" w:hAnsi="楷体" w:eastAsia="楷体"/>
          <w:b w:val="0"/>
          <w:bCs w:val="0"/>
          <w:spacing w:val="-4"/>
          <w:sz w:val="32"/>
          <w:szCs w:val="32"/>
          <w:lang w:val="en-US" w:eastAsia="zh-CN"/>
        </w:rPr>
        <w:t>.</w:t>
      </w:r>
      <w:r>
        <w:rPr>
          <w:rStyle w:val="4"/>
          <w:rFonts w:hint="eastAsia" w:ascii="楷体" w:hAnsi="楷体" w:eastAsia="楷体"/>
          <w:b w:val="0"/>
          <w:bCs w:val="0"/>
          <w:spacing w:val="-4"/>
          <w:sz w:val="32"/>
          <w:szCs w:val="32"/>
        </w:rPr>
        <w:t>国家重点动物疫病的强制免疫、免疫效果监测评价、疫</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24" w:firstLineChars="200"/>
        <w:jc w:val="both"/>
        <w:textAlignment w:val="auto"/>
        <w:rPr>
          <w:rFonts w:ascii="仿宋_GB2312" w:eastAsia="仿宋_GB2312"/>
          <w:b w:val="0"/>
          <w:sz w:val="32"/>
          <w:szCs w:val="32"/>
        </w:rPr>
      </w:pPr>
      <w:r>
        <w:rPr>
          <w:rStyle w:val="4"/>
          <w:rFonts w:hint="eastAsia" w:ascii="楷体" w:hAnsi="楷体" w:eastAsia="楷体"/>
          <w:b w:val="0"/>
          <w:bCs w:val="0"/>
          <w:spacing w:val="-4"/>
          <w:sz w:val="32"/>
          <w:szCs w:val="32"/>
        </w:rPr>
        <w:t>病监测和净化、人员防护等相关防控措施。允许按程序对符合条件的养殖场户实行强制免疫“先打后补”，逐步实现养殖场户自主采购，财政直补；对暂不符合条件的养殖场户，强制免疫疫苗继续实施省级集中采购，以政府购买动物防疫服务形式实施强制免疫。</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w:t>
      </w:r>
      <w:r>
        <w:rPr>
          <w:rStyle w:val="4"/>
          <w:rFonts w:hint="eastAsia" w:ascii="楷体" w:hAnsi="楷体" w:eastAsia="楷体"/>
          <w:b w:val="0"/>
          <w:bCs w:val="0"/>
          <w:spacing w:val="-4"/>
          <w:sz w:val="32"/>
          <w:szCs w:val="32"/>
        </w:rPr>
        <w:t>2</w:t>
      </w:r>
      <w:r>
        <w:rPr>
          <w:rStyle w:val="4"/>
          <w:rFonts w:hint="eastAsia" w:ascii="楷体" w:hAnsi="楷体" w:eastAsia="楷体"/>
          <w:b w:val="0"/>
          <w:bCs w:val="0"/>
          <w:spacing w:val="-4"/>
          <w:sz w:val="32"/>
          <w:szCs w:val="32"/>
          <w:lang w:val="en-US" w:eastAsia="zh-CN"/>
        </w:rPr>
        <w:t>.</w:t>
      </w:r>
      <w:r>
        <w:rPr>
          <w:rStyle w:val="4"/>
          <w:rFonts w:hint="eastAsia" w:ascii="楷体" w:hAnsi="楷体" w:eastAsia="楷体"/>
          <w:b w:val="0"/>
          <w:bCs w:val="0"/>
          <w:spacing w:val="-4"/>
          <w:sz w:val="32"/>
          <w:szCs w:val="32"/>
        </w:rPr>
        <w:t>国家建立强制免疫、强制扑杀补助病种、销毁动物产品和相关物品种类动态调整机制。在编制年度预算前或预算执行中，财政部会同农业农村部适时开展评估并作出调整。</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w:t>
      </w:r>
      <w:r>
        <w:rPr>
          <w:rStyle w:val="4"/>
          <w:rFonts w:hint="eastAsia" w:ascii="楷体" w:hAnsi="楷体" w:eastAsia="楷体"/>
          <w:b w:val="0"/>
          <w:bCs w:val="0"/>
          <w:spacing w:val="-4"/>
          <w:sz w:val="32"/>
          <w:szCs w:val="32"/>
        </w:rPr>
        <w:t>3</w:t>
      </w:r>
      <w:r>
        <w:rPr>
          <w:rStyle w:val="4"/>
          <w:rFonts w:hint="eastAsia" w:ascii="楷体" w:hAnsi="楷体" w:eastAsia="楷体"/>
          <w:b w:val="0"/>
          <w:bCs w:val="0"/>
          <w:spacing w:val="-4"/>
          <w:sz w:val="32"/>
          <w:szCs w:val="32"/>
          <w:lang w:val="en-US" w:eastAsia="zh-CN"/>
        </w:rPr>
        <w:t>.</w:t>
      </w:r>
      <w:r>
        <w:rPr>
          <w:rStyle w:val="4"/>
          <w:rFonts w:hint="eastAsia" w:ascii="楷体" w:hAnsi="楷体" w:eastAsia="楷体"/>
          <w:b w:val="0"/>
          <w:bCs w:val="0"/>
          <w:spacing w:val="-4"/>
          <w:sz w:val="32"/>
          <w:szCs w:val="32"/>
        </w:rPr>
        <w:t>市农业农村局负责动物防疫的行业规划编制，指导、推动和监督开展动物防疫工作，会同财政部门根据上级下达年度工作任务清单，做好资金测算、任务完成情况监督等。</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w:t>
      </w:r>
      <w:r>
        <w:rPr>
          <w:rStyle w:val="4"/>
          <w:rFonts w:hint="eastAsia" w:ascii="楷体" w:hAnsi="楷体" w:eastAsia="楷体"/>
          <w:b w:val="0"/>
          <w:bCs w:val="0"/>
          <w:spacing w:val="-4"/>
          <w:sz w:val="32"/>
          <w:szCs w:val="32"/>
        </w:rPr>
        <w:t>4</w:t>
      </w:r>
      <w:r>
        <w:rPr>
          <w:rStyle w:val="4"/>
          <w:rFonts w:hint="eastAsia" w:ascii="楷体" w:hAnsi="楷体" w:eastAsia="楷体"/>
          <w:b w:val="0"/>
          <w:bCs w:val="0"/>
          <w:spacing w:val="-4"/>
          <w:sz w:val="32"/>
          <w:szCs w:val="32"/>
          <w:lang w:val="en-US" w:eastAsia="zh-CN"/>
        </w:rPr>
        <w:t>.</w:t>
      </w:r>
      <w:r>
        <w:rPr>
          <w:rStyle w:val="4"/>
          <w:rFonts w:hint="eastAsia" w:ascii="楷体" w:hAnsi="楷体" w:eastAsia="楷体"/>
          <w:b w:val="0"/>
          <w:bCs w:val="0"/>
          <w:spacing w:val="-4"/>
          <w:sz w:val="32"/>
          <w:szCs w:val="32"/>
        </w:rPr>
        <w:t>市财政部门主要负责动物防疫等补助经费的预算分解下达、资金审核拨付、本地区预算绩效管理以及资金使用监督。市农业农村局负责相关规划或实施方案编制、项目组织实施和监督等。</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both"/>
        <w:textAlignment w:val="auto"/>
        <w:rPr>
          <w:rFonts w:ascii="仿宋_GB2312" w:eastAsia="仿宋_GB2312"/>
          <w:b w:val="0"/>
          <w:sz w:val="32"/>
          <w:szCs w:val="32"/>
        </w:rPr>
      </w:pPr>
      <w:r>
        <w:rPr>
          <w:rFonts w:ascii="仿宋_GB2312" w:eastAsia="仿宋_GB2312"/>
          <w:b/>
          <w:bCs/>
          <w:sz w:val="32"/>
          <w:szCs w:val="32"/>
        </w:rPr>
        <w:t>发现的问题及原因：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24" w:firstLineChars="200"/>
        <w:jc w:val="both"/>
        <w:textAlignment w:val="auto"/>
        <w:rPr>
          <w:rFonts w:ascii="仿宋_GB2312" w:eastAsia="仿宋_GB2312"/>
          <w:b w:val="0"/>
          <w:sz w:val="32"/>
          <w:szCs w:val="32"/>
        </w:rPr>
      </w:pPr>
      <w:r>
        <w:rPr>
          <w:rStyle w:val="4"/>
          <w:rFonts w:hint="eastAsia" w:ascii="楷体" w:hAnsi="楷体" w:eastAsia="楷体"/>
          <w:b w:val="0"/>
          <w:bCs w:val="0"/>
          <w:spacing w:val="-4"/>
          <w:sz w:val="32"/>
          <w:szCs w:val="32"/>
          <w:lang w:val="en-US" w:eastAsia="zh-CN"/>
        </w:rPr>
        <w:t>1.</w:t>
      </w:r>
      <w:r>
        <w:rPr>
          <w:rStyle w:val="4"/>
          <w:rFonts w:hint="eastAsia" w:ascii="楷体" w:hAnsi="楷体" w:eastAsia="楷体"/>
          <w:b w:val="0"/>
          <w:bCs w:val="0"/>
          <w:spacing w:val="-4"/>
          <w:sz w:val="32"/>
          <w:szCs w:val="32"/>
        </w:rPr>
        <w:t>基础设施薄弱</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w:t>
      </w:r>
      <w:r>
        <w:rPr>
          <w:rStyle w:val="4"/>
          <w:rFonts w:hint="eastAsia" w:ascii="楷体" w:hAnsi="楷体" w:eastAsia="楷体"/>
          <w:b w:val="0"/>
          <w:bCs w:val="0"/>
          <w:spacing w:val="-4"/>
          <w:sz w:val="32"/>
          <w:szCs w:val="32"/>
        </w:rPr>
        <w:t>我单位为最基层动物防疫辖区，动物防疫基础设施建设滞后，基层动物防疫站点的检测设备陈旧、老化，难以满足对新型动物疫病快速精准检测的需求。下属13个乡（镇）兽医站，缺乏先进的病原核酸检测仪器，无法第一时间确诊疫情，导致疫病防控工作延误。</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2.</w:t>
      </w:r>
      <w:r>
        <w:rPr>
          <w:rStyle w:val="4"/>
          <w:rFonts w:hint="eastAsia" w:ascii="楷体" w:hAnsi="楷体" w:eastAsia="楷体"/>
          <w:b w:val="0"/>
          <w:bCs w:val="0"/>
          <w:spacing w:val="-4"/>
          <w:sz w:val="32"/>
          <w:szCs w:val="32"/>
        </w:rPr>
        <w:t>专业人员短缺</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w:t>
      </w:r>
      <w:r>
        <w:rPr>
          <w:rStyle w:val="4"/>
          <w:rFonts w:hint="eastAsia" w:ascii="楷体" w:hAnsi="楷体" w:eastAsia="楷体"/>
          <w:b w:val="0"/>
          <w:bCs w:val="0"/>
          <w:spacing w:val="-4"/>
          <w:sz w:val="32"/>
          <w:szCs w:val="32"/>
        </w:rPr>
        <w:t>动物防疫专业人才匮乏，全市动物防疫监测在职在编13人，公益性岗位基层防疫人员知识老化，难以适应现代动物防疫技术的发展要求。许多年轻专业人才更倾向于留在城市，不愿投身基层防疫工作，导致基层防疫队伍新鲜血液补充不足。同时，现有防疫人员培训不足，对新出现的动物疫病防控技术和理念掌握不及时，影响防疫工作质量。另外，聘用的村级防疫员工资待遇低，影响防疫的工作积极性。</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3.</w:t>
      </w:r>
      <w:r>
        <w:rPr>
          <w:rStyle w:val="4"/>
          <w:rFonts w:hint="eastAsia" w:ascii="楷体" w:hAnsi="楷体" w:eastAsia="楷体"/>
          <w:b w:val="0"/>
          <w:bCs w:val="0"/>
          <w:spacing w:val="-4"/>
          <w:sz w:val="32"/>
          <w:szCs w:val="32"/>
        </w:rPr>
        <w:t>防疫意识淡薄</w:t>
      </w:r>
      <w:r>
        <w:rPr>
          <w:rStyle w:val="4"/>
          <w:rFonts w:hint="eastAsia" w:ascii="楷体" w:hAnsi="楷体" w:eastAsia="楷体"/>
          <w:b w:val="0"/>
          <w:bCs w:val="0"/>
          <w:spacing w:val="-4"/>
          <w:sz w:val="32"/>
          <w:szCs w:val="32"/>
        </w:rPr>
        <w:cr/>
      </w:r>
      <w:r>
        <w:rPr>
          <w:rStyle w:val="4"/>
          <w:rFonts w:hint="eastAsia" w:ascii="楷体" w:hAnsi="楷体" w:eastAsia="楷体"/>
          <w:b w:val="0"/>
          <w:bCs w:val="0"/>
          <w:spacing w:val="-4"/>
          <w:sz w:val="32"/>
          <w:szCs w:val="32"/>
          <w:lang w:val="en-US" w:eastAsia="zh-CN"/>
        </w:rPr>
        <w:t xml:space="preserve">    </w:t>
      </w:r>
      <w:r>
        <w:rPr>
          <w:rStyle w:val="4"/>
          <w:rFonts w:hint="eastAsia" w:ascii="楷体" w:hAnsi="楷体" w:eastAsia="楷体"/>
          <w:b w:val="0"/>
          <w:bCs w:val="0"/>
          <w:spacing w:val="-4"/>
          <w:sz w:val="32"/>
          <w:szCs w:val="32"/>
        </w:rPr>
        <w:t>部分养殖户和养殖场对动物防疫的重要性认识不足，存在侥幸心理，不主动配合防疫工作。例如，一些散户不按时给畜禽接种疫苗，不注重养殖场的环境卫生和消毒工作，导致畜禽易感染疫病。此外，部分地区群众对病死畜禽无害化处理的重要性缺乏认识，甚至私自售卖病死畜禽，加剧了疫病传播风险。</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both"/>
        <w:textAlignment w:val="auto"/>
        <w:rPr>
          <w:rFonts w:ascii="仿宋_GB2312" w:eastAsia="仿宋_GB2312"/>
          <w:b/>
          <w:bCs/>
          <w:sz w:val="32"/>
          <w:szCs w:val="32"/>
        </w:rPr>
      </w:pPr>
      <w:r>
        <w:rPr>
          <w:rFonts w:ascii="仿宋_GB2312" w:eastAsia="仿宋_GB2312"/>
          <w:b/>
          <w:bCs/>
          <w:sz w:val="32"/>
          <w:szCs w:val="32"/>
        </w:rPr>
        <w:t>下一步改进措施：</w:t>
      </w:r>
    </w:p>
    <w:p>
      <w:pPr>
        <w:keepNext w:val="0"/>
        <w:keepLines w:val="0"/>
        <w:pageBreakBefore w:val="0"/>
        <w:widowControl w:val="0"/>
        <w:kinsoku/>
        <w:wordWrap/>
        <w:overflowPunct/>
        <w:topLinePunct w:val="0"/>
        <w:autoSpaceDE/>
        <w:autoSpaceDN/>
        <w:bidi w:val="0"/>
        <w:adjustRightInd/>
        <w:snapToGrid/>
        <w:spacing w:line="550" w:lineRule="exact"/>
        <w:ind w:left="0" w:leftChars="0" w:firstLine="627" w:firstLineChars="200"/>
        <w:textAlignment w:val="auto"/>
        <w:rPr>
          <w:rStyle w:val="4"/>
          <w:rFonts w:hint="eastAsia" w:ascii="楷体" w:hAnsi="楷体" w:eastAsia="楷体"/>
          <w:b w:val="0"/>
          <w:bCs w:val="0"/>
          <w:spacing w:val="-4"/>
          <w:sz w:val="32"/>
          <w:szCs w:val="32"/>
        </w:rPr>
      </w:pPr>
      <w:r>
        <w:rPr>
          <w:rStyle w:val="4"/>
          <w:rFonts w:hint="eastAsia" w:ascii="楷体" w:hAnsi="楷体" w:eastAsia="楷体"/>
          <w:b/>
          <w:bCs/>
          <w:spacing w:val="-4"/>
          <w:sz w:val="32"/>
          <w:szCs w:val="32"/>
          <w:lang w:val="en-US" w:eastAsia="zh-CN"/>
        </w:rPr>
        <w:t>1.</w:t>
      </w:r>
      <w:r>
        <w:rPr>
          <w:rStyle w:val="4"/>
          <w:rFonts w:hint="eastAsia" w:ascii="楷体" w:hAnsi="楷体" w:eastAsia="楷体"/>
          <w:b/>
          <w:bCs/>
          <w:spacing w:val="-4"/>
          <w:sz w:val="32"/>
          <w:szCs w:val="32"/>
        </w:rPr>
        <w:t>争取专项资金升级设备</w:t>
      </w:r>
      <w:r>
        <w:rPr>
          <w:rStyle w:val="4"/>
          <w:rFonts w:hint="eastAsia" w:ascii="楷体" w:hAnsi="楷体" w:eastAsia="楷体"/>
          <w:b/>
          <w:bCs/>
          <w:spacing w:val="-4"/>
          <w:sz w:val="32"/>
          <w:szCs w:val="32"/>
        </w:rPr>
        <w:cr/>
      </w:r>
      <w:r>
        <w:rPr>
          <w:rStyle w:val="4"/>
          <w:rFonts w:hint="eastAsia" w:ascii="楷体" w:hAnsi="楷体" w:eastAsia="楷体"/>
          <w:b w:val="0"/>
          <w:bCs w:val="0"/>
          <w:spacing w:val="-4"/>
          <w:sz w:val="32"/>
          <w:szCs w:val="32"/>
        </w:rPr>
        <w:t>积极向上级部门、本级财政部门申请动物防疫基础设施建</w:t>
      </w:r>
    </w:p>
    <w:p>
      <w:pPr>
        <w:keepNext w:val="0"/>
        <w:keepLines w:val="0"/>
        <w:pageBreakBefore w:val="0"/>
        <w:widowControl w:val="0"/>
        <w:kinsoku/>
        <w:wordWrap/>
        <w:overflowPunct/>
        <w:topLinePunct w:val="0"/>
        <w:autoSpaceDE/>
        <w:autoSpaceDN/>
        <w:bidi w:val="0"/>
        <w:adjustRightInd/>
        <w:snapToGrid/>
        <w:spacing w:line="550" w:lineRule="exact"/>
        <w:ind w:left="0" w:leftChars="0" w:firstLine="624" w:firstLineChars="200"/>
        <w:textAlignment w:val="auto"/>
        <w:rPr>
          <w:rStyle w:val="4"/>
          <w:rFonts w:ascii="楷体" w:hAnsi="楷体" w:eastAsia="楷体"/>
          <w:spacing w:val="-4"/>
          <w:sz w:val="32"/>
          <w:szCs w:val="32"/>
        </w:rPr>
      </w:pPr>
      <w:r>
        <w:rPr>
          <w:rStyle w:val="4"/>
          <w:rFonts w:hint="eastAsia" w:ascii="楷体" w:hAnsi="楷体" w:eastAsia="楷体"/>
          <w:b w:val="0"/>
          <w:bCs w:val="0"/>
          <w:spacing w:val="-4"/>
          <w:sz w:val="32"/>
          <w:szCs w:val="32"/>
        </w:rPr>
        <w:t>设专项资金，详细阐述库尔勒市基层动物防疫站点检测设备陈旧、老化，无法满足新型动物疫病检测需求的现状，重点说明下属 13 个乡（镇）兽医站缺乏先进病原核酸检测仪器导致疫情确诊延误的问题，争取专项拨款用于购置荧光定量 PCR 仪、全自动核酸提取仪等先进检测设备，提升疫病快速精准检测能力。</w:t>
      </w:r>
      <w:r>
        <w:rPr>
          <w:rStyle w:val="4"/>
          <w:rFonts w:hint="eastAsia" w:ascii="楷体" w:hAnsi="楷体" w:eastAsia="楷体"/>
          <w:b w:val="0"/>
          <w:bCs w:val="0"/>
          <w:spacing w:val="-4"/>
          <w:sz w:val="32"/>
          <w:szCs w:val="32"/>
        </w:rPr>
        <w:cr/>
      </w:r>
      <w:r>
        <w:rPr>
          <w:rStyle w:val="4"/>
          <w:rFonts w:hint="eastAsia" w:ascii="楷体" w:hAnsi="楷体" w:eastAsia="楷体"/>
          <w:spacing w:val="-4"/>
          <w:sz w:val="32"/>
          <w:szCs w:val="32"/>
          <w:lang w:val="en-US" w:eastAsia="zh-CN"/>
        </w:rPr>
        <w:t xml:space="preserve">    2.</w:t>
      </w:r>
      <w:r>
        <w:rPr>
          <w:rStyle w:val="4"/>
          <w:rFonts w:hint="eastAsia" w:ascii="楷体" w:hAnsi="楷体" w:eastAsia="楷体"/>
          <w:spacing w:val="-4"/>
          <w:sz w:val="32"/>
          <w:szCs w:val="32"/>
        </w:rPr>
        <w:t>加强专业人才队伍建设</w:t>
      </w:r>
      <w:r>
        <w:rPr>
          <w:rStyle w:val="4"/>
          <w:rFonts w:hint="eastAsia" w:ascii="楷体" w:hAnsi="楷体" w:eastAsia="楷体"/>
          <w:spacing w:val="-4"/>
          <w:sz w:val="32"/>
          <w:szCs w:val="32"/>
        </w:rPr>
        <w:cr/>
      </w:r>
      <w:r>
        <w:rPr>
          <w:rStyle w:val="4"/>
          <w:rFonts w:hint="eastAsia" w:ascii="楷体" w:hAnsi="楷体" w:eastAsia="楷体"/>
          <w:spacing w:val="-4"/>
          <w:sz w:val="32"/>
          <w:szCs w:val="32"/>
          <w:lang w:val="en-US" w:eastAsia="zh-CN"/>
        </w:rPr>
        <w:t xml:space="preserve"> </w:t>
      </w:r>
      <w:r>
        <w:rPr>
          <w:rStyle w:val="4"/>
          <w:rFonts w:hint="eastAsia" w:ascii="楷体" w:hAnsi="楷体" w:eastAsia="楷体"/>
          <w:b w:val="0"/>
          <w:bCs w:val="0"/>
          <w:spacing w:val="-4"/>
          <w:sz w:val="32"/>
          <w:szCs w:val="32"/>
          <w:lang w:val="en-US" w:eastAsia="zh-CN"/>
        </w:rPr>
        <w:t xml:space="preserve">  (1)</w:t>
      </w:r>
      <w:r>
        <w:rPr>
          <w:rStyle w:val="4"/>
          <w:rFonts w:hint="eastAsia" w:ascii="楷体" w:hAnsi="楷体" w:eastAsia="楷体"/>
          <w:b w:val="0"/>
          <w:bCs w:val="0"/>
          <w:spacing w:val="-4"/>
          <w:sz w:val="32"/>
          <w:szCs w:val="32"/>
        </w:rPr>
        <w:t>优化人才引进政策</w:t>
      </w:r>
      <w:r>
        <w:rPr>
          <w:rStyle w:val="4"/>
          <w:rFonts w:hint="eastAsia" w:ascii="楷体" w:hAnsi="楷体" w:eastAsia="楷体"/>
          <w:b w:val="0"/>
          <w:bCs w:val="0"/>
          <w:spacing w:val="-4"/>
          <w:sz w:val="32"/>
          <w:szCs w:val="32"/>
        </w:rPr>
        <w:cr/>
      </w:r>
      <w:r>
        <w:rPr>
          <w:rStyle w:val="4"/>
          <w:rFonts w:hint="eastAsia" w:ascii="楷体" w:hAnsi="楷体" w:eastAsia="楷体"/>
          <w:spacing w:val="-4"/>
          <w:sz w:val="32"/>
          <w:szCs w:val="32"/>
          <w:lang w:val="en-US" w:eastAsia="zh-CN"/>
        </w:rPr>
        <w:t xml:space="preserve">   </w:t>
      </w:r>
      <w:r>
        <w:rPr>
          <w:rStyle w:val="4"/>
          <w:rFonts w:hint="eastAsia" w:ascii="楷体" w:hAnsi="楷体" w:eastAsia="楷体"/>
          <w:b w:val="0"/>
          <w:bCs w:val="0"/>
          <w:spacing w:val="-4"/>
          <w:sz w:val="32"/>
          <w:szCs w:val="32"/>
          <w:lang w:val="en-US" w:eastAsia="zh-CN"/>
        </w:rPr>
        <w:t xml:space="preserve"> </w:t>
      </w:r>
      <w:r>
        <w:rPr>
          <w:rStyle w:val="4"/>
          <w:rFonts w:hint="eastAsia" w:ascii="楷体" w:hAnsi="楷体" w:eastAsia="楷体"/>
          <w:b w:val="0"/>
          <w:bCs w:val="0"/>
          <w:spacing w:val="-4"/>
          <w:sz w:val="32"/>
          <w:szCs w:val="32"/>
        </w:rPr>
        <w:t>制定基层动物防疫人才引进专项政策，对到库尔勒市基层防疫岗位工作的动物医学、预防兽医学等专业本科及以上学历人才，给予安家费补贴、住房保障、职称评定倾斜等优惠政策。吸引在校学生提前了解基层防疫工作，毕业后优先选择到库尔勒市就业。</w:t>
      </w:r>
      <w:r>
        <w:rPr>
          <w:rStyle w:val="4"/>
          <w:rFonts w:hint="eastAsia" w:ascii="楷体" w:hAnsi="楷体" w:eastAsia="楷体"/>
          <w:b w:val="0"/>
          <w:bCs w:val="0"/>
          <w:spacing w:val="-4"/>
          <w:sz w:val="32"/>
          <w:szCs w:val="32"/>
        </w:rPr>
        <w:cr/>
      </w:r>
      <w:r>
        <w:rPr>
          <w:rStyle w:val="4"/>
          <w:rFonts w:hint="eastAsia" w:ascii="楷体" w:hAnsi="楷体" w:eastAsia="楷体"/>
          <w:spacing w:val="-4"/>
          <w:sz w:val="32"/>
          <w:szCs w:val="32"/>
          <w:lang w:val="en-US" w:eastAsia="zh-CN"/>
        </w:rPr>
        <w:t xml:space="preserve">   </w:t>
      </w:r>
      <w:r>
        <w:rPr>
          <w:rStyle w:val="4"/>
          <w:rFonts w:hint="eastAsia" w:ascii="楷体" w:hAnsi="楷体" w:eastAsia="楷体"/>
          <w:b w:val="0"/>
          <w:bCs w:val="0"/>
          <w:spacing w:val="-4"/>
          <w:sz w:val="32"/>
          <w:szCs w:val="32"/>
          <w:lang w:val="en-US" w:eastAsia="zh-CN"/>
        </w:rPr>
        <w:t xml:space="preserve"> (2)</w:t>
      </w:r>
      <w:r>
        <w:rPr>
          <w:rStyle w:val="4"/>
          <w:rFonts w:hint="eastAsia" w:ascii="楷体" w:hAnsi="楷体" w:eastAsia="楷体"/>
          <w:b w:val="0"/>
          <w:bCs w:val="0"/>
          <w:spacing w:val="-4"/>
          <w:sz w:val="32"/>
          <w:szCs w:val="32"/>
        </w:rPr>
        <w:t>完善培训体系</w:t>
      </w:r>
      <w:r>
        <w:rPr>
          <w:rStyle w:val="4"/>
          <w:rFonts w:hint="eastAsia" w:ascii="楷体" w:hAnsi="楷体" w:eastAsia="楷体"/>
          <w:b w:val="0"/>
          <w:bCs w:val="0"/>
          <w:spacing w:val="-4"/>
          <w:sz w:val="32"/>
          <w:szCs w:val="32"/>
        </w:rPr>
        <w:cr/>
      </w:r>
      <w:r>
        <w:rPr>
          <w:rStyle w:val="4"/>
          <w:rFonts w:hint="eastAsia" w:ascii="楷体" w:hAnsi="楷体" w:eastAsia="楷体"/>
          <w:spacing w:val="-4"/>
          <w:sz w:val="32"/>
          <w:szCs w:val="32"/>
          <w:lang w:val="en-US" w:eastAsia="zh-CN"/>
        </w:rPr>
        <w:t xml:space="preserve">    </w:t>
      </w:r>
      <w:r>
        <w:rPr>
          <w:rStyle w:val="4"/>
          <w:rFonts w:hint="eastAsia" w:ascii="楷体" w:hAnsi="楷体" w:eastAsia="楷体"/>
          <w:b w:val="0"/>
          <w:bCs w:val="0"/>
          <w:spacing w:val="-4"/>
          <w:sz w:val="32"/>
          <w:szCs w:val="32"/>
        </w:rPr>
        <w:t>构建 “线上 + 线下” 相结合的全方位培训体系。线上，利用网络平台学习动物防疫知识，及时掌握新型动物疫病防控技术、疫病监测方法等课程，增加防疫人员学习机会；线下，定期组织防疫人员积极参加自治区组织的专业技术培训，每季度举办一次集中培训，邀请巴州、库尔勒市兽医专家授课，更新防疫人员知识结构，提升专业技能。</w:t>
      </w:r>
      <w:r>
        <w:rPr>
          <w:rStyle w:val="4"/>
          <w:rFonts w:hint="eastAsia" w:ascii="楷体" w:hAnsi="楷体" w:eastAsia="楷体"/>
          <w:spacing w:val="-4"/>
          <w:sz w:val="32"/>
          <w:szCs w:val="32"/>
        </w:rPr>
        <w:cr/>
      </w:r>
      <w:r>
        <w:rPr>
          <w:rStyle w:val="4"/>
          <w:rFonts w:hint="eastAsia" w:ascii="楷体" w:hAnsi="楷体" w:eastAsia="楷体"/>
          <w:spacing w:val="-4"/>
          <w:sz w:val="32"/>
          <w:szCs w:val="32"/>
          <w:lang w:val="en-US" w:eastAsia="zh-CN"/>
        </w:rPr>
        <w:t xml:space="preserve">    </w:t>
      </w:r>
      <w:r>
        <w:rPr>
          <w:rStyle w:val="4"/>
          <w:rFonts w:hint="eastAsia" w:ascii="楷体" w:hAnsi="楷体" w:eastAsia="楷体"/>
          <w:b/>
          <w:bCs/>
          <w:spacing w:val="-4"/>
          <w:sz w:val="32"/>
          <w:szCs w:val="32"/>
          <w:lang w:val="en-US" w:eastAsia="zh-CN"/>
        </w:rPr>
        <w:t xml:space="preserve"> </w:t>
      </w:r>
      <w:r>
        <w:rPr>
          <w:rStyle w:val="4"/>
          <w:rFonts w:hint="eastAsia" w:ascii="楷体" w:hAnsi="楷体" w:eastAsia="楷体"/>
          <w:b/>
          <w:bCs/>
          <w:spacing w:val="-4"/>
          <w:sz w:val="32"/>
          <w:szCs w:val="32"/>
        </w:rPr>
        <w:t>3</w:t>
      </w:r>
      <w:r>
        <w:rPr>
          <w:rStyle w:val="4"/>
          <w:rFonts w:hint="eastAsia" w:ascii="楷体" w:hAnsi="楷体" w:eastAsia="楷体"/>
          <w:b/>
          <w:bCs/>
          <w:spacing w:val="-4"/>
          <w:sz w:val="32"/>
          <w:szCs w:val="32"/>
          <w:lang w:val="en-US" w:eastAsia="zh-CN"/>
        </w:rPr>
        <w:t>.</w:t>
      </w:r>
      <w:r>
        <w:rPr>
          <w:rStyle w:val="4"/>
          <w:rFonts w:hint="eastAsia" w:ascii="楷体" w:hAnsi="楷体" w:eastAsia="楷体"/>
          <w:b/>
          <w:bCs/>
          <w:spacing w:val="-4"/>
          <w:sz w:val="32"/>
          <w:szCs w:val="32"/>
        </w:rPr>
        <w:t>提高村级防疫员待遇</w:t>
      </w:r>
      <w:r>
        <w:rPr>
          <w:rStyle w:val="4"/>
          <w:rFonts w:hint="eastAsia" w:ascii="楷体" w:hAnsi="楷体" w:eastAsia="楷体"/>
          <w:b/>
          <w:bCs/>
          <w:spacing w:val="-4"/>
          <w:sz w:val="32"/>
          <w:szCs w:val="32"/>
        </w:rPr>
        <w:cr/>
      </w:r>
      <w:r>
        <w:rPr>
          <w:rStyle w:val="4"/>
          <w:rFonts w:hint="eastAsia" w:ascii="楷体" w:hAnsi="楷体" w:eastAsia="楷体"/>
          <w:spacing w:val="-4"/>
          <w:sz w:val="32"/>
          <w:szCs w:val="32"/>
          <w:lang w:val="en-US" w:eastAsia="zh-CN"/>
        </w:rPr>
        <w:t xml:space="preserve">    </w:t>
      </w:r>
      <w:r>
        <w:rPr>
          <w:rStyle w:val="4"/>
          <w:rFonts w:hint="eastAsia" w:ascii="楷体" w:hAnsi="楷体" w:eastAsia="楷体"/>
          <w:b w:val="0"/>
          <w:bCs w:val="0"/>
          <w:spacing w:val="-4"/>
          <w:sz w:val="32"/>
          <w:szCs w:val="32"/>
        </w:rPr>
        <w:t>将中央下达的村级防疫员劳务绩效补贴进行绩效考核，对于免疫密度高、抗体率优质的防疫人员试行奖惩制度，对在疫情防控工作中表现突出的人员给予奖励，提高其工作积极性和稳定性。</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line="550" w:lineRule="exact"/>
        <w:ind w:left="0"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50" w:lineRule="exact"/>
        <w:ind w:left="0"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-742950</wp:posOffset>
            </wp:positionH>
            <wp:positionV relativeFrom="paragraph">
              <wp:posOffset>-28575</wp:posOffset>
            </wp:positionV>
            <wp:extent cx="6974205" cy="7915910"/>
            <wp:effectExtent l="0" t="0" r="17145" b="8890"/>
            <wp:wrapSquare wrapText="bothSides"/>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a:stretch>
                      <a:fillRect/>
                    </a:stretch>
                  </pic:blipFill>
                  <pic:spPr>
                    <a:xfrm>
                      <a:off x="0" y="0"/>
                      <a:ext cx="6974205" cy="791591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-789940</wp:posOffset>
            </wp:positionH>
            <wp:positionV relativeFrom="paragraph">
              <wp:posOffset>57150</wp:posOffset>
            </wp:positionV>
            <wp:extent cx="7051040" cy="5166995"/>
            <wp:effectExtent l="0" t="0" r="16510" b="14605"/>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stretch>
                      <a:fillRect/>
                    </a:stretch>
                  </pic:blipFill>
                  <pic:spPr>
                    <a:xfrm>
                      <a:off x="0" y="0"/>
                      <a:ext cx="7051040" cy="516699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-752475</wp:posOffset>
            </wp:positionH>
            <wp:positionV relativeFrom="paragraph">
              <wp:posOffset>28575</wp:posOffset>
            </wp:positionV>
            <wp:extent cx="6932295" cy="6229985"/>
            <wp:effectExtent l="0" t="0" r="1905" b="18415"/>
            <wp:wrapSquare wrapText="bothSides"/>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a:stretch>
                      <a:fillRect/>
                    </a:stretch>
                  </pic:blipFill>
                  <pic:spPr>
                    <a:xfrm>
                      <a:off x="0" y="0"/>
                      <a:ext cx="6932295" cy="622998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-733425</wp:posOffset>
            </wp:positionH>
            <wp:positionV relativeFrom="paragraph">
              <wp:posOffset>66675</wp:posOffset>
            </wp:positionV>
            <wp:extent cx="6965950" cy="7973695"/>
            <wp:effectExtent l="0" t="0" r="6350" b="8255"/>
            <wp:wrapSquare wrapText="bothSides"/>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6965950" cy="797369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-666115</wp:posOffset>
            </wp:positionH>
            <wp:positionV relativeFrom="paragraph">
              <wp:posOffset>38100</wp:posOffset>
            </wp:positionV>
            <wp:extent cx="6837680" cy="6151880"/>
            <wp:effectExtent l="0" t="0" r="1270" b="1270"/>
            <wp:wrapSquare wrapText="bothSides"/>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8"/>
                    <a:stretch>
                      <a:fillRect/>
                    </a:stretch>
                  </pic:blipFill>
                  <pic:spPr>
                    <a:xfrm>
                      <a:off x="0" y="0"/>
                      <a:ext cx="6837680" cy="615188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-656590</wp:posOffset>
            </wp:positionH>
            <wp:positionV relativeFrom="paragraph">
              <wp:posOffset>66675</wp:posOffset>
            </wp:positionV>
            <wp:extent cx="6769100" cy="8120380"/>
            <wp:effectExtent l="0" t="0" r="12700" b="13970"/>
            <wp:wrapSquare wrapText="bothSides"/>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9"/>
                    <a:stretch>
                      <a:fillRect/>
                    </a:stretch>
                  </pic:blipFill>
                  <pic:spPr>
                    <a:xfrm>
                      <a:off x="0" y="0"/>
                      <a:ext cx="6769100" cy="8120380"/>
                    </a:xfrm>
                    <a:prstGeom prst="rect">
                      <a:avLst/>
                    </a:prstGeom>
                    <a:noFill/>
                    <a:ln>
                      <a:noFill/>
                    </a:ln>
                  </pic:spPr>
                </pic:pic>
              </a:graphicData>
            </a:graphic>
          </wp:anchor>
        </w:drawing>
      </w:r>
    </w:p>
    <w:p>
      <w:pPr>
        <w:rPr>
          <w:rFonts w:ascii="仿宋_GB2312" w:eastAsia="仿宋_GB2312"/>
          <w:b w:val="0"/>
          <w:sz w:val="32"/>
          <w:szCs w:val="32"/>
        </w:rPr>
      </w:pPr>
      <w:bookmarkStart w:id="0" w:name="_GoBack"/>
      <w:r>
        <w:drawing>
          <wp:anchor distT="0" distB="0" distL="114300" distR="114300" simplePos="0" relativeHeight="251666432" behindDoc="0" locked="0" layoutInCell="1" allowOverlap="1">
            <wp:simplePos x="0" y="0"/>
            <wp:positionH relativeFrom="column">
              <wp:posOffset>-709295</wp:posOffset>
            </wp:positionH>
            <wp:positionV relativeFrom="paragraph">
              <wp:posOffset>-59055</wp:posOffset>
            </wp:positionV>
            <wp:extent cx="6835140" cy="3584575"/>
            <wp:effectExtent l="0" t="0" r="3810" b="15875"/>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6835140" cy="3584575"/>
                    </a:xfrm>
                    <a:prstGeom prst="rect">
                      <a:avLst/>
                    </a:prstGeom>
                    <a:noFill/>
                    <a:ln>
                      <a:noFill/>
                    </a:ln>
                  </pic:spPr>
                </pic:pic>
              </a:graphicData>
            </a:graphic>
          </wp:anchor>
        </w:drawing>
      </w:r>
      <w:bookmarkEnd w:id="0"/>
      <w:r>
        <w:rPr>
          <w:rFonts w:ascii="仿宋_GB2312" w:eastAsia="仿宋_GB2312"/>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jc w:val="left"/>
        <w:textAlignment w:val="auto"/>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-656590</wp:posOffset>
            </wp:positionH>
            <wp:positionV relativeFrom="paragraph">
              <wp:posOffset>174625</wp:posOffset>
            </wp:positionV>
            <wp:extent cx="6787515" cy="3321685"/>
            <wp:effectExtent l="0" t="0" r="13335" b="12065"/>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6787515" cy="332168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420" w:firstLineChars="200"/>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-704850</wp:posOffset>
            </wp:positionH>
            <wp:positionV relativeFrom="paragraph">
              <wp:posOffset>66675</wp:posOffset>
            </wp:positionV>
            <wp:extent cx="6928485" cy="4052570"/>
            <wp:effectExtent l="0" t="0" r="5715" b="5080"/>
            <wp:wrapSquare wrapText="bothSides"/>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2"/>
                    <a:stretch>
                      <a:fillRect/>
                    </a:stretch>
                  </pic:blipFill>
                  <pic:spPr>
                    <a:xfrm>
                      <a:off x="0" y="0"/>
                      <a:ext cx="6928485" cy="405257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50" w:lineRule="exact"/>
        <w:ind w:left="0" w:firstLine="640" w:firstLineChars="200"/>
        <w:jc w:val="left"/>
        <w:textAlignment w:val="auto"/>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C5B054"/>
    <w:multiLevelType w:val="singleLevel"/>
    <w:tmpl w:val="F2C5B0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31E37"/>
    <w:rsid w:val="0D7756B0"/>
    <w:rsid w:val="14302302"/>
    <w:rsid w:val="1FD1763C"/>
    <w:rsid w:val="30DF7C19"/>
    <w:rsid w:val="3DD66348"/>
    <w:rsid w:val="44615B34"/>
    <w:rsid w:val="57F6408F"/>
    <w:rsid w:val="5CCD4FC0"/>
    <w:rsid w:val="5CD976B9"/>
    <w:rsid w:val="6079791D"/>
    <w:rsid w:val="651D0FA7"/>
    <w:rsid w:val="6D9933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6737</Words>
  <Characters>7292</Characters>
  <TotalTime>26</TotalTime>
  <ScaleCrop>false</ScaleCrop>
  <LinksUpToDate>false</LinksUpToDate>
  <CharactersWithSpaces>7380</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2025-08-14T13:30:00Z</dcterms:created>
  <dc:creator>Administrator</dc:creator>
  <cp:lastModifiedBy>lenovo</cp:lastModifiedBy>
  <dcterms:modified xsi:type="dcterms:W3CDTF">2025-08-18T12:10:11Z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eyJoZGlkIjoiMDhjYmMxN2RkYWY5M2IxNzliNmU0ZjcxYTIyYTJlODkiLCJ1c2VySWQiOiI1MzMyNjY2NjMifQ==</vt:lpwstr>
  </property>
  <property fmtid="{D5CDD505-2E9C-101B-9397-08002B2CF9AE}" pid="4" name="ICV">
    <vt:lpwstr>848BD420FC854165B361627577EF0B78_12</vt:lpwstr>
  </property>
</Properties>
</file>