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880" w:firstLineChars="200"/>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880" w:firstLineChars="200"/>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880" w:firstLineChars="200"/>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880" w:firstLineChars="200"/>
        <w:jc w:val="center"/>
        <w:textAlignment w:val="auto"/>
        <w:outlineLvl w:val="0"/>
        <w:rPr>
          <w:rFonts w:ascii="宋体" w:eastAsia="黑体"/>
          <w:sz w:val="44"/>
          <w:szCs w:val="44"/>
        </w:rPr>
      </w:pPr>
      <w:r>
        <w:rPr>
          <w:rFonts w:ascii="宋体" w:eastAsia="黑体"/>
          <w:b w:val="0"/>
          <w:sz w:val="44"/>
          <w:szCs w:val="44"/>
        </w:rPr>
        <w:t>库尔勒市农产品质量安全检验检测中心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880" w:firstLineChars="200"/>
        <w:jc w:val="center"/>
        <w:textAlignment w:val="auto"/>
        <w:outlineLvl w:val="0"/>
        <w:rPr>
          <w:rFonts w:ascii="黑体" w:eastAsia="黑体"/>
          <w:sz w:val="44"/>
          <w:szCs w:val="44"/>
        </w:rPr>
      </w:pPr>
      <w:r>
        <w:rPr>
          <w:rFonts w:ascii="黑体" w:eastAsia="黑体"/>
          <w:b w:val="0"/>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ind w:firstLine="0" w:firstLineChars="200"/>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center"/>
        <w:textAlignment w:val="auto"/>
        <w:rPr>
          <w:rFonts w:ascii="黑体" w:eastAsia="黑体"/>
          <w:sz w:val="32"/>
          <w:szCs w:val="32"/>
        </w:rPr>
      </w:pPr>
      <w:r>
        <w:rPr>
          <w:rFonts w:ascii="黑体" w:eastAsia="黑体"/>
          <w:b/>
          <w:sz w:val="32"/>
          <w:szCs w:val="32"/>
        </w:rPr>
        <w:t>目</w:t>
      </w:r>
      <w:r>
        <w:rPr>
          <w:rFonts w:hint="eastAsia" w:ascii="黑体" w:eastAsia="黑体"/>
          <w:b/>
          <w:sz w:val="32"/>
          <w:szCs w:val="32"/>
          <w:lang w:val="en-US" w:eastAsia="zh-CN"/>
        </w:rPr>
        <w:t xml:space="preserve">       </w:t>
      </w:r>
      <w:r>
        <w:rPr>
          <w:rFonts w:ascii="黑体" w:eastAsia="黑体"/>
          <w:b/>
          <w:sz w:val="32"/>
          <w:szCs w:val="32"/>
        </w:rPr>
        <w:t>录</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第一部分单位概况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ind w:firstLine="0" w:firstLineChars="200"/>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center"/>
        <w:textAlignment w:val="auto"/>
        <w:outlineLvl w:val="0"/>
        <w:rPr>
          <w:rFonts w:ascii="黑体" w:eastAsia="黑体"/>
          <w:sz w:val="32"/>
          <w:szCs w:val="32"/>
        </w:rPr>
      </w:pPr>
      <w:r>
        <w:rPr>
          <w:rFonts w:ascii="黑体" w:eastAsia="黑体"/>
          <w:b w:val="0"/>
          <w:sz w:val="32"/>
          <w:szCs w:val="32"/>
        </w:rPr>
        <w:t>第一部分单位概况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Times New Roman" w:eastAsia="仿宋_GB2312" w:cs="Times New Roman"/>
          <w:snapToGrid/>
          <w:color w:val="auto"/>
          <w:kern w:val="2"/>
          <w:sz w:val="32"/>
          <w:szCs w:val="32"/>
          <w:highlight w:val="none"/>
          <w:lang w:eastAsia="zh-CN"/>
        </w:rPr>
      </w:pPr>
      <w:r>
        <w:rPr>
          <w:rFonts w:hint="eastAsia" w:ascii="仿宋_GB2312" w:hAnsi="Times New Roman" w:eastAsia="仿宋_GB2312" w:cs="Times New Roman"/>
          <w:snapToGrid/>
          <w:color w:val="auto"/>
          <w:kern w:val="2"/>
          <w:sz w:val="32"/>
          <w:szCs w:val="32"/>
          <w:highlight w:val="none"/>
          <w:lang w:eastAsia="zh-CN"/>
        </w:rPr>
        <w:t>1.负责农畜产品质量安全监督管理。组织开展农产品质量安全监测、追溯、风险评估。参与制定农畜产品质量安全、兽医行业、动物疫病防治、饲料饲草业、畜禽屠宰行业有关标准和技术规范，会同有关部门组织实施。指导农畜产品检验检测体系建设，组织农畜产品质量安全的监督管理和兽医实验室考核评估。负责农业转基因生物安全监督管理和农业植物新品种保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Times New Roman" w:eastAsia="仿宋_GB2312" w:cs="Times New Roman"/>
          <w:snapToGrid/>
          <w:color w:val="auto"/>
          <w:kern w:val="2"/>
          <w:sz w:val="32"/>
          <w:szCs w:val="32"/>
          <w:highlight w:val="none"/>
          <w:lang w:eastAsia="zh-CN"/>
        </w:rPr>
      </w:pPr>
      <w:r>
        <w:rPr>
          <w:rFonts w:hint="eastAsia" w:ascii="仿宋_GB2312" w:hAnsi="Times New Roman" w:eastAsia="仿宋_GB2312" w:cs="Times New Roman"/>
          <w:snapToGrid/>
          <w:color w:val="auto"/>
          <w:kern w:val="2"/>
          <w:sz w:val="32"/>
          <w:szCs w:val="32"/>
          <w:highlight w:val="none"/>
          <w:lang w:eastAsia="zh-CN"/>
        </w:rPr>
        <w:t>2.组织农牧业资源区划工作。指导农用地、农牧业生物  物种 资源的保护与管理，畜禽遗传资源保护与利用。负责耕地及永久 基本农田质量保护，指导农畜产品产地环境管理和农牧业清洁生产，负责畜禽粪污资源化利用、病死畜禽无害化处理等工作。指导设施农业、生态循环农业、节水农业发展以及农村可再生能源综合开发利用、农业生物产业发展。承担外来物种相关管理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Times New Roman" w:eastAsia="仿宋_GB2312" w:cs="Times New Roman"/>
          <w:snapToGrid/>
          <w:color w:val="auto"/>
          <w:kern w:val="2"/>
          <w:sz w:val="32"/>
          <w:szCs w:val="32"/>
          <w:highlight w:val="none"/>
          <w:lang w:eastAsia="zh-CN"/>
        </w:rPr>
      </w:pPr>
      <w:r>
        <w:rPr>
          <w:rFonts w:hint="eastAsia" w:ascii="仿宋_GB2312" w:hAnsi="Times New Roman" w:eastAsia="仿宋_GB2312" w:cs="Times New Roman"/>
          <w:snapToGrid/>
          <w:color w:val="auto"/>
          <w:kern w:val="2"/>
          <w:sz w:val="32"/>
          <w:szCs w:val="32"/>
          <w:highlight w:val="none"/>
          <w:lang w:eastAsia="zh-CN"/>
        </w:rPr>
        <w:t>3.负责农牧业防灾减灾、农作物重大病虫害防治、动物疫病防治和疫情处置工作。负责兽医医政、药政管理和兽医从业人员培训及管理。组织实施动物疫病监测和风险评估，监督指导动物疫情扑灭工作。负责动物防疫应急管理。指导植物防疫检疫体系建设，组织、监督市内植物防疫检疫工作，根据授权发布疫情并组织处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Times New Roman" w:eastAsia="仿宋_GB2312" w:cs="Times New Roman"/>
          <w:snapToGrid/>
          <w:color w:val="auto"/>
          <w:kern w:val="2"/>
          <w:sz w:val="32"/>
          <w:szCs w:val="32"/>
          <w:highlight w:val="none"/>
          <w:lang w:eastAsia="zh-CN"/>
        </w:rPr>
      </w:pPr>
      <w:r>
        <w:rPr>
          <w:rFonts w:hint="eastAsia" w:ascii="仿宋_GB2312" w:hAnsi="Times New Roman" w:eastAsia="仿宋_GB2312" w:cs="Times New Roman"/>
          <w:snapToGrid/>
          <w:color w:val="auto"/>
          <w:kern w:val="2"/>
          <w:sz w:val="32"/>
          <w:szCs w:val="32"/>
          <w:highlight w:val="none"/>
          <w:lang w:eastAsia="zh-CN"/>
        </w:rPr>
        <w:t>4.负责农牧业投资管理。提出农牧业投融资体制机制改革建议。编制中央、自治区、自治州投资安排的农牧业投资项目建设规划，提出农牧业投资规模和方向、扶持农业农村发展及畜牧业发展财政项目的建议，按规定权限审批农牧业投资项目，负责农牧业投资项目组织实施和监督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Times New Roman" w:eastAsia="仿宋_GB2312" w:cs="Times New Roman"/>
          <w:snapToGrid/>
          <w:color w:val="auto"/>
          <w:kern w:val="2"/>
          <w:sz w:val="32"/>
          <w:szCs w:val="32"/>
          <w:highlight w:val="none"/>
          <w:lang w:eastAsia="zh-CN"/>
        </w:rPr>
      </w:pPr>
      <w:r>
        <w:rPr>
          <w:rFonts w:hint="eastAsia" w:ascii="仿宋_GB2312" w:hAnsi="Times New Roman" w:eastAsia="仿宋_GB2312" w:cs="Times New Roman"/>
          <w:snapToGrid/>
          <w:color w:val="auto"/>
          <w:kern w:val="2"/>
          <w:sz w:val="32"/>
          <w:szCs w:val="32"/>
          <w:highlight w:val="none"/>
          <w:lang w:eastAsia="zh-CN"/>
        </w:rPr>
        <w:t>5.承担农牧业科技体制改革和农牧业科技创新体系建设。指导农牧业产业技术体系和农技推广体系建设，组织开展农牧业领域的高新技术和应用技术研究、科技成果转化和 技术推广。</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hint="eastAsia" w:ascii="仿宋_GB2312" w:hAnsi="Times New Roman" w:eastAsia="仿宋_GB2312" w:cs="Times New Roman"/>
          <w:snapToGrid/>
          <w:color w:val="auto"/>
          <w:kern w:val="2"/>
          <w:sz w:val="32"/>
          <w:szCs w:val="32"/>
          <w:highlight w:val="none"/>
          <w:lang w:eastAsia="zh-CN"/>
        </w:rPr>
        <w:t>6.完成市党委、市人民政府交办的其他任务。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库尔勒市农产品质量安全检验检测中心2024年度，实有人数47人，其中：在职人员28人，较上年无变化；离休人员0人，较上年无变化；退休人员19人，较上年无变化；</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库尔勒市农产品质量安全检验检测中心无下属预算单位，下设</w:t>
      </w:r>
      <w:r>
        <w:rPr>
          <w:rFonts w:hint="eastAsia" w:ascii="仿宋_GB2312" w:eastAsia="仿宋_GB2312"/>
          <w:color w:val="auto"/>
          <w:sz w:val="32"/>
          <w:szCs w:val="32"/>
          <w:highlight w:val="none"/>
          <w:lang w:val="en-US" w:eastAsia="zh-CN"/>
        </w:rPr>
        <w:t>4</w:t>
      </w:r>
      <w:r>
        <w:rPr>
          <w:rFonts w:ascii="仿宋_GB2312" w:eastAsia="仿宋_GB2312"/>
          <w:b w:val="0"/>
          <w:sz w:val="32"/>
          <w:szCs w:val="32"/>
        </w:rPr>
        <w:t>个，分别是：</w:t>
      </w:r>
      <w:r>
        <w:rPr>
          <w:rFonts w:hint="eastAsia" w:ascii="仿宋_GB2312" w:hAnsi="黑体" w:eastAsia="仿宋_GB2312" w:cs="宋体"/>
          <w:bCs/>
          <w:color w:val="auto"/>
          <w:kern w:val="0"/>
          <w:sz w:val="32"/>
          <w:szCs w:val="32"/>
          <w:highlight w:val="none"/>
        </w:rPr>
        <w:t>行政办公室、财务室、保密室、宣教陈列室</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line="560" w:lineRule="exact"/>
        <w:ind w:firstLine="0" w:firstLineChars="200"/>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center"/>
        <w:textAlignment w:val="auto"/>
        <w:outlineLvl w:val="0"/>
        <w:rPr>
          <w:rFonts w:ascii="黑体" w:eastAsia="黑体"/>
          <w:sz w:val="32"/>
          <w:szCs w:val="32"/>
        </w:rPr>
      </w:pPr>
      <w:r>
        <w:rPr>
          <w:rFonts w:ascii="黑体" w:eastAsia="黑体"/>
          <w:b w:val="0"/>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2024年度收入总计660.40万元，其中：本年收入合计660.40万元，使用非财政拨款结余（含专用结余）0.00万元，年初结转和结余0.00万元。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2024年度支出总计660.40万元，其中：本年支出合计660.40万元，结余分配0.00万元，年末结转和结余0.00万元。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收入支出总体与上年相比，增加22.11万元，增长3.46%，主要原因是：</w:t>
      </w:r>
      <w:r>
        <w:rPr>
          <w:rFonts w:hint="eastAsia" w:ascii="仿宋_GB2312" w:eastAsia="仿宋_GB2312"/>
          <w:b w:val="0"/>
          <w:sz w:val="32"/>
          <w:szCs w:val="32"/>
          <w:lang w:val="en-US" w:eastAsia="zh-CN"/>
        </w:rPr>
        <w:t>本年政府性基金预算财政拨款收入-办公楼尾款-人防易地建设费拨款增加</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本年收入660.40万元，其中：财政拨款收入660.40万元,占100.00%；上级补助收入0.00万元,占0.00%；事业收入0.00万元，占0.00%；经营收入0.00万元,占0.00%；附属单位上缴收入0.00万元，占0.00%；其他收入0.00万元，占0.00%。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本年支出660.40万元，其中：基本支出533.79万元，占80.83%；项目支出126.61万元，占19.17%；上缴上级支出0.00万元，占0.00%；经营支出0.00万元，占0.00%；对附属单位补助支出0.00万元，占0.00%。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2024年度财政拨款收入总计660.40万元，其中：年初财政拨款结转和结余0.00万元，本年财政拨款收入660.40万元。财政拨款支出总计660.40万元，其中：年末财政拨款结转和结余0.00万元，本年财政拨款支出660.40万元。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财政拨款收入支出总体与上年相比，增加22.11万元，增长3.46%，主要原因是：</w:t>
      </w:r>
      <w:r>
        <w:rPr>
          <w:rFonts w:hint="eastAsia" w:ascii="仿宋_GB2312" w:eastAsia="仿宋_GB2312"/>
          <w:b w:val="0"/>
          <w:sz w:val="32"/>
          <w:szCs w:val="32"/>
          <w:lang w:val="en-US" w:eastAsia="zh-CN"/>
        </w:rPr>
        <w:t>本年政府性基金预算财政拨款收入-办公楼尾款-人防易地建设费拨款增加</w:t>
      </w:r>
      <w:r>
        <w:rPr>
          <w:rFonts w:ascii="仿宋_GB2312" w:eastAsia="仿宋_GB2312"/>
          <w:b w:val="0"/>
          <w:sz w:val="32"/>
          <w:szCs w:val="32"/>
        </w:rPr>
        <w:t>。与年初预算相比，年初预算数616.06万元，决算数660.40万元，预决算差异率7.20%，主要原因是：</w:t>
      </w:r>
      <w:r>
        <w:rPr>
          <w:rFonts w:hint="eastAsia" w:ascii="仿宋_GB2312" w:eastAsia="仿宋_GB2312"/>
          <w:b w:val="0"/>
          <w:sz w:val="32"/>
          <w:szCs w:val="32"/>
          <w:lang w:val="en-US" w:eastAsia="zh-CN"/>
        </w:rPr>
        <w:t>本年政府性基金预算财政拨款收入-办公楼尾款-人防易地建设费拨款增加</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2024年度一般公共预算财政拨款支出566.79万元，占本年支出合计的85.83%。与上年相比，减少58.76万元，下降9.39%，主要原因是：</w:t>
      </w:r>
      <w:r>
        <w:rPr>
          <w:rFonts w:hint="eastAsia" w:ascii="仿宋_GB2312" w:eastAsia="仿宋_GB2312"/>
          <w:b w:val="0"/>
          <w:sz w:val="32"/>
          <w:szCs w:val="32"/>
          <w:lang w:val="en-US" w:eastAsia="zh-CN"/>
        </w:rPr>
        <w:t>上年5月公岗人员辞职1名、年内新增5名退休人员在职减少5人，导致绩效奖金、社保缴费、职业年金、公务运行经等经费比上年大大减少</w:t>
      </w:r>
      <w:r>
        <w:rPr>
          <w:rFonts w:ascii="仿宋_GB2312" w:eastAsia="仿宋_GB2312"/>
          <w:b w:val="0"/>
          <w:sz w:val="32"/>
          <w:szCs w:val="32"/>
        </w:rPr>
        <w:t>。与年初预算相比，年初预算数616.06万元，决算数566.79万元，预决算差异率-8.00%，主要原因是：</w:t>
      </w:r>
      <w:r>
        <w:rPr>
          <w:rFonts w:hint="eastAsia" w:ascii="仿宋_GB2312" w:eastAsia="仿宋_GB2312"/>
          <w:b w:val="0"/>
          <w:sz w:val="32"/>
          <w:szCs w:val="32"/>
          <w:lang w:val="en-US" w:eastAsia="zh-CN"/>
        </w:rPr>
        <w:t>2024年预算做计划是在2023年10月，当时部分在职人员任未办理退休手续，2024年度执行时新增退休人数导致在职人员减少数名，并转入社保局领取退休费，所以</w:t>
      </w:r>
      <w:r>
        <w:rPr>
          <w:rFonts w:ascii="仿宋_GB2312" w:eastAsia="仿宋_GB2312"/>
          <w:b w:val="0"/>
          <w:sz w:val="32"/>
          <w:szCs w:val="32"/>
        </w:rPr>
        <w:t>预决算差异率-8.00%。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农林水支出（类）566.79万元，占100.00%。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eastAsia="仿宋_GB2312"/>
          <w:sz w:val="32"/>
          <w:szCs w:val="32"/>
          <w:lang w:val="en-US" w:eastAsia="zh-CN"/>
        </w:rPr>
      </w:pPr>
      <w:r>
        <w:rPr>
          <w:rFonts w:ascii="仿宋_GB2312" w:eastAsia="仿宋_GB2312"/>
          <w:b w:val="0"/>
          <w:sz w:val="32"/>
          <w:szCs w:val="32"/>
        </w:rPr>
        <w:t>教育支出（类）进修及培训（款）培训支出（项）：支出决算数为0.00万元，比上年决算减少2.91万元，下降100.00%，主要原因是：</w:t>
      </w:r>
      <w:r>
        <w:rPr>
          <w:rFonts w:hint="eastAsia" w:ascii="仿宋_GB2312" w:eastAsia="仿宋_GB2312"/>
          <w:b w:val="0"/>
          <w:sz w:val="32"/>
          <w:szCs w:val="32"/>
          <w:lang w:val="en-US" w:eastAsia="zh-CN"/>
        </w:rPr>
        <w:t>上年</w:t>
      </w:r>
      <w:r>
        <w:rPr>
          <w:rFonts w:ascii="仿宋_GB2312" w:eastAsia="仿宋_GB2312"/>
          <w:b w:val="0"/>
          <w:sz w:val="32"/>
          <w:szCs w:val="32"/>
        </w:rPr>
        <w:t>培训支出</w:t>
      </w:r>
      <w:r>
        <w:rPr>
          <w:rFonts w:hint="eastAsia" w:ascii="仿宋_GB2312" w:eastAsia="仿宋_GB2312"/>
          <w:b w:val="0"/>
          <w:sz w:val="32"/>
          <w:szCs w:val="32"/>
          <w:lang w:val="en-US" w:eastAsia="zh-CN"/>
        </w:rPr>
        <w:t>单列支付，本年</w:t>
      </w:r>
      <w:r>
        <w:rPr>
          <w:rFonts w:ascii="仿宋_GB2312" w:eastAsia="仿宋_GB2312"/>
          <w:b w:val="0"/>
          <w:sz w:val="32"/>
          <w:szCs w:val="32"/>
        </w:rPr>
        <w:t>培训支出</w:t>
      </w:r>
      <w:r>
        <w:rPr>
          <w:rFonts w:hint="eastAsia" w:ascii="仿宋_GB2312" w:eastAsia="仿宋_GB2312"/>
          <w:b w:val="0"/>
          <w:sz w:val="32"/>
          <w:szCs w:val="32"/>
          <w:lang w:val="en-US" w:eastAsia="zh-CN"/>
        </w:rPr>
        <w:t>在“事业运行”科目列支，所以培训支出</w:t>
      </w:r>
      <w:r>
        <w:rPr>
          <w:rFonts w:ascii="仿宋_GB2312" w:eastAsia="仿宋_GB2312"/>
          <w:b w:val="0"/>
          <w:sz w:val="32"/>
          <w:szCs w:val="32"/>
        </w:rPr>
        <w:t>比上年决算减少</w:t>
      </w:r>
      <w:r>
        <w:rPr>
          <w:rFonts w:hint="eastAsia" w:ascii="仿宋_GB2312" w:eastAsia="仿宋_GB2312"/>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eastAsia="仿宋_GB2312"/>
          <w:sz w:val="32"/>
          <w:szCs w:val="32"/>
          <w:lang w:eastAsia="zh-CN"/>
        </w:rPr>
      </w:pPr>
      <w:r>
        <w:rPr>
          <w:rFonts w:ascii="仿宋_GB2312" w:eastAsia="仿宋_GB2312"/>
          <w:b w:val="0"/>
          <w:sz w:val="32"/>
          <w:szCs w:val="32"/>
        </w:rPr>
        <w:t>农林水支出（类）农业农村（款）事业运行（项）：支出决算数为533.79万元，比上年决算减少68.85万元，下降11.42%，主要原因是</w:t>
      </w:r>
      <w:r>
        <w:rPr>
          <w:rFonts w:hint="eastAsia" w:ascii="仿宋_GB2312" w:eastAsia="仿宋_GB2312"/>
          <w:b w:val="0"/>
          <w:sz w:val="32"/>
          <w:szCs w:val="32"/>
          <w:lang w:val="en-US" w:eastAsia="zh-CN"/>
        </w:rPr>
        <w:t>上年5月公岗人员辞职1名、年内新增5名退休人员在职减少5人，导致绩效奖金、社保缴费、职业年金、公务运行经等经费比上年大大减少</w:t>
      </w:r>
      <w:r>
        <w:rPr>
          <w:rFonts w:hint="eastAsia" w:ascii="仿宋_GB2312" w:eastAsia="仿宋_GB2312"/>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农林水支出（类）农业农村（款）农产品质量安全（项）：支出决算数为20.00万元，与上年相比无变化，主要原因是：</w:t>
      </w:r>
      <w:r>
        <w:rPr>
          <w:rFonts w:hint="eastAsia" w:ascii="仿宋_GB2312" w:eastAsia="仿宋_GB2312"/>
          <w:b w:val="0"/>
          <w:sz w:val="32"/>
          <w:szCs w:val="32"/>
          <w:lang w:val="en-US" w:eastAsia="zh-CN"/>
        </w:rPr>
        <w:t>本级</w:t>
      </w:r>
      <w:r>
        <w:rPr>
          <w:rFonts w:ascii="仿宋_GB2312" w:eastAsia="仿宋_GB2312"/>
          <w:b w:val="0"/>
          <w:sz w:val="32"/>
          <w:szCs w:val="32"/>
        </w:rPr>
        <w:t>农产品质量安全</w:t>
      </w:r>
      <w:r>
        <w:rPr>
          <w:rFonts w:hint="eastAsia" w:ascii="仿宋_GB2312" w:eastAsia="仿宋_GB2312"/>
          <w:b w:val="0"/>
          <w:sz w:val="32"/>
          <w:szCs w:val="32"/>
          <w:lang w:val="en-US" w:eastAsia="zh-CN"/>
        </w:rPr>
        <w:t>项目经费拨款与上年度保持一致。</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农林水支出（类）农业农村（款）农业生产发展（项）：支出决算数为13.00万元，比上年决算增加13.00万元，增长100.00%，主要原因是：</w:t>
      </w:r>
      <w:r>
        <w:rPr>
          <w:rFonts w:hint="eastAsia" w:ascii="仿宋_GB2312" w:eastAsia="仿宋_GB2312"/>
          <w:b w:val="0"/>
          <w:sz w:val="32"/>
          <w:szCs w:val="32"/>
          <w:lang w:val="en-US" w:eastAsia="zh-CN"/>
        </w:rPr>
        <w:t>上级拨入</w:t>
      </w:r>
      <w:r>
        <w:rPr>
          <w:rFonts w:ascii="仿宋_GB2312" w:eastAsia="仿宋_GB2312"/>
          <w:b w:val="0"/>
          <w:sz w:val="32"/>
          <w:szCs w:val="32"/>
        </w:rPr>
        <w:t>农产品质量安全</w:t>
      </w:r>
      <w:r>
        <w:rPr>
          <w:rFonts w:hint="eastAsia" w:ascii="仿宋_GB2312" w:eastAsia="仿宋_GB2312"/>
          <w:b w:val="0"/>
          <w:sz w:val="32"/>
          <w:szCs w:val="32"/>
          <w:lang w:val="en-US" w:eastAsia="zh-CN"/>
        </w:rPr>
        <w:t>项目经费比上年增加。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533.79万元，其中：人员经费502.84万元，包括：基本工资、津贴补贴、奖金、机关事业单位基本养老保险缴费、职工基本医疗保险缴费、其他社会保障缴费、住房公积金、医疗费和退休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公用经费30.94万元，包括：办公费、手续费、水费、电费、邮电费、取暖费、物业管理费、维修（护）费、培训费、专用材料费、劳务费、工会经费、福利费、公务用车运行维护费和办公设备购置。</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2024年度政府性基金预算财政拨款收入总计93.61万元，其中：年初结转和结余0.00万元，本年收入93.61万元。政府性基金预算财政拨款支出总计93.61万元，其中：年末结转和结余0.00万元，本年支出93.61万元。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政府性基金预算财政拨款收入支出总体与上年相比，增加80.86万元，增长634.20%，主要原因是：</w:t>
      </w:r>
      <w:r>
        <w:rPr>
          <w:rFonts w:hint="eastAsia" w:ascii="仿宋_GB2312" w:eastAsia="仿宋_GB2312"/>
          <w:b w:val="0"/>
          <w:sz w:val="32"/>
          <w:szCs w:val="32"/>
          <w:lang w:val="en-US" w:eastAsia="zh-CN"/>
        </w:rPr>
        <w:t>本年政府性基金预算财政拨款收入-办公楼尾款-人防易地建设费拨款增加</w:t>
      </w:r>
      <w:r>
        <w:rPr>
          <w:rFonts w:ascii="仿宋_GB2312" w:eastAsia="仿宋_GB2312"/>
          <w:b w:val="0"/>
          <w:sz w:val="32"/>
          <w:szCs w:val="32"/>
        </w:rPr>
        <w:t>。与年初预算相比，年初预算数0.00万元，决算数93.61万元，预决算差异率100%，主要原因是：</w:t>
      </w:r>
      <w:r>
        <w:rPr>
          <w:rFonts w:hint="eastAsia" w:ascii="仿宋_GB2312" w:eastAsia="仿宋_GB2312"/>
          <w:b w:val="0"/>
          <w:sz w:val="32"/>
          <w:szCs w:val="32"/>
          <w:lang w:val="en-US" w:eastAsia="zh-CN"/>
        </w:rPr>
        <w:t>本年政府性基金预算财政拨款收入-办公楼尾款-人防易地建设费拨款增加</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政府性基金预算财政拨款支出93.61万元。</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城乡社区支出（类）国有土地使用权出让收入安排的支出（款）农业生产发展支出（项）：支出决算数为93.61万元，比上年决算增加80.86万元，增长634.20%，主要原因是：</w:t>
      </w:r>
      <w:r>
        <w:rPr>
          <w:rFonts w:hint="eastAsia" w:ascii="仿宋_GB2312" w:eastAsia="仿宋_GB2312"/>
          <w:b w:val="0"/>
          <w:sz w:val="32"/>
          <w:szCs w:val="32"/>
          <w:lang w:val="en-US" w:eastAsia="zh-CN"/>
        </w:rPr>
        <w:t>本年政府性基金预算财政拨款收入-办公楼尾款-人防易地建设费拨款增加</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2024年度财政拨款“三公”经费支出4.80万元，比上年增加0.34万元，增长7.62%，主要原因是：</w:t>
      </w:r>
      <w:r>
        <w:rPr>
          <w:rFonts w:hint="eastAsia" w:ascii="仿宋_GB2312" w:eastAsia="仿宋_GB2312"/>
          <w:color w:val="auto"/>
          <w:sz w:val="32"/>
          <w:szCs w:val="32"/>
          <w:highlight w:val="none"/>
          <w:lang w:val="en-US" w:eastAsia="zh-CN"/>
        </w:rPr>
        <w:t>车辆老化，维修费比上年增加</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lang w:val="en-US" w:eastAsia="zh-CN"/>
        </w:rPr>
        <w:t>我单位无</w:t>
      </w:r>
      <w:r>
        <w:rPr>
          <w:rFonts w:ascii="仿宋_GB2312" w:eastAsia="仿宋_GB2312"/>
          <w:b w:val="0"/>
          <w:sz w:val="32"/>
          <w:szCs w:val="32"/>
        </w:rPr>
        <w:t>因公出国（境）费支出；公务用车购置及运行维护费支出4.80万元，占100.00%，比上年增加0.34万元，增长7.62%，主要原因是：</w:t>
      </w:r>
      <w:r>
        <w:rPr>
          <w:rFonts w:hint="eastAsia" w:ascii="仿宋_GB2312" w:eastAsia="仿宋_GB2312"/>
          <w:color w:val="auto"/>
          <w:sz w:val="32"/>
          <w:szCs w:val="32"/>
          <w:highlight w:val="none"/>
          <w:lang w:val="en-US" w:eastAsia="zh-CN"/>
        </w:rPr>
        <w:t>车辆老化，维修费比上年增加</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lang w:val="en-US" w:eastAsia="zh-CN"/>
        </w:rPr>
        <w:t>我单位无</w:t>
      </w:r>
      <w:r>
        <w:rPr>
          <w:rFonts w:ascii="仿宋_GB2312" w:eastAsia="仿宋_GB2312"/>
          <w:b w:val="0"/>
          <w:sz w:val="32"/>
          <w:szCs w:val="32"/>
        </w:rPr>
        <w:t>公务接待费支出。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b w:val="0"/>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公务用车购置及运行维护费4.80万元，其中：公务用车购置费0.00万元，公务用车运行维护费4.80万元。公务用车运行维护费开支内容包括</w:t>
      </w:r>
      <w:r>
        <w:rPr>
          <w:rFonts w:hint="eastAsia" w:ascii="仿宋_GB2312" w:eastAsia="仿宋_GB2312"/>
          <w:b w:val="0"/>
          <w:sz w:val="32"/>
          <w:szCs w:val="32"/>
          <w:lang w:eastAsia="zh-CN"/>
        </w:rPr>
        <w:t>：</w:t>
      </w:r>
      <w:r>
        <w:rPr>
          <w:rFonts w:hint="eastAsia" w:ascii="仿宋_GB2312" w:eastAsia="仿宋_GB2312"/>
          <w:color w:val="auto"/>
          <w:sz w:val="32"/>
          <w:szCs w:val="32"/>
          <w:highlight w:val="none"/>
          <w:lang w:val="zh-CN" w:eastAsia="zh-CN"/>
        </w:rPr>
        <w:t>车辆保险费、车辆燃料费、车辆维修费</w:t>
      </w:r>
      <w:r>
        <w:rPr>
          <w:rFonts w:ascii="仿宋_GB2312" w:eastAsia="仿宋_GB2312"/>
          <w:b w:val="0"/>
          <w:sz w:val="32"/>
          <w:szCs w:val="32"/>
        </w:rPr>
        <w:t>。公务用车购置数0辆，公务用车保有量2辆。国有资产占用情况中固定资产车辆3辆，与公务用车保有量差异原因是：</w:t>
      </w:r>
      <w:r>
        <w:rPr>
          <w:rFonts w:hint="eastAsia" w:ascii="仿宋_GB2312" w:eastAsia="仿宋_GB2312"/>
          <w:color w:val="auto"/>
          <w:sz w:val="32"/>
          <w:szCs w:val="32"/>
          <w:highlight w:val="none"/>
          <w:lang w:val="zh-CN" w:eastAsia="zh-CN"/>
        </w:rPr>
        <w:t>固定资产车辆与公务用车保有量无差异</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与全年预算相比，财政拨款“三公”经费支出全年预算数4.80万元，决算数4.80万元，预决算差异率0.00%，主要原因是</w:t>
      </w:r>
      <w:r>
        <w:rPr>
          <w:rFonts w:hint="eastAsia" w:ascii="仿宋_GB2312" w:eastAsia="仿宋_GB2312"/>
          <w:b w:val="0"/>
          <w:sz w:val="32"/>
          <w:szCs w:val="32"/>
          <w:lang w:eastAsia="zh-CN"/>
        </w:rPr>
        <w:t>：</w:t>
      </w:r>
      <w:r>
        <w:rPr>
          <w:rFonts w:hint="eastAsia" w:ascii="仿宋_GB2312" w:eastAsia="仿宋_GB2312"/>
          <w:color w:val="auto"/>
          <w:sz w:val="32"/>
          <w:szCs w:val="32"/>
          <w:highlight w:val="none"/>
          <w:lang w:val="en-US" w:eastAsia="zh-CN"/>
        </w:rPr>
        <w:t>我</w:t>
      </w:r>
      <w:r>
        <w:rPr>
          <w:rFonts w:hint="eastAsia" w:ascii="仿宋_GB2312" w:eastAsia="仿宋_GB2312"/>
          <w:color w:val="auto"/>
          <w:sz w:val="32"/>
          <w:szCs w:val="32"/>
          <w:highlight w:val="none"/>
          <w:lang w:val="zh-CN" w:eastAsia="zh-CN"/>
        </w:rPr>
        <w:t>单位“三公”经费支出</w:t>
      </w:r>
      <w:r>
        <w:rPr>
          <w:rFonts w:hint="eastAsia" w:ascii="仿宋_GB2312" w:eastAsia="仿宋_GB2312"/>
          <w:color w:val="auto"/>
          <w:sz w:val="32"/>
          <w:szCs w:val="32"/>
          <w:highlight w:val="none"/>
          <w:lang w:val="en-US" w:eastAsia="zh-CN"/>
        </w:rPr>
        <w:t>与全年</w:t>
      </w:r>
      <w:r>
        <w:rPr>
          <w:rFonts w:hint="eastAsia" w:ascii="仿宋_GB2312" w:eastAsia="仿宋_GB2312"/>
          <w:color w:val="auto"/>
          <w:sz w:val="32"/>
          <w:szCs w:val="32"/>
          <w:highlight w:val="none"/>
          <w:lang w:val="zh-CN" w:eastAsia="zh-CN"/>
        </w:rPr>
        <w:t>预算支出</w:t>
      </w:r>
      <w:r>
        <w:rPr>
          <w:rFonts w:hint="eastAsia" w:ascii="仿宋_GB2312" w:eastAsia="仿宋_GB2312"/>
          <w:color w:val="auto"/>
          <w:sz w:val="32"/>
          <w:szCs w:val="32"/>
          <w:highlight w:val="none"/>
          <w:lang w:val="en-US" w:eastAsia="zh-CN"/>
        </w:rPr>
        <w:t>保持一致</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b w:val="0"/>
          <w:sz w:val="32"/>
          <w:szCs w:val="32"/>
          <w:lang w:val="en-US" w:eastAsia="zh-CN"/>
        </w:rPr>
        <w:t>我单位无</w:t>
      </w:r>
      <w:r>
        <w:rPr>
          <w:rFonts w:ascii="仿宋_GB2312" w:eastAsia="仿宋_GB2312"/>
          <w:b w:val="0"/>
          <w:sz w:val="32"/>
          <w:szCs w:val="32"/>
        </w:rPr>
        <w:t>因公出国（境）费</w:t>
      </w:r>
      <w:r>
        <w:rPr>
          <w:rFonts w:hint="eastAsia" w:ascii="仿宋_GB2312" w:eastAsia="仿宋_GB2312"/>
          <w:b w:val="0"/>
          <w:sz w:val="32"/>
          <w:szCs w:val="32"/>
          <w:lang w:val="en-US" w:eastAsia="zh-CN"/>
        </w:rPr>
        <w:t>支出</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lang w:val="en-US" w:eastAsia="zh-CN"/>
        </w:rPr>
        <w:t>我单位无</w:t>
      </w:r>
      <w:r>
        <w:rPr>
          <w:rFonts w:ascii="仿宋_GB2312" w:eastAsia="仿宋_GB2312"/>
          <w:b w:val="0"/>
          <w:sz w:val="32"/>
          <w:szCs w:val="32"/>
        </w:rPr>
        <w:t>公务用车购置费</w:t>
      </w:r>
      <w:r>
        <w:rPr>
          <w:rFonts w:hint="eastAsia" w:ascii="仿宋_GB2312" w:eastAsia="仿宋_GB2312"/>
          <w:b w:val="0"/>
          <w:sz w:val="32"/>
          <w:szCs w:val="32"/>
          <w:lang w:val="en-US" w:eastAsia="zh-CN"/>
        </w:rPr>
        <w:t>支出</w:t>
      </w:r>
      <w:r>
        <w:rPr>
          <w:rFonts w:ascii="仿宋_GB2312" w:eastAsia="仿宋_GB2312"/>
          <w:b w:val="0"/>
          <w:sz w:val="32"/>
          <w:szCs w:val="32"/>
        </w:rPr>
        <w:t>。公务用车运行维护费全年预算数4.80万元，决算数4.80万元，预决算差异率0.00%，主要原因是：</w:t>
      </w:r>
      <w:r>
        <w:rPr>
          <w:rFonts w:hint="eastAsia" w:ascii="仿宋_GB2312" w:eastAsia="仿宋_GB2312"/>
          <w:color w:val="auto"/>
          <w:sz w:val="32"/>
          <w:szCs w:val="32"/>
          <w:highlight w:val="none"/>
          <w:lang w:val="en-US" w:eastAsia="zh-CN"/>
        </w:rPr>
        <w:t>我</w:t>
      </w:r>
      <w:r>
        <w:rPr>
          <w:rFonts w:hint="eastAsia" w:ascii="仿宋_GB2312" w:eastAsia="仿宋_GB2312"/>
          <w:color w:val="auto"/>
          <w:sz w:val="32"/>
          <w:szCs w:val="32"/>
          <w:highlight w:val="none"/>
          <w:lang w:val="zh-CN" w:eastAsia="zh-CN"/>
        </w:rPr>
        <w:t>单位“三公”经费支出</w:t>
      </w:r>
      <w:r>
        <w:rPr>
          <w:rFonts w:hint="eastAsia" w:ascii="仿宋_GB2312" w:eastAsia="仿宋_GB2312"/>
          <w:color w:val="auto"/>
          <w:sz w:val="32"/>
          <w:szCs w:val="32"/>
          <w:highlight w:val="none"/>
          <w:lang w:val="en-US" w:eastAsia="zh-CN"/>
        </w:rPr>
        <w:t>与全年</w:t>
      </w:r>
      <w:r>
        <w:rPr>
          <w:rFonts w:hint="eastAsia" w:ascii="仿宋_GB2312" w:eastAsia="仿宋_GB2312"/>
          <w:color w:val="auto"/>
          <w:sz w:val="32"/>
          <w:szCs w:val="32"/>
          <w:highlight w:val="none"/>
          <w:lang w:val="zh-CN" w:eastAsia="zh-CN"/>
        </w:rPr>
        <w:t>预算支出</w:t>
      </w:r>
      <w:r>
        <w:rPr>
          <w:rFonts w:hint="eastAsia" w:ascii="仿宋_GB2312" w:eastAsia="仿宋_GB2312"/>
          <w:color w:val="auto"/>
          <w:sz w:val="32"/>
          <w:szCs w:val="32"/>
          <w:highlight w:val="none"/>
          <w:lang w:val="en-US" w:eastAsia="zh-CN"/>
        </w:rPr>
        <w:t>保持一致</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lang w:val="en-US" w:eastAsia="zh-CN"/>
        </w:rPr>
        <w:t>我单位无</w:t>
      </w:r>
      <w:r>
        <w:rPr>
          <w:rFonts w:ascii="仿宋_GB2312" w:eastAsia="仿宋_GB2312"/>
          <w:b w:val="0"/>
          <w:sz w:val="32"/>
          <w:szCs w:val="32"/>
        </w:rPr>
        <w:t>公务接待费</w:t>
      </w:r>
      <w:r>
        <w:rPr>
          <w:rFonts w:hint="eastAsia" w:ascii="仿宋_GB2312" w:eastAsia="仿宋_GB2312"/>
          <w:b w:val="0"/>
          <w:sz w:val="32"/>
          <w:szCs w:val="32"/>
          <w:lang w:val="en-US" w:eastAsia="zh-CN"/>
        </w:rPr>
        <w:t>支出</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2024年度公用经费支出30.94万元，比上年减少10.67万元，下降25.64%，主要原因是：</w:t>
      </w:r>
      <w:r>
        <w:rPr>
          <w:rFonts w:hint="eastAsia" w:ascii="仿宋_GB2312" w:eastAsia="仿宋_GB2312"/>
          <w:b w:val="0"/>
          <w:sz w:val="32"/>
          <w:szCs w:val="32"/>
          <w:lang w:val="en-US" w:eastAsia="zh-CN"/>
        </w:rPr>
        <w:t>上年末在职退休5人在职减少5人，公岗辞职1人，</w:t>
      </w:r>
      <w:r>
        <w:rPr>
          <w:rFonts w:ascii="仿宋_GB2312" w:eastAsia="仿宋_GB2312"/>
          <w:b w:val="0"/>
          <w:sz w:val="32"/>
          <w:szCs w:val="32"/>
        </w:rPr>
        <w:t>公用经费支出</w:t>
      </w:r>
      <w:r>
        <w:rPr>
          <w:rFonts w:hint="eastAsia" w:ascii="仿宋_GB2312" w:eastAsia="仿宋_GB2312"/>
          <w:b w:val="0"/>
          <w:sz w:val="32"/>
          <w:szCs w:val="32"/>
          <w:lang w:val="en-US" w:eastAsia="zh-CN"/>
        </w:rPr>
        <w:t>相应减少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2024年度政府采购支出总额2.76万元，其中：政府采购货物支出0.00万元、政府采购工程支出0.00万元、政府采购服务支出2.76万元。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授予中小企业合同金额2.76万元，占政府采购支出总额的100.00%，其中：授予小微企业合同金额2.63万元，占政府采购支出总额的95.29%。</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6,059.32平方米，价值518.12万元。车辆3辆，价值28.02万元，其中：副部（省）级及以上领导用车0辆、主要负责人用车0辆、机要通信用车0辆、应急保障用车0辆、执法执勤用车0辆、特种专业技术用车0辆、离退休干部服务用车0辆、其他用车3辆，其他用车主要是：</w:t>
      </w:r>
      <w:r>
        <w:rPr>
          <w:rFonts w:hint="eastAsia" w:ascii="Times New Roman" w:hAnsi="Times New Roman" w:eastAsia="仿宋_GB2312" w:cs="Times New Roman"/>
          <w:color w:val="auto"/>
          <w:sz w:val="32"/>
          <w:szCs w:val="32"/>
          <w:highlight w:val="none"/>
          <w:lang w:val="zh-CN" w:eastAsia="zh-CN"/>
        </w:rPr>
        <w:t>农产品质量检验检测业务用车</w:t>
      </w:r>
      <w:r>
        <w:rPr>
          <w:rFonts w:ascii="仿宋_GB2312" w:eastAsia="仿宋_GB2312"/>
          <w:b w:val="0"/>
          <w:sz w:val="32"/>
          <w:szCs w:val="32"/>
        </w:rPr>
        <w:t>;单价100万元（含）以上设备（不含车辆）1台（套）。</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rPr>
        <w:t>616.06</w:t>
      </w:r>
      <w:r>
        <w:rPr>
          <w:rFonts w:ascii="仿宋_GB2312" w:eastAsia="仿宋_GB2312"/>
          <w:b w:val="0"/>
          <w:sz w:val="32"/>
          <w:szCs w:val="32"/>
        </w:rPr>
        <w:t>万元，实际执行总额</w:t>
      </w:r>
      <w:r>
        <w:rPr>
          <w:rFonts w:hint="eastAsia" w:ascii="仿宋_GB2312" w:eastAsia="仿宋_GB2312"/>
          <w:b w:val="0"/>
          <w:sz w:val="32"/>
          <w:szCs w:val="32"/>
        </w:rPr>
        <w:t>660.4</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2</w:t>
      </w:r>
      <w:r>
        <w:rPr>
          <w:rFonts w:ascii="仿宋_GB2312" w:eastAsia="仿宋_GB2312"/>
          <w:b w:val="0"/>
          <w:sz w:val="32"/>
          <w:szCs w:val="32"/>
        </w:rPr>
        <w:t>个，全年预算数</w:t>
      </w:r>
      <w:r>
        <w:rPr>
          <w:rFonts w:hint="eastAsia" w:ascii="仿宋_GB2312" w:eastAsia="仿宋_GB2312"/>
          <w:b w:val="0"/>
          <w:sz w:val="32"/>
          <w:szCs w:val="32"/>
          <w:lang w:val="en-US" w:eastAsia="zh-CN"/>
        </w:rPr>
        <w:t>33</w:t>
      </w:r>
      <w:r>
        <w:rPr>
          <w:rFonts w:ascii="仿宋_GB2312" w:eastAsia="仿宋_GB2312"/>
          <w:b w:val="0"/>
          <w:sz w:val="32"/>
          <w:szCs w:val="32"/>
        </w:rPr>
        <w:t>万元，全年执行数</w:t>
      </w:r>
      <w:r>
        <w:rPr>
          <w:rFonts w:hint="eastAsia" w:ascii="仿宋_GB2312" w:eastAsia="仿宋_GB2312"/>
          <w:b w:val="0"/>
          <w:sz w:val="32"/>
          <w:szCs w:val="32"/>
          <w:lang w:val="en-US" w:eastAsia="zh-CN"/>
        </w:rPr>
        <w:t>33</w:t>
      </w:r>
      <w:r>
        <w:rPr>
          <w:rFonts w:ascii="仿宋_GB2312" w:eastAsia="仿宋_GB2312"/>
          <w:b w:val="0"/>
          <w:sz w:val="32"/>
          <w:szCs w:val="32"/>
        </w:rPr>
        <w:t>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b w:val="0"/>
          <w:sz w:val="32"/>
          <w:szCs w:val="32"/>
        </w:rPr>
      </w:pPr>
      <w:r>
        <w:rPr>
          <w:rFonts w:ascii="仿宋_GB2312" w:eastAsia="仿宋_GB2312"/>
          <w:b/>
          <w:bCs/>
          <w:sz w:val="32"/>
          <w:szCs w:val="32"/>
        </w:rPr>
        <w:t>预算绩效管理取得的成效：</w:t>
      </w:r>
      <w:r>
        <w:rPr>
          <w:rFonts w:ascii="仿宋_GB2312" w:eastAsia="仿宋_GB2312"/>
          <w:b w:val="0"/>
          <w:sz w:val="32"/>
          <w:szCs w:val="32"/>
        </w:rPr>
        <w:t>。</w:t>
      </w:r>
    </w:p>
    <w:p>
      <w:pPr>
        <w:pageBreakBefore w:val="0"/>
        <w:kinsoku/>
        <w:wordWrap/>
        <w:overflowPunct/>
        <w:topLinePunct w:val="0"/>
        <w:autoSpaceDE/>
        <w:autoSpaceDN/>
        <w:bidi w:val="0"/>
        <w:adjustRightInd/>
        <w:snapToGrid/>
        <w:spacing w:line="560" w:lineRule="exact"/>
        <w:ind w:left="0" w:firstLine="643" w:firstLineChars="20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b/>
          <w:bCs/>
          <w:sz w:val="32"/>
          <w:szCs w:val="32"/>
          <w:lang w:val="en-US" w:eastAsia="zh-CN"/>
        </w:rPr>
        <w:t>1.</w:t>
      </w:r>
      <w:r>
        <w:rPr>
          <w:rFonts w:hint="default" w:ascii="Times New Roman" w:hAnsi="Times New Roman" w:eastAsia="仿宋_GB2312" w:cs="Times New Roman"/>
          <w:b/>
          <w:bCs/>
          <w:sz w:val="32"/>
          <w:szCs w:val="32"/>
          <w:lang w:val="en-US" w:eastAsia="zh-CN"/>
        </w:rPr>
        <w:t>主要经验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（1）明确评估目标与标准</w:t>
      </w:r>
      <w:r>
        <w:rPr>
          <w:rFonts w:hint="default" w:ascii="Times New Roman" w:hAnsi="Times New Roman" w:eastAsia="仿宋_GB2312" w:cs="Times New Roman"/>
          <w:kern w:val="2"/>
          <w:sz w:val="32"/>
          <w:szCs w:val="32"/>
          <w:highlight w:val="none"/>
          <w:lang w:val="en-US" w:eastAsia="zh-CN" w:bidi="ar-SA"/>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在自评开始之前，明确评估的目标、范围和具体标准，确保评估工作的针对性和有效性。设定清晰的绩效指标，如检测数量、合格率、成本效益等，以便量化评估结果。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（2）</w:t>
      </w:r>
      <w:r>
        <w:rPr>
          <w:rFonts w:hint="default" w:ascii="Times New Roman" w:hAnsi="Times New Roman" w:eastAsia="仿宋_GB2312" w:cs="Times New Roman"/>
          <w:kern w:val="2"/>
          <w:sz w:val="32"/>
          <w:szCs w:val="32"/>
          <w:highlight w:val="none"/>
          <w:lang w:val="en-US" w:eastAsia="zh-CN" w:bidi="ar-SA"/>
        </w:rPr>
        <w:t>建立健全评估机制：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制定详细的自评计划和时间表，确保自评工作有序进行。设立专门的自评小组，明确成员职责，确保自评工作的专业性和客观性。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（3）</w:t>
      </w:r>
      <w:r>
        <w:rPr>
          <w:rFonts w:hint="default" w:ascii="Times New Roman" w:hAnsi="Times New Roman" w:eastAsia="仿宋_GB2312" w:cs="Times New Roman"/>
          <w:kern w:val="2"/>
          <w:sz w:val="32"/>
          <w:szCs w:val="32"/>
          <w:highlight w:val="none"/>
          <w:lang w:val="en-US" w:eastAsia="zh-CN" w:bidi="ar-SA"/>
        </w:rPr>
        <w:t>强化数据收集与分析：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收集全面的检测数据，包括检测批次、样品数量、检测结果等。对数据进行深入分析，揭示资金使用的效率、效果和存在的问题。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（4）</w:t>
      </w:r>
      <w:r>
        <w:rPr>
          <w:rFonts w:hint="default" w:ascii="Times New Roman" w:hAnsi="Times New Roman" w:eastAsia="仿宋_GB2312" w:cs="Times New Roman"/>
          <w:kern w:val="2"/>
          <w:sz w:val="32"/>
          <w:szCs w:val="32"/>
          <w:highlight w:val="none"/>
          <w:lang w:val="en-US" w:eastAsia="zh-CN" w:bidi="ar-SA"/>
        </w:rPr>
        <w:t>注重经验总结与分享：</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及时总结自评过程中的成功经验和做法，形成可复制、可推广的模式。通过内部培训、交流会等方式，分享经验，提升团队整体绩效管理水平。</w:t>
      </w:r>
    </w:p>
    <w:p>
      <w:pPr>
        <w:pageBreakBefore w:val="0"/>
        <w:kinsoku/>
        <w:wordWrap/>
        <w:overflowPunct/>
        <w:topLinePunct w:val="0"/>
        <w:autoSpaceDE/>
        <w:autoSpaceDN/>
        <w:bidi w:val="0"/>
        <w:adjustRightInd/>
        <w:snapToGrid/>
        <w:spacing w:line="560" w:lineRule="exact"/>
        <w:ind w:left="0" w:firstLine="643" w:firstLineChars="200"/>
        <w:textAlignment w:val="auto"/>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w:t>
      </w:r>
      <w:r>
        <w:rPr>
          <w:rFonts w:hint="default" w:ascii="Times New Roman" w:hAnsi="Times New Roman" w:eastAsia="仿宋_GB2312" w:cs="Times New Roman"/>
          <w:b/>
          <w:bCs/>
          <w:sz w:val="32"/>
          <w:szCs w:val="32"/>
          <w:lang w:val="en-US" w:eastAsia="zh-CN"/>
        </w:rPr>
        <w:t>主要做法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（1）</w:t>
      </w:r>
      <w:r>
        <w:rPr>
          <w:rFonts w:hint="default" w:ascii="Times New Roman" w:hAnsi="Times New Roman" w:eastAsia="仿宋_GB2312" w:cs="Times New Roman"/>
          <w:kern w:val="2"/>
          <w:sz w:val="32"/>
          <w:szCs w:val="32"/>
          <w:highlight w:val="none"/>
          <w:lang w:val="en-US" w:eastAsia="zh-CN" w:bidi="ar-SA"/>
        </w:rPr>
        <w:t>资金分配与使用监管：合理分配检测资金，确保各项检测任务得到足够支持。建立健全资金使用监管机制，确保资金专款专用，避免挪用和浪费。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（2）</w:t>
      </w:r>
      <w:r>
        <w:rPr>
          <w:rFonts w:hint="default" w:ascii="Times New Roman" w:hAnsi="Times New Roman" w:eastAsia="仿宋_GB2312" w:cs="Times New Roman"/>
          <w:kern w:val="2"/>
          <w:sz w:val="32"/>
          <w:szCs w:val="32"/>
          <w:highlight w:val="none"/>
          <w:lang w:val="en-US" w:eastAsia="zh-CN" w:bidi="ar-SA"/>
        </w:rPr>
        <w:t>优化检测流程与提高效率：不断优化检测流程，减少不必要的环节，提高检测效率。引入先进的检测技术和设备，提升检测精度和速度。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（3）</w:t>
      </w:r>
      <w:r>
        <w:rPr>
          <w:rFonts w:hint="default" w:ascii="Times New Roman" w:hAnsi="Times New Roman" w:eastAsia="仿宋_GB2312" w:cs="Times New Roman"/>
          <w:kern w:val="2"/>
          <w:sz w:val="32"/>
          <w:szCs w:val="32"/>
          <w:highlight w:val="none"/>
          <w:lang w:val="en-US" w:eastAsia="zh-CN" w:bidi="ar-SA"/>
        </w:rPr>
        <w:t>加强人员培训与能力建设：定期组织检测人员参加专业培训，提升业务能力和操作技能。建立激励机制，鼓励检测人员创新工作方法，提高工作绩效。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（4）</w:t>
      </w:r>
      <w:r>
        <w:rPr>
          <w:rFonts w:hint="default" w:ascii="Times New Roman" w:hAnsi="Times New Roman" w:eastAsia="仿宋_GB2312" w:cs="Times New Roman"/>
          <w:kern w:val="2"/>
          <w:sz w:val="32"/>
          <w:szCs w:val="32"/>
          <w:highlight w:val="none"/>
          <w:lang w:val="en-US" w:eastAsia="zh-CN" w:bidi="ar-SA"/>
        </w:rPr>
        <w:t>强化结果应用与反馈机制：将检测结果及时反馈给相关部门和农户，指导农业生产，提升农产品质量。根据检测结果调整检测策略，优化资金使用方案，提高资金使用效益。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（5）</w:t>
      </w:r>
      <w:r>
        <w:rPr>
          <w:rFonts w:hint="default" w:ascii="Times New Roman" w:hAnsi="Times New Roman" w:eastAsia="仿宋_GB2312" w:cs="Times New Roman"/>
          <w:kern w:val="2"/>
          <w:sz w:val="32"/>
          <w:szCs w:val="32"/>
          <w:highlight w:val="none"/>
          <w:lang w:val="en-US" w:eastAsia="zh-CN" w:bidi="ar-SA"/>
        </w:rPr>
        <w:t>建立持续改进机制：定期回顾自评结果，分析存在的问题和不足，制定改进措施。鼓励团队成员提出改进建议，持续优化自评流程和方法。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综上所述，农产品检测资金绩效自评需要明确评估目标与标准、建立健全评估机制、强化数据收集与分析、注重经验总结与分享。在具体做法上，应关注资金分配与使用监管、优化检测流程与提高效率、加强人员培训与能力建设、强化结果应用与反馈机制以及建立持续改进机制等方面。通过这些经验和做法，可以不断提升农产品检测资金的使用效率和效果，为农产品质量安全和农业生产提供有力保障。</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b w:val="0"/>
          <w:sz w:val="32"/>
          <w:szCs w:val="32"/>
        </w:rPr>
      </w:pPr>
      <w:r>
        <w:rPr>
          <w:rFonts w:ascii="仿宋_GB2312" w:eastAsia="仿宋_GB2312"/>
          <w:b/>
          <w:bCs/>
          <w:sz w:val="32"/>
          <w:szCs w:val="32"/>
        </w:rPr>
        <w:t>发现的问题及原因：</w:t>
      </w:r>
      <w:r>
        <w:rPr>
          <w:rFonts w:ascii="仿宋_GB2312" w:eastAsia="仿宋_GB2312"/>
          <w:b w:val="0"/>
          <w:sz w:val="32"/>
          <w:szCs w:val="32"/>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2.指标设置过于笼统，缺乏针对性和可操作性，难以准确衡量项目实际成效；部分指标权重分配不合理，不能反映项目核心目标；定性指标多，定量指标少，导致评估结果主观性强。项目前期规划阶段，未充分结合项目特点和目标设计指标体系；缺乏对行业标准和同类项目经验的借鉴；项目团队对绩效评估理解不深，未能从多维度全面构建指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3.数据来源渠道单一，信息不完整；数据收集过程中存在错漏情况；部分数据难以量化，如社会效益、满意度等，导致评估依据不足。缺乏完善的数据收集机制和信息化手段；项目执行过程中，对数据记录和整理重视不足；涉及多方参与的项目，数据共享存在障碍，协调难度大。</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b w:val="0"/>
          <w:sz w:val="32"/>
          <w:szCs w:val="32"/>
        </w:rPr>
      </w:pPr>
      <w:r>
        <w:rPr>
          <w:rFonts w:ascii="仿宋_GB2312" w:eastAsia="仿宋_GB2312"/>
          <w:b/>
          <w:bCs/>
          <w:sz w:val="32"/>
          <w:szCs w:val="32"/>
        </w:rPr>
        <w:t>下一步改进措施：</w:t>
      </w:r>
      <w:r>
        <w:rPr>
          <w:rFonts w:ascii="仿宋_GB2312" w:eastAsia="仿宋_GB2312"/>
          <w:b w:val="0"/>
          <w:sz w:val="32"/>
          <w:szCs w:val="32"/>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1.</w:t>
      </w:r>
      <w:r>
        <w:rPr>
          <w:rFonts w:hint="eastAsia" w:ascii="Times New Roman" w:hAnsi="Times New Roman" w:eastAsia="仿宋_GB2312" w:cs="Times New Roman"/>
          <w:kern w:val="2"/>
          <w:sz w:val="32"/>
          <w:szCs w:val="32"/>
          <w:highlight w:val="none"/>
          <w:lang w:val="en-US" w:eastAsia="zh-CN" w:bidi="ar-SA"/>
        </w:rPr>
        <w:t>进一步</w:t>
      </w:r>
      <w:r>
        <w:rPr>
          <w:rFonts w:hint="default" w:ascii="Times New Roman" w:hAnsi="Times New Roman" w:eastAsia="仿宋_GB2312" w:cs="Times New Roman"/>
          <w:kern w:val="2"/>
          <w:sz w:val="32"/>
          <w:szCs w:val="32"/>
          <w:highlight w:val="none"/>
          <w:lang w:val="en-US" w:eastAsia="zh-CN" w:bidi="ar-SA"/>
        </w:rPr>
        <w:t>强化专业知识</w:t>
      </w:r>
      <w:r>
        <w:rPr>
          <w:rFonts w:hint="eastAsia" w:ascii="Times New Roman" w:hAnsi="Times New Roman" w:eastAsia="仿宋_GB2312" w:cs="Times New Roman"/>
          <w:kern w:val="2"/>
          <w:sz w:val="32"/>
          <w:szCs w:val="32"/>
          <w:highlight w:val="none"/>
          <w:lang w:val="en-US" w:eastAsia="zh-CN" w:bidi="ar-SA"/>
        </w:rPr>
        <w:t>学习</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在资金严重紧缺的情况下，走自我发展道路，特别是绩效自评人员在设置指标方面，要开动脑经反复斟酌，提升思考力，根据年初实施方案和工作计划以及实际发生业务流程、佐证材料，想方设法细化指标，有必要</w:t>
      </w:r>
      <w:r>
        <w:rPr>
          <w:rFonts w:hint="default" w:ascii="Times New Roman" w:hAnsi="Times New Roman" w:eastAsia="仿宋_GB2312" w:cs="Times New Roman"/>
          <w:kern w:val="2"/>
          <w:sz w:val="32"/>
          <w:szCs w:val="32"/>
          <w:highlight w:val="none"/>
          <w:lang w:val="en-US" w:eastAsia="zh-CN" w:bidi="ar-SA"/>
        </w:rPr>
        <w:t>开展1</w:t>
      </w:r>
      <w:r>
        <w:rPr>
          <w:rFonts w:hint="eastAsia" w:ascii="Times New Roman" w:hAnsi="Times New Roman" w:eastAsia="仿宋_GB2312" w:cs="Times New Roman"/>
          <w:kern w:val="2"/>
          <w:sz w:val="32"/>
          <w:szCs w:val="32"/>
          <w:highlight w:val="none"/>
          <w:lang w:val="en-US" w:eastAsia="zh-CN" w:bidi="ar-SA"/>
        </w:rPr>
        <w:t>年两次</w:t>
      </w:r>
      <w:r>
        <w:rPr>
          <w:rFonts w:hint="default" w:ascii="Times New Roman" w:hAnsi="Times New Roman" w:eastAsia="仿宋_GB2312" w:cs="Times New Roman"/>
          <w:kern w:val="2"/>
          <w:sz w:val="32"/>
          <w:szCs w:val="32"/>
          <w:highlight w:val="none"/>
          <w:lang w:val="en-US" w:eastAsia="zh-CN" w:bidi="ar-SA"/>
        </w:rPr>
        <w:t>绩效问题分析经验交流</w:t>
      </w:r>
      <w:r>
        <w:rPr>
          <w:rFonts w:hint="eastAsia" w:ascii="Times New Roman" w:hAnsi="Times New Roman" w:eastAsia="仿宋_GB2312" w:cs="Times New Roman"/>
          <w:kern w:val="2"/>
          <w:sz w:val="32"/>
          <w:szCs w:val="32"/>
          <w:highlight w:val="none"/>
          <w:lang w:val="en-US" w:eastAsia="zh-CN" w:bidi="ar-SA"/>
        </w:rPr>
        <w:t>会，努力</w:t>
      </w:r>
      <w:r>
        <w:rPr>
          <w:rFonts w:hint="default" w:ascii="Times New Roman" w:hAnsi="Times New Roman" w:eastAsia="仿宋_GB2312" w:cs="Times New Roman"/>
          <w:kern w:val="2"/>
          <w:sz w:val="32"/>
          <w:szCs w:val="32"/>
          <w:highlight w:val="none"/>
          <w:lang w:val="en-US" w:eastAsia="zh-CN" w:bidi="ar-SA"/>
        </w:rPr>
        <w:t>提升绩效</w:t>
      </w:r>
      <w:r>
        <w:rPr>
          <w:rFonts w:hint="eastAsia" w:ascii="Times New Roman" w:hAnsi="Times New Roman" w:eastAsia="仿宋_GB2312" w:cs="Times New Roman"/>
          <w:kern w:val="2"/>
          <w:sz w:val="32"/>
          <w:szCs w:val="32"/>
          <w:highlight w:val="none"/>
          <w:lang w:val="en-US" w:eastAsia="zh-CN" w:bidi="ar-SA"/>
        </w:rPr>
        <w:t>自评</w:t>
      </w:r>
      <w:r>
        <w:rPr>
          <w:rFonts w:hint="default" w:ascii="Times New Roman" w:hAnsi="Times New Roman" w:eastAsia="仿宋_GB2312" w:cs="Times New Roman"/>
          <w:kern w:val="2"/>
          <w:sz w:val="32"/>
          <w:szCs w:val="32"/>
          <w:highlight w:val="none"/>
          <w:lang w:val="en-US" w:eastAsia="zh-CN" w:bidi="ar-SA"/>
        </w:rPr>
        <w:t>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2.</w:t>
      </w:r>
      <w:r>
        <w:rPr>
          <w:rFonts w:hint="eastAsia" w:ascii="Times New Roman" w:hAnsi="Times New Roman" w:eastAsia="仿宋_GB2312" w:cs="Times New Roman"/>
          <w:kern w:val="2"/>
          <w:sz w:val="32"/>
          <w:szCs w:val="32"/>
          <w:highlight w:val="none"/>
          <w:lang w:val="en-US" w:eastAsia="zh-CN" w:bidi="ar-SA"/>
        </w:rPr>
        <w:t>合理细化</w:t>
      </w:r>
      <w:r>
        <w:rPr>
          <w:rFonts w:hint="default" w:ascii="Times New Roman" w:hAnsi="Times New Roman" w:eastAsia="仿宋_GB2312" w:cs="Times New Roman"/>
          <w:kern w:val="2"/>
          <w:sz w:val="32"/>
          <w:szCs w:val="32"/>
          <w:highlight w:val="none"/>
          <w:lang w:val="en-US" w:eastAsia="zh-CN" w:bidi="ar-SA"/>
        </w:rPr>
        <w:t>设</w:t>
      </w:r>
      <w:r>
        <w:rPr>
          <w:rFonts w:hint="eastAsia" w:ascii="Times New Roman" w:hAnsi="Times New Roman" w:eastAsia="仿宋_GB2312" w:cs="Times New Roman"/>
          <w:kern w:val="2"/>
          <w:sz w:val="32"/>
          <w:szCs w:val="32"/>
          <w:highlight w:val="none"/>
          <w:lang w:val="en-US" w:eastAsia="zh-CN" w:bidi="ar-SA"/>
        </w:rPr>
        <w:t>定年初绩效目标</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对目标的设定要</w:t>
      </w:r>
      <w:r>
        <w:rPr>
          <w:rFonts w:hint="default" w:ascii="Times New Roman" w:hAnsi="Times New Roman" w:eastAsia="仿宋_GB2312" w:cs="Times New Roman"/>
          <w:kern w:val="2"/>
          <w:sz w:val="32"/>
          <w:szCs w:val="32"/>
          <w:highlight w:val="none"/>
          <w:lang w:val="en-US" w:eastAsia="zh-CN" w:bidi="ar-SA"/>
        </w:rPr>
        <w:t>增强科学性</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可操作性</w:t>
      </w:r>
      <w:r>
        <w:rPr>
          <w:rFonts w:hint="eastAsia" w:ascii="Times New Roman" w:hAnsi="Times New Roman" w:eastAsia="仿宋_GB2312" w:cs="Times New Roman"/>
          <w:kern w:val="2"/>
          <w:sz w:val="32"/>
          <w:szCs w:val="32"/>
          <w:highlight w:val="none"/>
          <w:lang w:val="en-US" w:eastAsia="zh-CN" w:bidi="ar-SA"/>
        </w:rPr>
        <w:t>，认真</w:t>
      </w:r>
      <w:r>
        <w:rPr>
          <w:rFonts w:hint="default" w:ascii="Times New Roman" w:hAnsi="Times New Roman" w:eastAsia="仿宋_GB2312" w:cs="Times New Roman"/>
          <w:kern w:val="2"/>
          <w:sz w:val="32"/>
          <w:szCs w:val="32"/>
          <w:highlight w:val="none"/>
          <w:lang w:val="en-US" w:eastAsia="zh-CN" w:bidi="ar-SA"/>
        </w:rPr>
        <w:t>梳理指标框架</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项目</w:t>
      </w:r>
      <w:r>
        <w:rPr>
          <w:rFonts w:hint="eastAsia" w:ascii="Times New Roman" w:hAnsi="Times New Roman" w:eastAsia="仿宋_GB2312" w:cs="Times New Roman"/>
          <w:kern w:val="2"/>
          <w:sz w:val="32"/>
          <w:szCs w:val="32"/>
          <w:highlight w:val="none"/>
          <w:lang w:val="en-US" w:eastAsia="zh-CN" w:bidi="ar-SA"/>
        </w:rPr>
        <w:t>实施</w:t>
      </w:r>
      <w:r>
        <w:rPr>
          <w:rFonts w:hint="default" w:ascii="Times New Roman" w:hAnsi="Times New Roman" w:eastAsia="仿宋_GB2312" w:cs="Times New Roman"/>
          <w:kern w:val="2"/>
          <w:sz w:val="32"/>
          <w:szCs w:val="32"/>
          <w:highlight w:val="none"/>
          <w:lang w:val="en-US" w:eastAsia="zh-CN" w:bidi="ar-SA"/>
        </w:rPr>
        <w:t>阶段</w:t>
      </w:r>
      <w:r>
        <w:rPr>
          <w:rFonts w:hint="eastAsia" w:ascii="Times New Roman" w:hAnsi="Times New Roman" w:eastAsia="仿宋_GB2312" w:cs="Times New Roman"/>
          <w:kern w:val="2"/>
          <w:sz w:val="32"/>
          <w:szCs w:val="32"/>
          <w:highlight w:val="none"/>
          <w:lang w:val="en-US" w:eastAsia="zh-CN" w:bidi="ar-SA"/>
        </w:rPr>
        <w:t>，突出</w:t>
      </w:r>
      <w:r>
        <w:rPr>
          <w:rFonts w:hint="default" w:ascii="Times New Roman" w:hAnsi="Times New Roman" w:eastAsia="仿宋_GB2312" w:cs="Times New Roman"/>
          <w:kern w:val="2"/>
          <w:sz w:val="32"/>
          <w:szCs w:val="32"/>
          <w:highlight w:val="none"/>
          <w:lang w:val="en-US" w:eastAsia="zh-CN" w:bidi="ar-SA"/>
        </w:rPr>
        <w:t>重点动态指标权重</w:t>
      </w:r>
      <w:r>
        <w:rPr>
          <w:rFonts w:hint="eastAsia" w:ascii="Times New Roman" w:hAnsi="Times New Roman" w:eastAsia="仿宋_GB2312" w:cs="Times New Roman"/>
          <w:kern w:val="2"/>
          <w:sz w:val="32"/>
          <w:szCs w:val="32"/>
          <w:highlight w:val="none"/>
          <w:lang w:val="en-US" w:eastAsia="zh-CN" w:bidi="ar-SA"/>
        </w:rPr>
        <w:t>与</w:t>
      </w:r>
      <w:r>
        <w:rPr>
          <w:rFonts w:hint="default" w:ascii="Times New Roman" w:hAnsi="Times New Roman" w:eastAsia="仿宋_GB2312" w:cs="Times New Roman"/>
          <w:kern w:val="2"/>
          <w:sz w:val="32"/>
          <w:szCs w:val="32"/>
          <w:highlight w:val="none"/>
          <w:lang w:val="en-US" w:eastAsia="zh-CN" w:bidi="ar-SA"/>
        </w:rPr>
        <w:t>核心目标</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从技术、实操、社会效益等</w:t>
      </w:r>
      <w:r>
        <w:rPr>
          <w:rFonts w:hint="eastAsia" w:ascii="Times New Roman" w:hAnsi="Times New Roman" w:eastAsia="仿宋_GB2312" w:cs="Times New Roman"/>
          <w:kern w:val="2"/>
          <w:sz w:val="32"/>
          <w:szCs w:val="32"/>
          <w:highlight w:val="none"/>
          <w:lang w:val="en-US" w:eastAsia="zh-CN" w:bidi="ar-SA"/>
        </w:rPr>
        <w:t>方面</w:t>
      </w:r>
      <w:r>
        <w:rPr>
          <w:rFonts w:hint="default" w:ascii="Times New Roman" w:hAnsi="Times New Roman" w:eastAsia="仿宋_GB2312" w:cs="Times New Roman"/>
          <w:kern w:val="2"/>
          <w:sz w:val="32"/>
          <w:szCs w:val="32"/>
          <w:highlight w:val="none"/>
          <w:lang w:val="en-US" w:eastAsia="zh-CN" w:bidi="ar-SA"/>
        </w:rPr>
        <w:t>，确保指标权重分配合理</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全面覆盖项目</w:t>
      </w:r>
      <w:r>
        <w:rPr>
          <w:rFonts w:hint="eastAsia" w:ascii="Times New Roman" w:hAnsi="Times New Roman" w:eastAsia="仿宋_GB2312" w:cs="Times New Roman"/>
          <w:kern w:val="2"/>
          <w:sz w:val="32"/>
          <w:szCs w:val="32"/>
          <w:highlight w:val="none"/>
          <w:lang w:val="en-US" w:eastAsia="zh-CN" w:bidi="ar-SA"/>
        </w:rPr>
        <w:t>的</w:t>
      </w:r>
      <w:r>
        <w:rPr>
          <w:rFonts w:hint="default" w:ascii="Times New Roman" w:hAnsi="Times New Roman" w:eastAsia="仿宋_GB2312" w:cs="Times New Roman"/>
          <w:kern w:val="2"/>
          <w:sz w:val="32"/>
          <w:szCs w:val="32"/>
          <w:highlight w:val="none"/>
          <w:lang w:val="en-US" w:eastAsia="zh-CN" w:bidi="ar-SA"/>
        </w:rPr>
        <w:t>定性</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定量指标</w:t>
      </w:r>
      <w:r>
        <w:rPr>
          <w:rFonts w:hint="eastAsia" w:ascii="Times New Roman" w:hAnsi="Times New Roman" w:eastAsia="仿宋_GB2312" w:cs="Times New Roman"/>
          <w:kern w:val="2"/>
          <w:sz w:val="32"/>
          <w:szCs w:val="32"/>
          <w:highlight w:val="none"/>
          <w:lang w:val="en-US" w:eastAsia="zh-CN" w:bidi="ar-SA"/>
        </w:rPr>
        <w:t>；年末绩效自评阶段，为实事求反映项目实施的高质量完成全过程，必须完美展现各项指标的全程佐证材料，彻底改变“</w:t>
      </w:r>
      <w:r>
        <w:rPr>
          <w:rFonts w:hint="default" w:ascii="Times New Roman" w:hAnsi="Times New Roman" w:eastAsia="仿宋_GB2312" w:cs="Times New Roman"/>
          <w:kern w:val="2"/>
          <w:sz w:val="32"/>
          <w:szCs w:val="32"/>
          <w:highlight w:val="none"/>
          <w:lang w:val="en-US" w:eastAsia="zh-CN" w:bidi="ar-SA"/>
        </w:rPr>
        <w:t>指标设置过于笼统，缺乏针对性和可操作性，难以准确衡量项目实际成效；部分指标权重分配不合理，不能反映项目核心目标</w:t>
      </w:r>
      <w:r>
        <w:rPr>
          <w:rFonts w:hint="eastAsia" w:ascii="Times New Roman" w:hAnsi="Times New Roman" w:eastAsia="仿宋_GB2312" w:cs="Times New Roman"/>
          <w:kern w:val="2"/>
          <w:sz w:val="32"/>
          <w:szCs w:val="32"/>
          <w:highlight w:val="none"/>
          <w:lang w:val="en-US" w:eastAsia="zh-CN" w:bidi="ar-SA"/>
        </w:rPr>
        <w:t>”的被动局面。</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 w:val="0"/>
          <w:sz w:val="32"/>
          <w:szCs w:val="32"/>
        </w:rPr>
      </w:pPr>
      <w:r>
        <w:rPr>
          <w:rFonts w:hint="default" w:ascii="Times New Roman" w:hAnsi="Times New Roman" w:eastAsia="仿宋_GB2312" w:cs="Times New Roman"/>
          <w:kern w:val="2"/>
          <w:sz w:val="32"/>
          <w:szCs w:val="32"/>
          <w:highlight w:val="none"/>
          <w:lang w:val="en-US" w:eastAsia="zh-CN" w:bidi="ar-SA"/>
        </w:rPr>
        <w:t>3.</w:t>
      </w:r>
      <w:r>
        <w:rPr>
          <w:rFonts w:hint="eastAsia" w:ascii="Times New Roman" w:hAnsi="Times New Roman" w:eastAsia="仿宋_GB2312" w:cs="Times New Roman"/>
          <w:kern w:val="2"/>
          <w:sz w:val="32"/>
          <w:szCs w:val="32"/>
          <w:highlight w:val="none"/>
          <w:lang w:val="en-US" w:eastAsia="zh-CN" w:bidi="ar-SA"/>
        </w:rPr>
        <w:t>拓宽数据采集渠道，整合内部业务数据共享，加强内部项目负责人、绩效自评人员的交流、沟通，实现多源头采集数据；提前做好社会问卷调查、访谈等工作，多方虚心听取受益者意见，采取多种方法进行综合评估；制定数据共享制度，明确各方职责，打通部门间数据壁垒，提升数据收集效率和准确性；改变“</w:t>
      </w:r>
      <w:r>
        <w:rPr>
          <w:rFonts w:hint="default" w:ascii="Times New Roman" w:hAnsi="Times New Roman" w:eastAsia="仿宋_GB2312" w:cs="Times New Roman"/>
          <w:kern w:val="2"/>
          <w:sz w:val="32"/>
          <w:szCs w:val="32"/>
          <w:highlight w:val="none"/>
          <w:lang w:val="en-US" w:eastAsia="zh-CN" w:bidi="ar-SA"/>
        </w:rPr>
        <w:t>数据来源渠道单一，信息不完整；数据收集过程中存在错漏情况；部分数据难以量化，如社会效益、满意度等，导致评估依据不足</w:t>
      </w:r>
      <w:r>
        <w:rPr>
          <w:rFonts w:hint="eastAsia" w:ascii="Times New Roman" w:hAnsi="Times New Roman" w:eastAsia="仿宋_GB2312" w:cs="Times New Roman"/>
          <w:kern w:val="2"/>
          <w:sz w:val="32"/>
          <w:szCs w:val="32"/>
          <w:highlight w:val="none"/>
          <w:lang w:val="en-US" w:eastAsia="zh-CN" w:bidi="ar-SA"/>
        </w:rPr>
        <w:t>”的局限性。</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具体附部门整体支出绩效自评表，项目支出绩效自评表和部门评价报告。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ind w:firstLine="0" w:firstLineChars="200"/>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center"/>
        <w:textAlignment w:val="auto"/>
        <w:outlineLvl w:val="0"/>
        <w:rPr>
          <w:rFonts w:ascii="黑体" w:eastAsia="黑体"/>
          <w:sz w:val="32"/>
          <w:szCs w:val="32"/>
        </w:rPr>
      </w:pPr>
      <w:r>
        <w:rPr>
          <w:rFonts w:ascii="黑体" w:eastAsia="黑体"/>
          <w:b w:val="0"/>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ind w:firstLine="0" w:firstLineChars="200"/>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center"/>
        <w:textAlignment w:val="auto"/>
        <w:outlineLvl w:val="0"/>
        <w:rPr>
          <w:rFonts w:ascii="黑体" w:eastAsia="黑体"/>
          <w:sz w:val="32"/>
          <w:szCs w:val="32"/>
        </w:rPr>
      </w:pPr>
      <w:r>
        <w:rPr>
          <w:rFonts w:ascii="黑体" w:eastAsia="黑体"/>
          <w:b w:val="0"/>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59264" behindDoc="0" locked="0" layoutInCell="1" allowOverlap="1">
            <wp:simplePos x="0" y="0"/>
            <wp:positionH relativeFrom="column">
              <wp:posOffset>-647700</wp:posOffset>
            </wp:positionH>
            <wp:positionV relativeFrom="paragraph">
              <wp:posOffset>19050</wp:posOffset>
            </wp:positionV>
            <wp:extent cx="6838315" cy="8026400"/>
            <wp:effectExtent l="0" t="0" r="635" b="1270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6838315" cy="8026400"/>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0288" behindDoc="0" locked="0" layoutInCell="1" allowOverlap="1">
            <wp:simplePos x="0" y="0"/>
            <wp:positionH relativeFrom="column">
              <wp:posOffset>-647065</wp:posOffset>
            </wp:positionH>
            <wp:positionV relativeFrom="paragraph">
              <wp:posOffset>19050</wp:posOffset>
            </wp:positionV>
            <wp:extent cx="6805930" cy="7792720"/>
            <wp:effectExtent l="0" t="0" r="13970" b="17780"/>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tretch>
                      <a:fillRect/>
                    </a:stretch>
                  </pic:blipFill>
                  <pic:spPr>
                    <a:xfrm>
                      <a:off x="0" y="0"/>
                      <a:ext cx="6805930" cy="7792720"/>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1312" behindDoc="0" locked="0" layoutInCell="1" allowOverlap="1">
            <wp:simplePos x="0" y="0"/>
            <wp:positionH relativeFrom="column">
              <wp:posOffset>-628015</wp:posOffset>
            </wp:positionH>
            <wp:positionV relativeFrom="paragraph">
              <wp:posOffset>19050</wp:posOffset>
            </wp:positionV>
            <wp:extent cx="6772275" cy="6851015"/>
            <wp:effectExtent l="0" t="0" r="9525" b="6985"/>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6"/>
                    <a:stretch>
                      <a:fillRect/>
                    </a:stretch>
                  </pic:blipFill>
                  <pic:spPr>
                    <a:xfrm>
                      <a:off x="0" y="0"/>
                      <a:ext cx="6772275" cy="685101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2336" behindDoc="0" locked="0" layoutInCell="1" allowOverlap="1">
            <wp:simplePos x="0" y="0"/>
            <wp:positionH relativeFrom="column">
              <wp:posOffset>-657225</wp:posOffset>
            </wp:positionH>
            <wp:positionV relativeFrom="paragraph">
              <wp:posOffset>38100</wp:posOffset>
            </wp:positionV>
            <wp:extent cx="6833235" cy="7998460"/>
            <wp:effectExtent l="0" t="0" r="5715" b="2540"/>
            <wp:wrapSquare wrapText="bothSides"/>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7"/>
                    <a:stretch>
                      <a:fillRect/>
                    </a:stretch>
                  </pic:blipFill>
                  <pic:spPr>
                    <a:xfrm>
                      <a:off x="0" y="0"/>
                      <a:ext cx="6833235" cy="7998460"/>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3360" behindDoc="0" locked="0" layoutInCell="1" allowOverlap="1">
            <wp:simplePos x="0" y="0"/>
            <wp:positionH relativeFrom="column">
              <wp:posOffset>-676275</wp:posOffset>
            </wp:positionH>
            <wp:positionV relativeFrom="paragraph">
              <wp:posOffset>47625</wp:posOffset>
            </wp:positionV>
            <wp:extent cx="6824345" cy="7189470"/>
            <wp:effectExtent l="0" t="0" r="14605" b="11430"/>
            <wp:wrapSquare wrapText="bothSides"/>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6824345" cy="7189470"/>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pPr>
      <w:r>
        <w:drawing>
          <wp:anchor distT="0" distB="0" distL="114300" distR="114300" simplePos="0" relativeHeight="251664384" behindDoc="0" locked="0" layoutInCell="1" allowOverlap="1">
            <wp:simplePos x="0" y="0"/>
            <wp:positionH relativeFrom="column">
              <wp:posOffset>-590550</wp:posOffset>
            </wp:positionH>
            <wp:positionV relativeFrom="paragraph">
              <wp:posOffset>38100</wp:posOffset>
            </wp:positionV>
            <wp:extent cx="6718935" cy="8089265"/>
            <wp:effectExtent l="0" t="0" r="5715" b="6985"/>
            <wp:wrapSquare wrapText="bothSides"/>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9"/>
                    <a:stretch>
                      <a:fillRect/>
                    </a:stretch>
                  </pic:blipFill>
                  <pic:spPr>
                    <a:xfrm>
                      <a:off x="0" y="0"/>
                      <a:ext cx="6718935" cy="808926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pPr>
      <w:r>
        <w:drawing>
          <wp:anchor distT="0" distB="0" distL="114300" distR="114300" simplePos="0" relativeHeight="251666432" behindDoc="0" locked="0" layoutInCell="1" allowOverlap="1">
            <wp:simplePos x="0" y="0"/>
            <wp:positionH relativeFrom="column">
              <wp:posOffset>-482600</wp:posOffset>
            </wp:positionH>
            <wp:positionV relativeFrom="paragraph">
              <wp:posOffset>-287655</wp:posOffset>
            </wp:positionV>
            <wp:extent cx="6790690" cy="3636010"/>
            <wp:effectExtent l="0" t="0" r="10160" b="254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rcRect b="6254"/>
                    <a:stretch>
                      <a:fillRect/>
                    </a:stretch>
                  </pic:blipFill>
                  <pic:spPr>
                    <a:xfrm>
                      <a:off x="0" y="0"/>
                      <a:ext cx="6790690" cy="3636010"/>
                    </a:xfrm>
                    <a:prstGeom prst="rect">
                      <a:avLst/>
                    </a:prstGeom>
                    <a:noFill/>
                    <a:ln>
                      <a:noFill/>
                    </a:ln>
                  </pic:spPr>
                </pic:pic>
              </a:graphicData>
            </a:graphic>
          </wp:anchor>
        </w:drawing>
      </w:r>
    </w:p>
    <w:p>
      <w:pPr>
        <w:rPr>
          <w:rFonts w:ascii="仿宋_GB2312" w:eastAsia="仿宋_GB2312"/>
          <w:b w:val="0"/>
          <w:sz w:val="32"/>
          <w:szCs w:val="32"/>
        </w:rPr>
      </w:pPr>
      <w:r>
        <w:rPr>
          <w:rFonts w:ascii="仿宋_GB2312" w:eastAsia="仿宋_GB2312"/>
          <w:b w:val="0"/>
          <w:sz w:val="32"/>
          <w:szCs w:val="32"/>
        </w:rPr>
        <w:br w:type="page"/>
      </w:r>
    </w:p>
    <w:p>
      <w:pPr>
        <w:rPr>
          <w:rFonts w:ascii="仿宋_GB2312" w:eastAsia="仿宋_GB2312"/>
          <w:b w:val="0"/>
          <w:sz w:val="32"/>
          <w:szCs w:val="32"/>
        </w:rPr>
      </w:pPr>
      <w:bookmarkStart w:id="0" w:name="_GoBack"/>
      <w:r>
        <w:drawing>
          <wp:anchor distT="0" distB="0" distL="114300" distR="114300" simplePos="0" relativeHeight="251667456" behindDoc="0" locked="0" layoutInCell="1" allowOverlap="1">
            <wp:simplePos x="0" y="0"/>
            <wp:positionH relativeFrom="column">
              <wp:posOffset>-506730</wp:posOffset>
            </wp:positionH>
            <wp:positionV relativeFrom="paragraph">
              <wp:posOffset>147955</wp:posOffset>
            </wp:positionV>
            <wp:extent cx="6729730" cy="3510915"/>
            <wp:effectExtent l="0" t="0" r="13970" b="13335"/>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6729730" cy="3510915"/>
                    </a:xfrm>
                    <a:prstGeom prst="rect">
                      <a:avLst/>
                    </a:prstGeom>
                    <a:noFill/>
                    <a:ln>
                      <a:noFill/>
                    </a:ln>
                  </pic:spPr>
                </pic:pic>
              </a:graphicData>
            </a:graphic>
          </wp:anchor>
        </w:drawing>
      </w:r>
      <w:bookmarkEnd w:id="0"/>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5408" behindDoc="0" locked="0" layoutInCell="1" allowOverlap="1">
            <wp:simplePos x="0" y="0"/>
            <wp:positionH relativeFrom="column">
              <wp:posOffset>-704215</wp:posOffset>
            </wp:positionH>
            <wp:positionV relativeFrom="paragraph">
              <wp:posOffset>76200</wp:posOffset>
            </wp:positionV>
            <wp:extent cx="6877685" cy="3813810"/>
            <wp:effectExtent l="0" t="0" r="18415" b="15240"/>
            <wp:wrapSquare wrapText="bothSides"/>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2"/>
                    <a:stretch>
                      <a:fillRect/>
                    </a:stretch>
                  </pic:blipFill>
                  <pic:spPr>
                    <a:xfrm>
                      <a:off x="0" y="0"/>
                      <a:ext cx="6877685" cy="3813810"/>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EC6986"/>
    <w:rsid w:val="227E5E60"/>
    <w:rsid w:val="22C22093"/>
    <w:rsid w:val="3C850224"/>
    <w:rsid w:val="46261403"/>
    <w:rsid w:val="54F1017C"/>
    <w:rsid w:val="5ED87607"/>
    <w:rsid w:val="742C14F2"/>
    <w:rsid w:val="75C86034"/>
    <w:rsid w:val="7F1D30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27</Pages>
  <Words>7451</Words>
  <Characters>8047</Characters>
  <TotalTime>32</TotalTime>
  <ScaleCrop>false</ScaleCrop>
  <LinksUpToDate>false</LinksUpToDate>
  <CharactersWithSpaces>8059</CharactersWithSpaces>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2025-08-14T14:40:00Z</dcterms:created>
  <dc:creator>Administrator</dc:creator>
  <cp:lastModifiedBy>lenovo</cp:lastModifiedBy>
  <dcterms:modified xsi:type="dcterms:W3CDTF">2025-08-18T12:07:57Z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KSOTemplateDocerSaveRecord">
    <vt:lpwstr>eyJoZGlkIjoiMDhjYmMxN2RkYWY5M2IxNzliNmU0ZjcxYTIyYTJlODkiLCJ1c2VySWQiOiI1MzMyNjY2NjMifQ==</vt:lpwstr>
  </property>
  <property fmtid="{D5CDD505-2E9C-101B-9397-08002B2CF9AE}" pid="4" name="ICV">
    <vt:lpwstr>37A8F4BF32534FE3A0A5E7CC9F267EC8_12</vt:lpwstr>
  </property>
</Properties>
</file>