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华文中宋" w:cs="Times New Roman"/>
          <w:b/>
          <w:kern w:val="0"/>
          <w:sz w:val="52"/>
          <w:szCs w:val="52"/>
          <w:highlight w:val="none"/>
        </w:rPr>
      </w:pPr>
    </w:p>
    <w:p>
      <w:pPr>
        <w:pageBreakBefore w:val="0"/>
        <w:kinsoku/>
        <w:wordWrap/>
        <w:overflowPunct/>
        <w:topLinePunct w:val="0"/>
        <w:autoSpaceDE/>
        <w:autoSpaceDN/>
        <w:bidi w:val="0"/>
        <w:adjustRightInd/>
        <w:snapToGrid/>
        <w:spacing w:line="240" w:lineRule="auto"/>
        <w:ind w:left="0" w:leftChars="0"/>
        <w:jc w:val="both"/>
        <w:rPr>
          <w:rFonts w:hint="default" w:ascii="Times New Roman" w:hAnsi="Times New Roman" w:eastAsia="方正小标宋_GBK" w:cs="Times New Roman"/>
          <w:kern w:val="0"/>
          <w:sz w:val="40"/>
          <w:szCs w:val="40"/>
          <w:highlight w:val="none"/>
        </w:rPr>
      </w:pPr>
    </w:p>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方正小标宋_GBK" w:cs="Times New Roman"/>
          <w:kern w:val="0"/>
          <w:sz w:val="40"/>
          <w:szCs w:val="40"/>
          <w:highlight w:val="none"/>
        </w:rPr>
      </w:pPr>
      <w:r>
        <w:rPr>
          <w:rFonts w:hint="default" w:ascii="Times New Roman" w:hAnsi="Times New Roman" w:eastAsia="方正小标宋_GBK" w:cs="Times New Roman"/>
          <w:kern w:val="0"/>
          <w:sz w:val="40"/>
          <w:szCs w:val="40"/>
          <w:highlight w:val="none"/>
        </w:rPr>
        <w:t>巴财农【2024】13号关于下达2024年中央耕地建设与利用资金预算的通知582.4万（化肥减量7.4万</w:t>
      </w:r>
      <w:r>
        <w:rPr>
          <w:rFonts w:hint="default" w:ascii="Times New Roman" w:hAnsi="Times New Roman" w:eastAsia="方正小标宋_GBK" w:cs="Times New Roman"/>
          <w:kern w:val="0"/>
          <w:sz w:val="40"/>
          <w:szCs w:val="40"/>
          <w:highlight w:val="none"/>
          <w:lang w:eastAsia="zh-CN"/>
        </w:rPr>
        <w:t>、</w:t>
      </w:r>
      <w:r>
        <w:rPr>
          <w:rFonts w:hint="default" w:ascii="Times New Roman" w:hAnsi="Times New Roman" w:eastAsia="方正小标宋_GBK" w:cs="Times New Roman"/>
          <w:kern w:val="0"/>
          <w:sz w:val="40"/>
          <w:szCs w:val="40"/>
          <w:highlight w:val="none"/>
        </w:rPr>
        <w:t>三次土壤普查75万）项目支出</w:t>
      </w:r>
    </w:p>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方正小标宋_GBK" w:cs="Times New Roman"/>
          <w:kern w:val="0"/>
          <w:sz w:val="40"/>
          <w:szCs w:val="40"/>
          <w:highlight w:val="none"/>
        </w:rPr>
      </w:pPr>
      <w:r>
        <w:rPr>
          <w:rFonts w:hint="default" w:ascii="Times New Roman" w:hAnsi="Times New Roman" w:eastAsia="方正小标宋_GBK" w:cs="Times New Roman"/>
          <w:kern w:val="0"/>
          <w:sz w:val="40"/>
          <w:szCs w:val="40"/>
          <w:highlight w:val="none"/>
        </w:rPr>
        <w:t>绩效评价报告</w:t>
      </w:r>
    </w:p>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华文中宋" w:cs="Times New Roman"/>
          <w:b/>
          <w:kern w:val="0"/>
          <w:sz w:val="52"/>
          <w:szCs w:val="52"/>
          <w:highlight w:val="none"/>
        </w:rPr>
      </w:pPr>
    </w:p>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（202</w:t>
      </w:r>
      <w:r>
        <w:rPr>
          <w:rFonts w:hint="default" w:ascii="Times New Roman" w:hAnsi="Times New Roman"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年度）</w:t>
      </w:r>
    </w:p>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kern w:val="0"/>
          <w:sz w:val="30"/>
          <w:szCs w:val="30"/>
          <w:highlight w:val="none"/>
        </w:rPr>
      </w:pPr>
    </w:p>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kern w:val="0"/>
          <w:sz w:val="30"/>
          <w:szCs w:val="30"/>
          <w:highlight w:val="none"/>
        </w:rPr>
      </w:pPr>
    </w:p>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kern w:val="0"/>
          <w:sz w:val="30"/>
          <w:szCs w:val="30"/>
          <w:highlight w:val="none"/>
        </w:rPr>
      </w:pPr>
      <w:bookmarkStart w:id="12" w:name="_GoBack"/>
      <w:bookmarkEnd w:id="12"/>
    </w:p>
    <w:p>
      <w:pPr>
        <w:pStyle w:val="2"/>
        <w:rPr>
          <w:rFonts w:hint="default" w:ascii="Times New Roman" w:hAnsi="Times New Roman" w:eastAsia="仿宋_GB2312" w:cs="Times New Roman"/>
          <w:kern w:val="0"/>
          <w:sz w:val="30"/>
          <w:szCs w:val="30"/>
          <w:highlight w:val="none"/>
        </w:rPr>
      </w:pPr>
    </w:p>
    <w:p>
      <w:pPr>
        <w:pageBreakBefore w:val="0"/>
        <w:kinsoku/>
        <w:wordWrap/>
        <w:overflowPunct/>
        <w:topLinePunct w:val="0"/>
        <w:autoSpaceDE/>
        <w:autoSpaceDN/>
        <w:bidi w:val="0"/>
        <w:adjustRightInd/>
        <w:snapToGrid/>
        <w:spacing w:line="240" w:lineRule="auto"/>
        <w:ind w:left="0" w:leftChars="0"/>
        <w:rPr>
          <w:rFonts w:hint="eastAsia" w:ascii="Times New Roman" w:hAnsi="Times New Roman" w:eastAsia="仿宋_GB2312" w:cs="Times New Roman"/>
          <w:kern w:val="0"/>
          <w:sz w:val="30"/>
          <w:szCs w:val="30"/>
          <w:highlight w:val="none"/>
          <w:lang w:eastAsia="zh-CN"/>
        </w:rPr>
      </w:pPr>
    </w:p>
    <w:p>
      <w:pPr>
        <w:pStyle w:val="2"/>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2883" w:leftChars="608" w:hanging="1606" w:hangingChars="500"/>
        <w:jc w:val="left"/>
        <w:textAlignment w:val="auto"/>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eastAsia="仿宋_GB2312" w:cs="Times New Roman"/>
          <w:b/>
          <w:bCs/>
          <w:kern w:val="0"/>
          <w:sz w:val="32"/>
          <w:szCs w:val="32"/>
          <w:highlight w:val="none"/>
        </w:rPr>
        <w:t>项目名称</w:t>
      </w:r>
      <w:r>
        <w:rPr>
          <w:rFonts w:hint="default" w:ascii="Times New Roman" w:hAnsi="Times New Roman" w:eastAsia="仿宋_GB2312" w:cs="Times New Roman"/>
          <w:kern w:val="0"/>
          <w:sz w:val="32"/>
          <w:szCs w:val="32"/>
          <w:highlight w:val="none"/>
        </w:rPr>
        <w:t>：巴财农【2024】13号关于下达</w:t>
      </w:r>
      <w:r>
        <w:rPr>
          <w:rFonts w:hint="default" w:ascii="Times New Roman" w:hAnsi="Times New Roman" w:eastAsia="仿宋_GB2312" w:cs="Times New Roman"/>
          <w:kern w:val="0"/>
          <w:sz w:val="32"/>
          <w:szCs w:val="32"/>
          <w:highlight w:val="none"/>
          <w:lang w:val="en-US" w:eastAsia="zh-CN"/>
        </w:rPr>
        <w:t>2024年中央耕地建设与利用资金预算的通知582.4万（化肥减量7.4万、三次土壤普查75万）项目</w:t>
      </w:r>
    </w:p>
    <w:p>
      <w:pPr>
        <w:pageBreakBefore w:val="0"/>
        <w:kinsoku/>
        <w:wordWrap/>
        <w:overflowPunct/>
        <w:topLinePunct w:val="0"/>
        <w:autoSpaceDE/>
        <w:autoSpaceDN/>
        <w:bidi w:val="0"/>
        <w:adjustRightInd/>
        <w:snapToGrid/>
        <w:spacing w:line="240" w:lineRule="auto"/>
        <w:ind w:left="0" w:leftChars="0" w:firstLine="1285" w:firstLineChars="400"/>
        <w:jc w:val="left"/>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eastAsia="仿宋_GB2312" w:cs="Times New Roman"/>
          <w:b/>
          <w:bCs/>
          <w:kern w:val="0"/>
          <w:sz w:val="32"/>
          <w:szCs w:val="32"/>
          <w:highlight w:val="none"/>
        </w:rPr>
        <w:t>实施单位（公章）</w:t>
      </w:r>
      <w:r>
        <w:rPr>
          <w:rFonts w:hint="default" w:ascii="Times New Roman" w:hAnsi="Times New Roman" w:eastAsia="仿宋_GB2312" w:cs="Times New Roman"/>
          <w:kern w:val="0"/>
          <w:sz w:val="32"/>
          <w:szCs w:val="32"/>
          <w:highlight w:val="none"/>
        </w:rPr>
        <w:t>：</w:t>
      </w:r>
      <w:r>
        <w:rPr>
          <w:rFonts w:hint="default" w:ascii="Times New Roman" w:hAnsi="Times New Roman" w:eastAsia="仿宋_GB2312" w:cs="Times New Roman"/>
          <w:kern w:val="0"/>
          <w:sz w:val="32"/>
          <w:szCs w:val="32"/>
          <w:highlight w:val="none"/>
          <w:lang w:val="en-US" w:eastAsia="zh-CN"/>
        </w:rPr>
        <w:t>库尔勒市农业技术推广中心</w:t>
      </w:r>
    </w:p>
    <w:p>
      <w:pPr>
        <w:pageBreakBefore w:val="0"/>
        <w:kinsoku/>
        <w:wordWrap/>
        <w:overflowPunct/>
        <w:topLinePunct w:val="0"/>
        <w:autoSpaceDE/>
        <w:autoSpaceDN/>
        <w:bidi w:val="0"/>
        <w:adjustRightInd/>
        <w:snapToGrid/>
        <w:spacing w:line="240" w:lineRule="auto"/>
        <w:ind w:left="0" w:leftChars="0" w:firstLine="1285" w:firstLineChars="400"/>
        <w:jc w:val="left"/>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eastAsia="仿宋_GB2312" w:cs="Times New Roman"/>
          <w:b/>
          <w:bCs/>
          <w:kern w:val="0"/>
          <w:sz w:val="32"/>
          <w:szCs w:val="32"/>
          <w:highlight w:val="none"/>
        </w:rPr>
        <w:t>主管部门（公章）</w:t>
      </w:r>
      <w:r>
        <w:rPr>
          <w:rFonts w:hint="default" w:ascii="Times New Roman" w:hAnsi="Times New Roman" w:eastAsia="仿宋_GB2312" w:cs="Times New Roman"/>
          <w:kern w:val="0"/>
          <w:sz w:val="32"/>
          <w:szCs w:val="32"/>
          <w:highlight w:val="none"/>
        </w:rPr>
        <w:t>：</w:t>
      </w:r>
      <w:r>
        <w:rPr>
          <w:rFonts w:hint="default" w:ascii="Times New Roman" w:hAnsi="Times New Roman" w:eastAsia="仿宋_GB2312" w:cs="Times New Roman"/>
          <w:kern w:val="0"/>
          <w:sz w:val="32"/>
          <w:szCs w:val="32"/>
          <w:highlight w:val="none"/>
          <w:lang w:val="en-US" w:eastAsia="zh-CN"/>
        </w:rPr>
        <w:t>库尔勒市农业农村局</w:t>
      </w:r>
    </w:p>
    <w:p>
      <w:pPr>
        <w:pageBreakBefore w:val="0"/>
        <w:kinsoku/>
        <w:wordWrap/>
        <w:overflowPunct/>
        <w:topLinePunct w:val="0"/>
        <w:autoSpaceDE/>
        <w:autoSpaceDN/>
        <w:bidi w:val="0"/>
        <w:adjustRightInd/>
        <w:snapToGrid/>
        <w:spacing w:line="240" w:lineRule="auto"/>
        <w:ind w:left="0" w:leftChars="0" w:firstLine="1285" w:firstLineChars="400"/>
        <w:jc w:val="left"/>
        <w:rPr>
          <w:rFonts w:hint="default" w:ascii="Times New Roman" w:hAnsi="Times New Roman" w:eastAsia="仿宋_GB2312" w:cs="Times New Roman"/>
          <w:kern w:val="0"/>
          <w:sz w:val="32"/>
          <w:szCs w:val="32"/>
          <w:highlight w:val="none"/>
          <w:lang w:eastAsia="zh-CN"/>
        </w:rPr>
      </w:pPr>
      <w:r>
        <w:rPr>
          <w:rFonts w:hint="default" w:ascii="Times New Roman" w:hAnsi="Times New Roman" w:eastAsia="仿宋_GB2312" w:cs="Times New Roman"/>
          <w:b/>
          <w:bCs/>
          <w:kern w:val="0"/>
          <w:sz w:val="32"/>
          <w:szCs w:val="32"/>
          <w:highlight w:val="none"/>
        </w:rPr>
        <w:t>项目负责人（签章）</w:t>
      </w:r>
      <w:r>
        <w:rPr>
          <w:rFonts w:hint="default" w:ascii="Times New Roman" w:hAnsi="Times New Roman" w:eastAsia="仿宋_GB2312" w:cs="Times New Roman"/>
          <w:kern w:val="0"/>
          <w:sz w:val="32"/>
          <w:szCs w:val="32"/>
          <w:highlight w:val="none"/>
        </w:rPr>
        <w:t>：</w:t>
      </w:r>
      <w:r>
        <w:rPr>
          <w:rFonts w:hint="default" w:ascii="Times New Roman" w:hAnsi="Times New Roman" w:eastAsia="仿宋_GB2312" w:cs="Times New Roman"/>
          <w:kern w:val="0"/>
          <w:sz w:val="32"/>
          <w:szCs w:val="32"/>
          <w:highlight w:val="none"/>
          <w:lang w:val="en-US" w:eastAsia="zh-CN"/>
        </w:rPr>
        <w:t>袁志华</w:t>
      </w:r>
    </w:p>
    <w:p>
      <w:pPr>
        <w:pageBreakBefore w:val="0"/>
        <w:kinsoku/>
        <w:wordWrap/>
        <w:overflowPunct/>
        <w:topLinePunct w:val="0"/>
        <w:autoSpaceDE/>
        <w:autoSpaceDN/>
        <w:bidi w:val="0"/>
        <w:adjustRightInd/>
        <w:snapToGrid/>
        <w:spacing w:line="240" w:lineRule="auto"/>
        <w:ind w:left="0" w:leftChars="0" w:firstLine="1280" w:firstLineChars="400"/>
        <w:jc w:val="left"/>
        <w:rPr>
          <w:rFonts w:hint="default" w:ascii="Times New Roman" w:hAnsi="Times New Roman" w:eastAsia="仿宋_GB2312" w:cs="Times New Roman"/>
          <w:kern w:val="0"/>
          <w:sz w:val="32"/>
          <w:szCs w:val="32"/>
          <w:highlight w:val="none"/>
        </w:rPr>
      </w:pPr>
      <w:r>
        <w:rPr>
          <w:rFonts w:hint="default" w:ascii="Times New Roman" w:hAnsi="Times New Roman" w:eastAsia="仿宋_GB2312" w:cs="Times New Roman"/>
          <w:kern w:val="0"/>
          <w:sz w:val="32"/>
          <w:szCs w:val="32"/>
          <w:highlight w:val="none"/>
        </w:rPr>
        <w:t>填报时间：</w:t>
      </w:r>
      <w:r>
        <w:rPr>
          <w:rFonts w:hint="default" w:ascii="Times New Roman" w:hAnsi="Times New Roman" w:eastAsia="仿宋_GB2312" w:cs="Times New Roman"/>
          <w:kern w:val="0"/>
          <w:sz w:val="32"/>
          <w:szCs w:val="32"/>
          <w:highlight w:val="none"/>
          <w:lang w:val="en-US" w:eastAsia="zh-CN"/>
        </w:rPr>
        <w:t>2025</w:t>
      </w:r>
      <w:r>
        <w:rPr>
          <w:rFonts w:hint="default" w:ascii="Times New Roman" w:hAnsi="Times New Roman" w:eastAsia="仿宋_GB2312" w:cs="Times New Roman"/>
          <w:kern w:val="0"/>
          <w:sz w:val="32"/>
          <w:szCs w:val="32"/>
          <w:highlight w:val="none"/>
        </w:rPr>
        <w:t>年</w:t>
      </w:r>
      <w:r>
        <w:rPr>
          <w:rFonts w:hint="default" w:ascii="Times New Roman" w:hAnsi="Times New Roman" w:eastAsia="仿宋_GB2312" w:cs="Times New Roman"/>
          <w:kern w:val="0"/>
          <w:sz w:val="32"/>
          <w:szCs w:val="32"/>
          <w:highlight w:val="none"/>
          <w:lang w:val="en-US" w:eastAsia="zh-CN"/>
        </w:rPr>
        <w:t>3</w:t>
      </w:r>
      <w:r>
        <w:rPr>
          <w:rFonts w:hint="default" w:ascii="Times New Roman" w:hAnsi="Times New Roman" w:eastAsia="仿宋_GB2312" w:cs="Times New Roman"/>
          <w:kern w:val="0"/>
          <w:sz w:val="32"/>
          <w:szCs w:val="32"/>
          <w:highlight w:val="none"/>
        </w:rPr>
        <w:t>月</w:t>
      </w:r>
      <w:r>
        <w:rPr>
          <w:rFonts w:hint="default" w:ascii="Times New Roman" w:hAnsi="Times New Roman" w:eastAsia="仿宋_GB2312" w:cs="Times New Roman"/>
          <w:kern w:val="0"/>
          <w:sz w:val="32"/>
          <w:szCs w:val="32"/>
          <w:highlight w:val="none"/>
          <w:lang w:val="en-US" w:eastAsia="zh-CN"/>
        </w:rPr>
        <w:t>28</w:t>
      </w:r>
      <w:r>
        <w:rPr>
          <w:rFonts w:hint="default" w:ascii="Times New Roman" w:hAnsi="Times New Roman" w:eastAsia="仿宋_GB2312" w:cs="Times New Roman"/>
          <w:kern w:val="0"/>
          <w:sz w:val="32"/>
          <w:szCs w:val="32"/>
          <w:highlight w:val="none"/>
        </w:rPr>
        <w:t>日</w:t>
      </w:r>
    </w:p>
    <w:p>
      <w:pPr>
        <w:pageBreakBefore w:val="0"/>
        <w:kinsoku/>
        <w:wordWrap/>
        <w:overflowPunct/>
        <w:topLinePunct w:val="0"/>
        <w:autoSpaceDE/>
        <w:autoSpaceDN/>
        <w:bidi w:val="0"/>
        <w:adjustRightInd/>
        <w:snapToGrid/>
        <w:spacing w:line="240" w:lineRule="auto"/>
        <w:ind w:left="0" w:leftChars="0"/>
        <w:rPr>
          <w:rFonts w:hint="default" w:ascii="Times New Roman" w:hAnsi="Times New Roman" w:eastAsia="黑体" w:cs="Times New Roman"/>
          <w:bCs/>
          <w:sz w:val="32"/>
          <w:szCs w:val="32"/>
          <w:highlight w:val="none"/>
        </w:rPr>
        <w:sectPr>
          <w:pgSz w:w="11906" w:h="16838"/>
          <w:pgMar w:top="1440" w:right="1558" w:bottom="1440" w:left="1800" w:header="851" w:footer="992" w:gutter="0"/>
          <w:cols w:space="425" w:num="1"/>
          <w:docGrid w:type="lines" w:linePitch="312" w:charSpace="0"/>
        </w:sectPr>
      </w:pPr>
    </w:p>
    <w:p>
      <w:pPr>
        <w:pageBreakBefore w:val="0"/>
        <w:kinsoku/>
        <w:wordWrap/>
        <w:overflowPunct/>
        <w:topLinePunct w:val="0"/>
        <w:autoSpaceDE/>
        <w:autoSpaceDN/>
        <w:bidi w:val="0"/>
        <w:adjustRightInd/>
        <w:snapToGrid/>
        <w:spacing w:line="240" w:lineRule="auto"/>
        <w:ind w:left="0" w:leftChars="0" w:firstLine="640" w:firstLineChars="200"/>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一、基本情况</w:t>
      </w:r>
    </w:p>
    <w:p>
      <w:pPr>
        <w:pageBreakBefore w:val="0"/>
        <w:kinsoku/>
        <w:wordWrap/>
        <w:overflowPunct/>
        <w:topLinePunct w:val="0"/>
        <w:autoSpaceDE/>
        <w:autoSpaceDN/>
        <w:bidi w:val="0"/>
        <w:adjustRightInd/>
        <w:snapToGrid/>
        <w:spacing w:line="240" w:lineRule="auto"/>
        <w:ind w:left="0" w:leftChars="0"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（一）项目概况</w:t>
      </w:r>
    </w:p>
    <w:p>
      <w:pPr>
        <w:pageBreakBefore w:val="0"/>
        <w:kinsoku/>
        <w:wordWrap/>
        <w:overflowPunct/>
        <w:topLinePunct w:val="0"/>
        <w:autoSpaceDE/>
        <w:autoSpaceDN/>
        <w:bidi w:val="0"/>
        <w:adjustRightInd/>
        <w:snapToGrid/>
        <w:spacing w:line="240" w:lineRule="auto"/>
        <w:ind w:left="0" w:leftChars="0"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项目背景</w:t>
      </w:r>
    </w:p>
    <w:p>
      <w:pPr>
        <w:pStyle w:val="11"/>
        <w:pageBreakBefore w:val="0"/>
        <w:numPr>
          <w:ilvl w:val="0"/>
          <w:numId w:val="0"/>
        </w:numPr>
        <w:kinsoku/>
        <w:wordWrap/>
        <w:overflowPunct/>
        <w:topLinePunct w:val="0"/>
        <w:autoSpaceDE/>
        <w:autoSpaceDN/>
        <w:bidi w:val="0"/>
        <w:adjustRightInd/>
        <w:snapToGrid/>
        <w:spacing w:before="0" w:after="0" w:line="240" w:lineRule="auto"/>
        <w:ind w:left="0" w:leftChars="0" w:firstLine="640" w:firstLineChars="200"/>
        <w:jc w:val="both"/>
        <w:rPr>
          <w:rFonts w:hint="default" w:ascii="Times New Roman" w:hAnsi="Times New Roman" w:eastAsia="方正仿宋_GBK" w:cs="Times New Roman"/>
          <w:b w:val="0"/>
          <w:bCs w:val="0"/>
          <w:kern w:val="2"/>
          <w:sz w:val="32"/>
          <w:szCs w:val="32"/>
          <w:highlight w:val="none"/>
          <w:lang w:val="en-US" w:eastAsia="zh-CN" w:bidi="ar-SA"/>
        </w:rPr>
      </w:pPr>
      <w:r>
        <w:rPr>
          <w:rFonts w:hint="default" w:ascii="Times New Roman" w:hAnsi="Times New Roman" w:eastAsia="方正仿宋_GBK" w:cs="Times New Roman"/>
          <w:b w:val="0"/>
          <w:bCs w:val="0"/>
          <w:kern w:val="2"/>
          <w:sz w:val="32"/>
          <w:szCs w:val="32"/>
          <w:highlight w:val="none"/>
          <w:lang w:val="en-US" w:eastAsia="zh-CN" w:bidi="ar-SA"/>
        </w:rPr>
        <w:t>为深入贯彻中央和自治区党委一号文件精神，落实《自治区到2025年化肥减量化行动推进落实方案》要求，扎实推进化肥减量化和耕地质量监测评价，对保障国家粮食和重要农产品稳定安全供给具有十分重要的意义。实施科学施肥增效，巩固拓展测土配方施肥基础工作，集成推广科学施肥高效模式，开展县域耕地质量等级年度变更调查评价，及时掌握不同区域耕地质量动态变化，促进耕地质量提升和资源可持续利用，支撑粮油等主要农作物大面积单产提升和农业绿色高质量发展。</w:t>
      </w:r>
    </w:p>
    <w:p>
      <w:pPr>
        <w:pStyle w:val="11"/>
        <w:pageBreakBefore w:val="0"/>
        <w:numPr>
          <w:ilvl w:val="0"/>
          <w:numId w:val="0"/>
        </w:numPr>
        <w:kinsoku/>
        <w:wordWrap/>
        <w:overflowPunct/>
        <w:topLinePunct w:val="0"/>
        <w:autoSpaceDE/>
        <w:autoSpaceDN/>
        <w:bidi w:val="0"/>
        <w:adjustRightInd/>
        <w:snapToGrid/>
        <w:spacing w:before="0" w:after="0" w:line="240" w:lineRule="auto"/>
        <w:ind w:left="0" w:leftChars="0" w:firstLine="643" w:firstLineChars="200"/>
        <w:jc w:val="both"/>
        <w:rPr>
          <w:rFonts w:hint="default" w:ascii="Times New Roman" w:hAnsi="Times New Roman" w:eastAsia="仿宋_GB2312" w:cs="Times New Roman"/>
          <w:kern w:val="2"/>
          <w:highlight w:val="none"/>
        </w:rPr>
      </w:pPr>
      <w:r>
        <w:rPr>
          <w:rFonts w:hint="default" w:ascii="Times New Roman" w:hAnsi="Times New Roman" w:eastAsia="仿宋_GB2312" w:cs="Times New Roman"/>
          <w:kern w:val="2"/>
          <w:highlight w:val="none"/>
          <w:lang w:val="en-US" w:eastAsia="zh-CN"/>
        </w:rPr>
        <w:t>2.</w:t>
      </w:r>
      <w:r>
        <w:rPr>
          <w:rFonts w:hint="default" w:ascii="Times New Roman" w:hAnsi="Times New Roman" w:eastAsia="仿宋_GB2312" w:cs="Times New Roman"/>
          <w:kern w:val="2"/>
          <w:highlight w:val="none"/>
        </w:rPr>
        <w:t>项目主要内容：</w:t>
      </w:r>
    </w:p>
    <w:p>
      <w:pPr>
        <w:pStyle w:val="11"/>
        <w:pageBreakBefore w:val="0"/>
        <w:numPr>
          <w:ilvl w:val="0"/>
          <w:numId w:val="0"/>
        </w:numPr>
        <w:kinsoku/>
        <w:wordWrap/>
        <w:overflowPunct/>
        <w:topLinePunct w:val="0"/>
        <w:autoSpaceDE/>
        <w:autoSpaceDN/>
        <w:bidi w:val="0"/>
        <w:adjustRightInd/>
        <w:snapToGrid/>
        <w:spacing w:before="0" w:after="0" w:line="240" w:lineRule="auto"/>
        <w:ind w:left="0" w:leftChars="0" w:firstLine="643" w:firstLineChars="200"/>
        <w:jc w:val="both"/>
        <w:rPr>
          <w:rFonts w:hint="default" w:ascii="Times New Roman" w:hAnsi="Times New Roman" w:eastAsia="方正仿宋_GBK" w:cs="Times New Roman"/>
          <w:b w:val="0"/>
          <w:bCs w:val="0"/>
          <w:kern w:val="2"/>
          <w:sz w:val="32"/>
          <w:szCs w:val="32"/>
          <w:highlight w:val="none"/>
          <w:lang w:val="en-US" w:eastAsia="zh-CN" w:bidi="ar-SA"/>
        </w:rPr>
      </w:pPr>
      <w:r>
        <w:rPr>
          <w:rFonts w:hint="default" w:ascii="Times New Roman" w:hAnsi="Times New Roman" w:eastAsia="方正仿宋_GBK" w:cs="Times New Roman"/>
          <w:b/>
          <w:bCs/>
          <w:kern w:val="2"/>
          <w:sz w:val="32"/>
          <w:szCs w:val="32"/>
          <w:highlight w:val="none"/>
          <w:lang w:val="en-US" w:eastAsia="zh-CN" w:bidi="ar-SA"/>
        </w:rPr>
        <w:t>项目主要内容：</w:t>
      </w:r>
      <w:r>
        <w:rPr>
          <w:rFonts w:hint="default" w:ascii="Times New Roman" w:hAnsi="Times New Roman" w:eastAsia="方正仿宋_GBK" w:cs="Times New Roman"/>
          <w:b w:val="0"/>
          <w:bCs w:val="0"/>
          <w:kern w:val="2"/>
          <w:sz w:val="32"/>
          <w:szCs w:val="32"/>
          <w:highlight w:val="none"/>
          <w:lang w:val="en-US" w:eastAsia="zh-CN" w:bidi="ar-SA"/>
        </w:rPr>
        <w:t>该项目</w:t>
      </w:r>
      <w:r>
        <w:rPr>
          <w:rFonts w:hint="eastAsia" w:ascii="Times New Roman" w:hAnsi="Times New Roman" w:eastAsia="方正仿宋_GBK" w:cs="Times New Roman"/>
          <w:b w:val="0"/>
          <w:bCs w:val="0"/>
          <w:kern w:val="2"/>
          <w:sz w:val="32"/>
          <w:szCs w:val="32"/>
          <w:highlight w:val="none"/>
          <w:lang w:val="en-US" w:eastAsia="zh-CN" w:bidi="ar-SA"/>
        </w:rPr>
        <w:t>计划开展“三普”</w:t>
      </w:r>
      <w:r>
        <w:rPr>
          <w:rFonts w:hint="default" w:ascii="Times New Roman" w:hAnsi="Times New Roman" w:eastAsia="方正仿宋_GBK" w:cs="Times New Roman"/>
          <w:b w:val="0"/>
          <w:bCs w:val="0"/>
          <w:kern w:val="2"/>
          <w:sz w:val="32"/>
          <w:szCs w:val="32"/>
          <w:highlight w:val="none"/>
          <w:lang w:val="en-US" w:eastAsia="zh-CN" w:bidi="ar-SA"/>
        </w:rPr>
        <w:t>850个点位的外业调查采样的内业测试化验</w:t>
      </w:r>
      <w:r>
        <w:rPr>
          <w:rFonts w:hint="eastAsia" w:ascii="Times New Roman" w:hAnsi="Times New Roman" w:eastAsia="方正仿宋_GBK" w:cs="Times New Roman"/>
          <w:b w:val="0"/>
          <w:bCs w:val="0"/>
          <w:kern w:val="2"/>
          <w:sz w:val="32"/>
          <w:szCs w:val="32"/>
          <w:highlight w:val="none"/>
          <w:lang w:val="en-US" w:eastAsia="zh-CN" w:bidi="ar-SA"/>
        </w:rPr>
        <w:t>工作；在市域内</w:t>
      </w:r>
      <w:r>
        <w:rPr>
          <w:rFonts w:hint="default" w:ascii="Times New Roman" w:hAnsi="Times New Roman" w:eastAsia="方正仿宋_GBK" w:cs="Times New Roman"/>
          <w:b w:val="0"/>
          <w:bCs w:val="0"/>
          <w:kern w:val="2"/>
          <w:sz w:val="32"/>
          <w:szCs w:val="32"/>
          <w:highlight w:val="none"/>
          <w:lang w:val="en-US" w:eastAsia="zh-CN" w:bidi="ar-SA"/>
        </w:rPr>
        <w:t>选取有代表性的田块，</w:t>
      </w:r>
      <w:r>
        <w:rPr>
          <w:rFonts w:hint="eastAsia" w:ascii="Times New Roman" w:hAnsi="Times New Roman" w:eastAsia="方正仿宋_GBK" w:cs="Times New Roman"/>
          <w:b w:val="0"/>
          <w:bCs w:val="0"/>
          <w:kern w:val="2"/>
          <w:sz w:val="32"/>
          <w:szCs w:val="32"/>
          <w:highlight w:val="none"/>
          <w:lang w:val="en-US" w:eastAsia="zh-CN" w:bidi="ar-SA"/>
        </w:rPr>
        <w:t>计划开展棉花等作物的</w:t>
      </w:r>
      <w:r>
        <w:rPr>
          <w:rFonts w:hint="default" w:ascii="Times New Roman" w:hAnsi="Times New Roman" w:eastAsia="方正仿宋_GBK" w:cs="Times New Roman"/>
          <w:b w:val="0"/>
          <w:bCs w:val="0"/>
          <w:kern w:val="2"/>
          <w:sz w:val="32"/>
          <w:szCs w:val="32"/>
          <w:highlight w:val="none"/>
          <w:lang w:val="en-US" w:eastAsia="zh-CN" w:bidi="ar-SA"/>
        </w:rPr>
        <w:t>田间肥料试验3个</w:t>
      </w:r>
      <w:r>
        <w:rPr>
          <w:rFonts w:hint="eastAsia" w:ascii="Times New Roman" w:hAnsi="Times New Roman" w:eastAsia="方正仿宋_GBK" w:cs="Times New Roman"/>
          <w:b w:val="0"/>
          <w:bCs w:val="0"/>
          <w:kern w:val="2"/>
          <w:sz w:val="32"/>
          <w:szCs w:val="32"/>
          <w:highlight w:val="none"/>
          <w:lang w:val="en-US" w:eastAsia="zh-CN" w:bidi="ar-SA"/>
        </w:rPr>
        <w:t>；</w:t>
      </w:r>
      <w:r>
        <w:rPr>
          <w:rFonts w:hint="default" w:ascii="Times New Roman" w:hAnsi="Times New Roman" w:eastAsia="方正仿宋_GBK" w:cs="Times New Roman"/>
          <w:b w:val="0"/>
          <w:bCs w:val="0"/>
          <w:kern w:val="2"/>
          <w:sz w:val="32"/>
          <w:szCs w:val="32"/>
          <w:highlight w:val="none"/>
          <w:lang w:val="en-US" w:eastAsia="zh-CN" w:bidi="ar-SA"/>
        </w:rPr>
        <w:t>在</w:t>
      </w:r>
      <w:r>
        <w:rPr>
          <w:rFonts w:hint="eastAsia" w:ascii="Times New Roman" w:hAnsi="Times New Roman" w:eastAsia="方正仿宋_GBK" w:cs="Times New Roman"/>
          <w:b w:val="0"/>
          <w:bCs w:val="0"/>
          <w:kern w:val="2"/>
          <w:sz w:val="32"/>
          <w:szCs w:val="32"/>
          <w:highlight w:val="none"/>
          <w:lang w:val="en-US" w:eastAsia="zh-CN" w:bidi="ar-SA"/>
        </w:rPr>
        <w:t>全市范围内，</w:t>
      </w:r>
      <w:r>
        <w:rPr>
          <w:rFonts w:hint="default" w:ascii="Times New Roman" w:hAnsi="Times New Roman" w:eastAsia="方正仿宋_GBK" w:cs="Times New Roman"/>
          <w:b w:val="0"/>
          <w:bCs w:val="0"/>
          <w:kern w:val="2"/>
          <w:sz w:val="32"/>
          <w:szCs w:val="32"/>
          <w:highlight w:val="none"/>
          <w:lang w:val="en-US" w:eastAsia="zh-CN" w:bidi="ar-SA"/>
        </w:rPr>
        <w:t>以种植大户、家庭农场、合作社等为主</w:t>
      </w:r>
      <w:r>
        <w:rPr>
          <w:rFonts w:hint="eastAsia" w:ascii="Times New Roman" w:hAnsi="Times New Roman" w:eastAsia="方正仿宋_GBK" w:cs="Times New Roman"/>
          <w:b w:val="0"/>
          <w:bCs w:val="0"/>
          <w:kern w:val="2"/>
          <w:sz w:val="32"/>
          <w:szCs w:val="32"/>
          <w:highlight w:val="none"/>
          <w:lang w:val="en-US" w:eastAsia="zh-CN" w:bidi="ar-SA"/>
        </w:rPr>
        <w:t>体</w:t>
      </w:r>
      <w:r>
        <w:rPr>
          <w:rFonts w:hint="default" w:ascii="Times New Roman" w:hAnsi="Times New Roman" w:eastAsia="方正仿宋_GBK" w:cs="Times New Roman"/>
          <w:b w:val="0"/>
          <w:bCs w:val="0"/>
          <w:kern w:val="2"/>
          <w:sz w:val="32"/>
          <w:szCs w:val="32"/>
          <w:highlight w:val="none"/>
          <w:lang w:val="en-US" w:eastAsia="zh-CN" w:bidi="ar-SA"/>
        </w:rPr>
        <w:t>，兼顾小农户等种植</w:t>
      </w:r>
      <w:r>
        <w:rPr>
          <w:rFonts w:hint="eastAsia" w:ascii="Times New Roman" w:hAnsi="Times New Roman" w:eastAsia="方正仿宋_GBK" w:cs="Times New Roman"/>
          <w:b w:val="0"/>
          <w:bCs w:val="0"/>
          <w:kern w:val="2"/>
          <w:sz w:val="32"/>
          <w:szCs w:val="32"/>
          <w:highlight w:val="none"/>
          <w:lang w:val="en-US" w:eastAsia="zh-CN" w:bidi="ar-SA"/>
        </w:rPr>
        <w:t>户</w:t>
      </w:r>
      <w:r>
        <w:rPr>
          <w:rFonts w:hint="default" w:ascii="Times New Roman" w:hAnsi="Times New Roman" w:eastAsia="方正仿宋_GBK" w:cs="Times New Roman"/>
          <w:b w:val="0"/>
          <w:bCs w:val="0"/>
          <w:kern w:val="2"/>
          <w:sz w:val="32"/>
          <w:szCs w:val="32"/>
          <w:highlight w:val="none"/>
          <w:lang w:val="en-US" w:eastAsia="zh-CN" w:bidi="ar-SA"/>
        </w:rPr>
        <w:t>，</w:t>
      </w:r>
      <w:r>
        <w:rPr>
          <w:rFonts w:hint="eastAsia" w:ascii="Times New Roman" w:hAnsi="Times New Roman" w:eastAsia="方正仿宋_GBK" w:cs="Times New Roman"/>
          <w:b w:val="0"/>
          <w:bCs w:val="0"/>
          <w:kern w:val="2"/>
          <w:sz w:val="32"/>
          <w:szCs w:val="32"/>
          <w:highlight w:val="none"/>
          <w:lang w:val="en-US" w:eastAsia="zh-CN" w:bidi="ar-SA"/>
        </w:rPr>
        <w:t>计划</w:t>
      </w:r>
      <w:r>
        <w:rPr>
          <w:rFonts w:hint="default" w:ascii="Times New Roman" w:hAnsi="Times New Roman" w:eastAsia="方正仿宋_GBK" w:cs="Times New Roman"/>
          <w:b w:val="0"/>
          <w:bCs w:val="0"/>
          <w:kern w:val="2"/>
          <w:sz w:val="32"/>
          <w:szCs w:val="32"/>
          <w:highlight w:val="none"/>
          <w:lang w:val="en-US" w:eastAsia="zh-CN" w:bidi="ar-SA"/>
        </w:rPr>
        <w:t>开展农户施肥情况调查185户。</w:t>
      </w:r>
      <w:r>
        <w:rPr>
          <w:rFonts w:hint="eastAsia" w:ascii="Times New Roman" w:hAnsi="Times New Roman" w:eastAsia="方正仿宋_GBK" w:cs="Times New Roman"/>
          <w:b w:val="0"/>
          <w:bCs w:val="0"/>
          <w:kern w:val="2"/>
          <w:sz w:val="32"/>
          <w:szCs w:val="32"/>
          <w:highlight w:val="none"/>
          <w:lang w:val="en-US" w:eastAsia="zh-CN" w:bidi="ar-SA"/>
        </w:rPr>
        <w:t>预计在</w:t>
      </w:r>
      <w:r>
        <w:rPr>
          <w:rFonts w:hint="default" w:ascii="Times New Roman" w:hAnsi="Times New Roman" w:eastAsia="方正仿宋_GBK" w:cs="Times New Roman"/>
          <w:b w:val="0"/>
          <w:bCs w:val="0"/>
          <w:kern w:val="2"/>
          <w:sz w:val="32"/>
          <w:szCs w:val="32"/>
          <w:highlight w:val="none"/>
          <w:lang w:val="en-US" w:eastAsia="zh-CN" w:bidi="ar-SA"/>
        </w:rPr>
        <w:t>11个乡镇</w:t>
      </w:r>
      <w:r>
        <w:rPr>
          <w:rFonts w:hint="eastAsia" w:ascii="Times New Roman" w:hAnsi="Times New Roman" w:eastAsia="方正仿宋_GBK" w:cs="Times New Roman"/>
          <w:b w:val="0"/>
          <w:bCs w:val="0"/>
          <w:kern w:val="2"/>
          <w:sz w:val="32"/>
          <w:szCs w:val="32"/>
          <w:highlight w:val="none"/>
          <w:lang w:val="en-US" w:eastAsia="zh-CN" w:bidi="ar-SA"/>
        </w:rPr>
        <w:t>，</w:t>
      </w:r>
      <w:r>
        <w:rPr>
          <w:rFonts w:hint="default" w:ascii="Times New Roman" w:hAnsi="Times New Roman" w:eastAsia="方正仿宋_GBK" w:cs="Times New Roman"/>
          <w:b w:val="0"/>
          <w:bCs w:val="0"/>
          <w:kern w:val="2"/>
          <w:sz w:val="32"/>
          <w:szCs w:val="32"/>
          <w:highlight w:val="none"/>
          <w:lang w:val="en-US" w:eastAsia="zh-CN" w:bidi="ar-SA"/>
        </w:rPr>
        <w:t>集成推广测土配方施肥</w:t>
      </w:r>
      <w:r>
        <w:rPr>
          <w:rFonts w:hint="eastAsia" w:ascii="Times New Roman" w:hAnsi="Times New Roman" w:eastAsia="方正仿宋_GBK" w:cs="Times New Roman"/>
          <w:b w:val="0"/>
          <w:bCs w:val="0"/>
          <w:kern w:val="2"/>
          <w:sz w:val="32"/>
          <w:szCs w:val="32"/>
          <w:highlight w:val="none"/>
          <w:lang w:val="en-US" w:eastAsia="zh-CN" w:bidi="ar-SA"/>
        </w:rPr>
        <w:t>、水肥一体化等</w:t>
      </w:r>
      <w:r>
        <w:rPr>
          <w:rFonts w:hint="default" w:ascii="Times New Roman" w:hAnsi="Times New Roman" w:eastAsia="方正仿宋_GBK" w:cs="Times New Roman"/>
          <w:b w:val="0"/>
          <w:bCs w:val="0"/>
          <w:kern w:val="2"/>
          <w:sz w:val="32"/>
          <w:szCs w:val="32"/>
          <w:highlight w:val="none"/>
          <w:lang w:val="en-US" w:eastAsia="zh-CN" w:bidi="ar-SA"/>
        </w:rPr>
        <w:t>科学施肥高效模式，</w:t>
      </w:r>
      <w:r>
        <w:rPr>
          <w:rFonts w:hint="eastAsia" w:ascii="Times New Roman" w:hAnsi="Times New Roman" w:eastAsia="方正仿宋_GBK" w:cs="Times New Roman"/>
          <w:b w:val="0"/>
          <w:bCs w:val="0"/>
          <w:kern w:val="2"/>
          <w:sz w:val="32"/>
          <w:szCs w:val="32"/>
          <w:highlight w:val="none"/>
          <w:lang w:val="en-US" w:eastAsia="zh-CN" w:bidi="ar-SA"/>
        </w:rPr>
        <w:t>带动</w:t>
      </w:r>
      <w:r>
        <w:rPr>
          <w:rFonts w:hint="default" w:ascii="Times New Roman" w:hAnsi="Times New Roman" w:eastAsia="方正仿宋_GBK" w:cs="Times New Roman"/>
          <w:b w:val="0"/>
          <w:bCs w:val="0"/>
          <w:kern w:val="2"/>
          <w:sz w:val="32"/>
          <w:szCs w:val="32"/>
          <w:highlight w:val="none"/>
          <w:lang w:val="en-US" w:eastAsia="zh-CN" w:bidi="ar-SA"/>
        </w:rPr>
        <w:t>实现科学施肥增效，促进耕地质量提升和资源可持续利用，推动农业可持续发展。</w:t>
      </w:r>
    </w:p>
    <w:p>
      <w:pPr>
        <w:pageBreakBefore w:val="0"/>
        <w:kinsoku/>
        <w:wordWrap/>
        <w:overflowPunct/>
        <w:topLinePunct w:val="0"/>
        <w:autoSpaceDE/>
        <w:autoSpaceDN/>
        <w:bidi w:val="0"/>
        <w:adjustRightInd/>
        <w:snapToGrid/>
        <w:spacing w:line="240" w:lineRule="auto"/>
        <w:ind w:left="0" w:leftChars="0" w:firstLine="643" w:firstLineChars="200"/>
        <w:rPr>
          <w:rFonts w:hint="default" w:ascii="Times New Roman" w:hAnsi="Times New Roman" w:cs="Times New Roman"/>
          <w:highlight w:val="none"/>
        </w:rPr>
      </w:pPr>
      <w:r>
        <w:rPr>
          <w:rFonts w:hint="default" w:ascii="Times New Roman" w:hAnsi="Times New Roman" w:eastAsia="方正仿宋_GBK" w:cs="Times New Roman"/>
          <w:b/>
          <w:bCs/>
          <w:kern w:val="2"/>
          <w:sz w:val="32"/>
          <w:szCs w:val="32"/>
          <w:highlight w:val="none"/>
          <w:lang w:val="en-US" w:eastAsia="zh-CN" w:bidi="ar-SA"/>
        </w:rPr>
        <w:t>项目实施情况：</w:t>
      </w:r>
      <w:r>
        <w:rPr>
          <w:rFonts w:hint="default" w:ascii="Times New Roman" w:hAnsi="Times New Roman" w:eastAsia="方正仿宋_GBK" w:cs="Times New Roman"/>
          <w:b w:val="0"/>
          <w:bCs w:val="0"/>
          <w:kern w:val="2"/>
          <w:sz w:val="32"/>
          <w:szCs w:val="32"/>
          <w:highlight w:val="none"/>
          <w:lang w:val="en-US" w:eastAsia="zh-CN" w:bidi="ar-SA"/>
        </w:rPr>
        <w:t>2024年通过项目的实施，完成850个点位的外业调查采样的内业测试化验</w:t>
      </w:r>
      <w:r>
        <w:rPr>
          <w:rFonts w:hint="eastAsia" w:eastAsia="方正仿宋_GBK" w:cs="Times New Roman"/>
          <w:b w:val="0"/>
          <w:bCs w:val="0"/>
          <w:kern w:val="2"/>
          <w:sz w:val="32"/>
          <w:szCs w:val="32"/>
          <w:highlight w:val="none"/>
          <w:lang w:val="en-US" w:eastAsia="zh-CN" w:bidi="ar-SA"/>
        </w:rPr>
        <w:t>工作</w:t>
      </w:r>
      <w:r>
        <w:rPr>
          <w:rFonts w:hint="default" w:ascii="Times New Roman" w:hAnsi="Times New Roman" w:eastAsia="方正仿宋_GBK" w:cs="Times New Roman"/>
          <w:b w:val="0"/>
          <w:bCs w:val="0"/>
          <w:kern w:val="2"/>
          <w:sz w:val="32"/>
          <w:szCs w:val="32"/>
          <w:highlight w:val="none"/>
          <w:lang w:val="en-US" w:eastAsia="zh-CN" w:bidi="ar-SA"/>
        </w:rPr>
        <w:t>，为切实摸清我市土壤质量家底，奠定理论基础</w:t>
      </w:r>
      <w:r>
        <w:rPr>
          <w:rFonts w:hint="eastAsia" w:eastAsia="方正仿宋_GBK" w:cs="Times New Roman"/>
          <w:b w:val="0"/>
          <w:bCs w:val="0"/>
          <w:kern w:val="2"/>
          <w:sz w:val="32"/>
          <w:szCs w:val="32"/>
          <w:highlight w:val="none"/>
          <w:lang w:val="en-US" w:eastAsia="zh-CN" w:bidi="ar-SA"/>
        </w:rPr>
        <w:t>；</w:t>
      </w:r>
      <w:r>
        <w:rPr>
          <w:rFonts w:hint="default" w:ascii="Times New Roman" w:hAnsi="Times New Roman" w:eastAsia="方正仿宋_GBK" w:cs="Times New Roman"/>
          <w:b w:val="0"/>
          <w:bCs w:val="0"/>
          <w:kern w:val="2"/>
          <w:sz w:val="32"/>
          <w:szCs w:val="32"/>
          <w:highlight w:val="none"/>
          <w:lang w:val="en-US" w:eastAsia="zh-CN" w:bidi="ar-SA"/>
        </w:rPr>
        <w:t>根据库尔勒市的种植结构，完成棉花、加工辣椒新型肥料田间试验3个，为优化施肥方案，实现化肥减量提供理论依据</w:t>
      </w:r>
      <w:r>
        <w:rPr>
          <w:rFonts w:hint="eastAsia" w:eastAsia="方正仿宋_GBK" w:cs="Times New Roman"/>
          <w:b w:val="0"/>
          <w:bCs w:val="0"/>
          <w:kern w:val="2"/>
          <w:sz w:val="32"/>
          <w:szCs w:val="32"/>
          <w:highlight w:val="none"/>
          <w:lang w:val="en-US" w:eastAsia="zh-CN" w:bidi="ar-SA"/>
        </w:rPr>
        <w:t>；</w:t>
      </w:r>
      <w:r>
        <w:rPr>
          <w:rFonts w:hint="default" w:ascii="Times New Roman" w:hAnsi="Times New Roman" w:eastAsia="方正仿宋_GBK" w:cs="Times New Roman"/>
          <w:b w:val="0"/>
          <w:bCs w:val="0"/>
          <w:kern w:val="2"/>
          <w:sz w:val="32"/>
          <w:szCs w:val="32"/>
          <w:highlight w:val="none"/>
          <w:lang w:val="en-US" w:eastAsia="zh-CN" w:bidi="ar-SA"/>
        </w:rPr>
        <w:t>在全市范围内，以种植大户、家庭农场、合作社及小农户等为主，完成农户施肥情况调查185户</w:t>
      </w:r>
      <w:r>
        <w:rPr>
          <w:rFonts w:hint="eastAsia" w:eastAsia="方正仿宋_GBK" w:cs="Times New Roman"/>
          <w:b w:val="0"/>
          <w:bCs w:val="0"/>
          <w:kern w:val="2"/>
          <w:sz w:val="32"/>
          <w:szCs w:val="32"/>
          <w:highlight w:val="none"/>
          <w:lang w:val="en-US" w:eastAsia="zh-CN" w:bidi="ar-SA"/>
        </w:rPr>
        <w:t>；</w:t>
      </w:r>
      <w:r>
        <w:rPr>
          <w:rFonts w:hint="default" w:ascii="Times New Roman" w:hAnsi="Times New Roman" w:eastAsia="方正仿宋_GBK" w:cs="Times New Roman"/>
          <w:b w:val="0"/>
          <w:bCs w:val="0"/>
          <w:kern w:val="2"/>
          <w:sz w:val="32"/>
          <w:szCs w:val="32"/>
          <w:highlight w:val="none"/>
          <w:lang w:val="en-US" w:eastAsia="zh-CN" w:bidi="ar-SA"/>
        </w:rPr>
        <w:t>在11个乡镇推广测土配方施肥施肥、水肥一体化等科学施肥</w:t>
      </w:r>
      <w:r>
        <w:rPr>
          <w:rFonts w:hint="eastAsia" w:eastAsia="方正仿宋_GBK" w:cs="Times New Roman"/>
          <w:b w:val="0"/>
          <w:bCs w:val="0"/>
          <w:kern w:val="2"/>
          <w:sz w:val="32"/>
          <w:szCs w:val="32"/>
          <w:highlight w:val="none"/>
          <w:lang w:val="en-US" w:eastAsia="zh-CN" w:bidi="ar-SA"/>
        </w:rPr>
        <w:t>高效模式</w:t>
      </w:r>
      <w:r>
        <w:rPr>
          <w:rFonts w:hint="default" w:ascii="Times New Roman" w:hAnsi="Times New Roman" w:eastAsia="方正仿宋_GBK" w:cs="Times New Roman"/>
          <w:b w:val="0"/>
          <w:bCs w:val="0"/>
          <w:kern w:val="2"/>
          <w:sz w:val="32"/>
          <w:szCs w:val="32"/>
          <w:highlight w:val="none"/>
          <w:lang w:val="en-US" w:eastAsia="zh-CN" w:bidi="ar-SA"/>
        </w:rPr>
        <w:t>，</w:t>
      </w:r>
      <w:r>
        <w:rPr>
          <w:rFonts w:hint="eastAsia" w:ascii="Times New Roman" w:hAnsi="Times New Roman" w:eastAsia="方正仿宋_GBK" w:cs="Times New Roman"/>
          <w:b w:val="0"/>
          <w:bCs w:val="0"/>
          <w:kern w:val="2"/>
          <w:sz w:val="32"/>
          <w:szCs w:val="32"/>
          <w:highlight w:val="none"/>
          <w:lang w:val="en-US" w:eastAsia="zh-CN" w:bidi="ar-SA"/>
        </w:rPr>
        <w:t>带动</w:t>
      </w:r>
      <w:r>
        <w:rPr>
          <w:rFonts w:hint="default" w:ascii="Times New Roman" w:hAnsi="Times New Roman" w:eastAsia="方正仿宋_GBK" w:cs="Times New Roman"/>
          <w:b w:val="0"/>
          <w:bCs w:val="0"/>
          <w:kern w:val="2"/>
          <w:sz w:val="32"/>
          <w:szCs w:val="32"/>
          <w:highlight w:val="none"/>
          <w:lang w:val="en-US" w:eastAsia="zh-CN" w:bidi="ar-SA"/>
        </w:rPr>
        <w:t>实现科学施肥增效，促进耕地质量提升和资源可持续利用，推动农业可持续发展。</w:t>
      </w:r>
    </w:p>
    <w:p>
      <w:pPr>
        <w:pageBreakBefore w:val="0"/>
        <w:kinsoku/>
        <w:wordWrap/>
        <w:overflowPunct/>
        <w:topLinePunct w:val="0"/>
        <w:autoSpaceDE/>
        <w:autoSpaceDN/>
        <w:bidi w:val="0"/>
        <w:adjustRightInd/>
        <w:snapToGrid/>
        <w:spacing w:line="240" w:lineRule="auto"/>
        <w:ind w:left="0" w:leftChars="0"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资金投入和使用情况</w:t>
      </w:r>
    </w:p>
    <w:p>
      <w:pPr>
        <w:pageBreakBefore w:val="0"/>
        <w:shd w:val="clear"/>
        <w:kinsoku/>
        <w:wordWrap/>
        <w:overflowPunct/>
        <w:topLinePunct w:val="0"/>
        <w:autoSpaceDE/>
        <w:autoSpaceDN/>
        <w:bidi w:val="0"/>
        <w:adjustRightInd/>
        <w:snapToGrid/>
        <w:spacing w:line="240" w:lineRule="auto"/>
        <w:ind w:left="0" w:leftChars="0"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pageBreakBefore w:val="0"/>
        <w:shd w:val="clear"/>
        <w:kinsoku/>
        <w:wordWrap/>
        <w:overflowPunct/>
        <w:topLinePunct w:val="0"/>
        <w:autoSpaceDE/>
        <w:autoSpaceDN/>
        <w:bidi w:val="0"/>
        <w:adjustRightInd/>
        <w:snapToGrid/>
        <w:spacing w:line="240" w:lineRule="auto"/>
        <w:ind w:left="0" w:leftChars="0"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该项目年初预算数82.4万元，全年预算数82.4万元，该项目资金已全部落实到位，资金来源为中央转移支付。</w:t>
      </w:r>
    </w:p>
    <w:p>
      <w:pPr>
        <w:pageBreakBefore w:val="0"/>
        <w:shd w:val="clear"/>
        <w:kinsoku/>
        <w:wordWrap/>
        <w:overflowPunct/>
        <w:topLinePunct w:val="0"/>
        <w:autoSpaceDE/>
        <w:autoSpaceDN/>
        <w:bidi w:val="0"/>
        <w:adjustRightInd/>
        <w:snapToGrid/>
        <w:spacing w:line="240" w:lineRule="auto"/>
        <w:ind w:left="0" w:leftChars="0"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pageBreakBefore w:val="0"/>
        <w:shd w:val="clear"/>
        <w:kinsoku/>
        <w:wordWrap/>
        <w:overflowPunct/>
        <w:topLinePunct w:val="0"/>
        <w:autoSpaceDE/>
        <w:autoSpaceDN/>
        <w:bidi w:val="0"/>
        <w:adjustRightInd/>
        <w:snapToGrid/>
        <w:spacing w:line="240" w:lineRule="auto"/>
        <w:ind w:left="0" w:leftChars="0"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该项目年初预算数82.4万元，全年预算数82.4万元，全年执行数82.4万元，预算执行率为100%，主要用于：本次外业采样点位的内业检测75万元；开展田间试验和耕地质量等级调查评价7.4万元。</w:t>
      </w:r>
    </w:p>
    <w:p>
      <w:pPr>
        <w:pageBreakBefore w:val="0"/>
        <w:kinsoku/>
        <w:wordWrap/>
        <w:overflowPunct/>
        <w:topLinePunct w:val="0"/>
        <w:autoSpaceDE/>
        <w:autoSpaceDN/>
        <w:bidi w:val="0"/>
        <w:adjustRightInd/>
        <w:snapToGrid/>
        <w:spacing w:line="240" w:lineRule="auto"/>
        <w:ind w:left="0" w:leftChars="0"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（二）项目绩效目标</w:t>
      </w:r>
    </w:p>
    <w:p>
      <w:pPr>
        <w:pageBreakBefore w:val="0"/>
        <w:kinsoku/>
        <w:wordWrap/>
        <w:overflowPunct/>
        <w:topLinePunct w:val="0"/>
        <w:autoSpaceDE/>
        <w:autoSpaceDN/>
        <w:bidi w:val="0"/>
        <w:adjustRightInd/>
        <w:snapToGrid/>
        <w:spacing w:line="240" w:lineRule="auto"/>
        <w:ind w:left="0" w:leftChars="0"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总体目标</w:t>
      </w:r>
    </w:p>
    <w:p>
      <w:pPr>
        <w:pageBreakBefore w:val="0"/>
        <w:kinsoku/>
        <w:wordWrap/>
        <w:overflowPunct/>
        <w:topLinePunct w:val="0"/>
        <w:autoSpaceDE/>
        <w:autoSpaceDN/>
        <w:bidi w:val="0"/>
        <w:adjustRightInd/>
        <w:snapToGrid/>
        <w:spacing w:line="240" w:lineRule="auto"/>
        <w:ind w:left="0" w:leftChars="0" w:firstLine="640" w:firstLineChars="20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目标1：</w:t>
      </w:r>
      <w:bookmarkStart w:id="0" w:name="OLE_LINK2"/>
      <w:r>
        <w:rPr>
          <w:rFonts w:hint="default" w:ascii="Times New Roman" w:hAnsi="Times New Roman" w:eastAsia="仿宋_GB2312" w:cs="Times New Roman"/>
          <w:sz w:val="32"/>
          <w:szCs w:val="32"/>
          <w:highlight w:val="none"/>
        </w:rPr>
        <w:t>用于完成850个点位的外业调查采样的内业测试化验，切实摸清我市土壤质量家底，守住耕地红线保护生态环境，优化农业生产布局，推进农业高质量发展。根据</w:t>
      </w:r>
      <w:r>
        <w:rPr>
          <w:rFonts w:hint="default" w:ascii="Times New Roman" w:hAnsi="Times New Roman" w:eastAsia="仿宋_GB2312" w:cs="Times New Roman"/>
          <w:sz w:val="32"/>
          <w:szCs w:val="32"/>
          <w:highlight w:val="none"/>
          <w:lang w:eastAsia="zh-CN"/>
        </w:rPr>
        <w:t>我</w:t>
      </w:r>
      <w:r>
        <w:rPr>
          <w:rFonts w:hint="default" w:ascii="Times New Roman" w:hAnsi="Times New Roman" w:eastAsia="仿宋_GB2312" w:cs="Times New Roman"/>
          <w:sz w:val="32"/>
          <w:szCs w:val="32"/>
          <w:highlight w:val="none"/>
        </w:rPr>
        <w:t>市的实际，综合考虑农作物的种植面积及分布、种植制度、地力水平等因素，选取有代表性的田块，完成田间肥料试验3个。开展农户施肥情况调查185户</w:t>
      </w:r>
      <w:r>
        <w:rPr>
          <w:rFonts w:hint="default" w:ascii="Times New Roman" w:hAnsi="Times New Roman" w:eastAsia="仿宋_GB2312" w:cs="Times New Roman"/>
          <w:sz w:val="32"/>
          <w:szCs w:val="32"/>
          <w:highlight w:val="none"/>
          <w:lang w:eastAsia="zh-CN"/>
        </w:rPr>
        <w:t>；</w:t>
      </w:r>
    </w:p>
    <w:p>
      <w:pPr>
        <w:pageBreakBefore w:val="0"/>
        <w:kinsoku/>
        <w:wordWrap/>
        <w:overflowPunct/>
        <w:topLinePunct w:val="0"/>
        <w:autoSpaceDE/>
        <w:autoSpaceDN/>
        <w:bidi w:val="0"/>
        <w:adjustRightInd/>
        <w:snapToGrid/>
        <w:spacing w:line="240" w:lineRule="auto"/>
        <w:ind w:left="0" w:leftChars="0" w:firstLine="640" w:firstLineChars="200"/>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目标2：</w:t>
      </w:r>
      <w:r>
        <w:rPr>
          <w:rFonts w:hint="default" w:ascii="Times New Roman" w:hAnsi="Times New Roman" w:eastAsia="仿宋_GB2312" w:cs="Times New Roman"/>
          <w:sz w:val="32"/>
          <w:szCs w:val="32"/>
          <w:highlight w:val="none"/>
        </w:rPr>
        <w:t>实现11个乡镇科学施肥增效，巩固拓展测土配方施肥基础工作，集成推广科学施肥高效模式，促进耕地质量提升和资源可持续利用，推动农业可持续发展。</w:t>
      </w:r>
    </w:p>
    <w:bookmarkEnd w:id="0"/>
    <w:p>
      <w:pPr>
        <w:pageBreakBefore w:val="0"/>
        <w:kinsoku/>
        <w:wordWrap/>
        <w:overflowPunct/>
        <w:topLinePunct w:val="0"/>
        <w:autoSpaceDE/>
        <w:autoSpaceDN/>
        <w:bidi w:val="0"/>
        <w:adjustRightInd/>
        <w:snapToGrid/>
        <w:spacing w:line="240" w:lineRule="auto"/>
        <w:ind w:left="0" w:leftChars="0"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阶段性目标</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20" w:firstLineChars="200"/>
        <w:jc w:val="both"/>
        <w:textAlignment w:val="auto"/>
        <w:rPr>
          <w:rFonts w:hint="default" w:ascii="Times New Roman" w:hAnsi="Times New Roman" w:eastAsia="方正仿宋_GBK" w:cs="Times New Roman"/>
          <w:sz w:val="31"/>
          <w:szCs w:val="31"/>
          <w:highlight w:val="none"/>
          <w:lang w:val="en-US" w:eastAsia="zh-CN"/>
        </w:rPr>
      </w:pPr>
      <w:r>
        <w:rPr>
          <w:rFonts w:hint="default" w:ascii="Times New Roman" w:hAnsi="Times New Roman" w:eastAsia="方正仿宋_GBK" w:cs="Times New Roman"/>
          <w:sz w:val="31"/>
          <w:szCs w:val="31"/>
          <w:highlight w:val="none"/>
          <w:lang w:val="en-US" w:eastAsia="zh-CN"/>
        </w:rPr>
        <w:t>2024年1月-3月，</w:t>
      </w:r>
      <w:r>
        <w:rPr>
          <w:rFonts w:hint="eastAsia" w:eastAsia="方正仿宋_GBK" w:cs="Times New Roman"/>
          <w:sz w:val="31"/>
          <w:szCs w:val="31"/>
          <w:highlight w:val="none"/>
          <w:lang w:val="en-US" w:eastAsia="zh-CN"/>
        </w:rPr>
        <w:t>结合项目相关内容，</w:t>
      </w:r>
      <w:r>
        <w:rPr>
          <w:rFonts w:hint="default" w:ascii="Times New Roman" w:hAnsi="Times New Roman" w:eastAsia="方正仿宋_GBK" w:cs="Times New Roman"/>
          <w:sz w:val="31"/>
          <w:szCs w:val="31"/>
          <w:highlight w:val="none"/>
          <w:lang w:val="en-US" w:eastAsia="zh-CN"/>
        </w:rPr>
        <w:t>开展项目前期调查，制定合理可行的项目实施方案。</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20" w:firstLineChars="200"/>
        <w:jc w:val="both"/>
        <w:textAlignment w:val="auto"/>
        <w:rPr>
          <w:rFonts w:hint="default" w:ascii="Times New Roman" w:hAnsi="Times New Roman" w:eastAsia="方正仿宋_GBK" w:cs="Times New Roman"/>
          <w:sz w:val="31"/>
          <w:szCs w:val="31"/>
          <w:highlight w:val="none"/>
          <w:lang w:val="en-US" w:eastAsia="zh-CN"/>
        </w:rPr>
      </w:pPr>
      <w:r>
        <w:rPr>
          <w:rFonts w:hint="default" w:ascii="Times New Roman" w:hAnsi="Times New Roman" w:eastAsia="方正仿宋_GBK" w:cs="Times New Roman"/>
          <w:sz w:val="31"/>
          <w:szCs w:val="31"/>
          <w:highlight w:val="none"/>
          <w:lang w:val="en-US" w:eastAsia="zh-CN"/>
        </w:rPr>
        <w:t>2024年4月-6月，</w:t>
      </w:r>
      <w:r>
        <w:rPr>
          <w:rFonts w:hint="eastAsia" w:eastAsia="方正仿宋_GBK" w:cs="Times New Roman"/>
          <w:sz w:val="31"/>
          <w:szCs w:val="31"/>
          <w:highlight w:val="none"/>
          <w:lang w:val="en-US" w:eastAsia="zh-CN"/>
        </w:rPr>
        <w:t>根据前期调查信息，</w:t>
      </w:r>
      <w:r>
        <w:rPr>
          <w:rFonts w:hint="default" w:ascii="Times New Roman" w:hAnsi="Times New Roman" w:eastAsia="方正仿宋_GBK" w:cs="Times New Roman"/>
          <w:sz w:val="31"/>
          <w:szCs w:val="31"/>
          <w:highlight w:val="none"/>
          <w:lang w:val="en-US" w:eastAsia="zh-CN"/>
        </w:rPr>
        <w:t>选取有代表性的作物和地块，进行</w:t>
      </w:r>
      <w:r>
        <w:rPr>
          <w:rFonts w:hint="eastAsia" w:eastAsia="方正仿宋_GBK" w:cs="Times New Roman"/>
          <w:sz w:val="31"/>
          <w:szCs w:val="31"/>
          <w:highlight w:val="none"/>
          <w:lang w:val="en-US" w:eastAsia="zh-CN"/>
        </w:rPr>
        <w:t>3个</w:t>
      </w:r>
      <w:r>
        <w:rPr>
          <w:rFonts w:hint="default" w:ascii="Times New Roman" w:hAnsi="Times New Roman" w:eastAsia="方正仿宋_GBK" w:cs="Times New Roman"/>
          <w:sz w:val="31"/>
          <w:szCs w:val="31"/>
          <w:highlight w:val="none"/>
          <w:lang w:val="en-US" w:eastAsia="zh-CN"/>
        </w:rPr>
        <w:t>田间试验布设，测土配方施肥技术</w:t>
      </w:r>
      <w:r>
        <w:rPr>
          <w:rFonts w:hint="eastAsia" w:eastAsia="方正仿宋_GBK" w:cs="Times New Roman"/>
          <w:sz w:val="31"/>
          <w:szCs w:val="31"/>
          <w:highlight w:val="none"/>
          <w:lang w:val="en-US" w:eastAsia="zh-CN"/>
        </w:rPr>
        <w:t>、水肥一体化等技术</w:t>
      </w:r>
      <w:r>
        <w:rPr>
          <w:rFonts w:hint="default" w:ascii="Times New Roman" w:hAnsi="Times New Roman" w:eastAsia="方正仿宋_GBK" w:cs="Times New Roman"/>
          <w:sz w:val="31"/>
          <w:szCs w:val="31"/>
          <w:highlight w:val="none"/>
          <w:lang w:val="en-US" w:eastAsia="zh-CN"/>
        </w:rPr>
        <w:t>的培训、配方卡的发放等。</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20" w:firstLineChars="200"/>
        <w:jc w:val="both"/>
        <w:textAlignment w:val="auto"/>
        <w:rPr>
          <w:rFonts w:hint="default" w:ascii="Times New Roman" w:hAnsi="Times New Roman" w:eastAsia="方正仿宋_GBK" w:cs="Times New Roman"/>
          <w:sz w:val="31"/>
          <w:szCs w:val="31"/>
          <w:highlight w:val="none"/>
          <w:lang w:val="en-US" w:eastAsia="zh-CN"/>
        </w:rPr>
      </w:pPr>
      <w:r>
        <w:rPr>
          <w:rFonts w:hint="default" w:ascii="Times New Roman" w:hAnsi="Times New Roman" w:eastAsia="方正仿宋_GBK" w:cs="Times New Roman"/>
          <w:sz w:val="31"/>
          <w:szCs w:val="31"/>
          <w:highlight w:val="none"/>
          <w:lang w:val="en-US" w:eastAsia="zh-CN"/>
        </w:rPr>
        <w:t>2024年7月-9月，做好田间试验</w:t>
      </w:r>
      <w:r>
        <w:rPr>
          <w:rFonts w:hint="eastAsia" w:eastAsia="方正仿宋_GBK" w:cs="Times New Roman"/>
          <w:sz w:val="31"/>
          <w:szCs w:val="31"/>
          <w:highlight w:val="none"/>
          <w:lang w:val="en-US" w:eastAsia="zh-CN"/>
        </w:rPr>
        <w:t>各生育期的</w:t>
      </w:r>
      <w:r>
        <w:rPr>
          <w:rFonts w:hint="default" w:ascii="Times New Roman" w:hAnsi="Times New Roman" w:eastAsia="方正仿宋_GBK" w:cs="Times New Roman"/>
          <w:sz w:val="31"/>
          <w:szCs w:val="31"/>
          <w:highlight w:val="none"/>
          <w:lang w:val="en-US" w:eastAsia="zh-CN"/>
        </w:rPr>
        <w:t>调查、主栽</w:t>
      </w:r>
      <w:r>
        <w:rPr>
          <w:rFonts w:hint="eastAsia" w:eastAsia="方正仿宋_GBK" w:cs="Times New Roman"/>
          <w:sz w:val="31"/>
          <w:szCs w:val="31"/>
          <w:highlight w:val="none"/>
          <w:lang w:val="en-US" w:eastAsia="zh-CN"/>
        </w:rPr>
        <w:t>农作物</w:t>
      </w:r>
      <w:r>
        <w:rPr>
          <w:rFonts w:hint="default" w:ascii="Times New Roman" w:hAnsi="Times New Roman" w:eastAsia="方正仿宋_GBK" w:cs="Times New Roman"/>
          <w:sz w:val="31"/>
          <w:szCs w:val="31"/>
          <w:highlight w:val="none"/>
          <w:lang w:val="en-US" w:eastAsia="zh-CN"/>
        </w:rPr>
        <w:t>科学施肥的技术指导等。</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20" w:firstLineChars="200"/>
        <w:jc w:val="both"/>
        <w:textAlignment w:val="auto"/>
        <w:rPr>
          <w:rFonts w:hint="default" w:ascii="Times New Roman" w:hAnsi="Times New Roman" w:eastAsia="方正仿宋_GBK" w:cs="Times New Roman"/>
          <w:spacing w:val="0"/>
          <w:kern w:val="2"/>
          <w:sz w:val="32"/>
          <w:szCs w:val="32"/>
          <w:highlight w:val="none"/>
          <w:lang w:val="en-US" w:eastAsia="zh-CN" w:bidi="ar-SA"/>
        </w:rPr>
      </w:pPr>
      <w:r>
        <w:rPr>
          <w:rFonts w:hint="default" w:ascii="Times New Roman" w:hAnsi="Times New Roman" w:eastAsia="方正仿宋_GBK" w:cs="Times New Roman"/>
          <w:sz w:val="31"/>
          <w:szCs w:val="31"/>
          <w:highlight w:val="none"/>
          <w:lang w:val="en-US" w:eastAsia="zh-CN"/>
        </w:rPr>
        <w:t>2024年9月-12月，在全市范围内，</w:t>
      </w:r>
      <w:r>
        <w:rPr>
          <w:rFonts w:hint="eastAsia" w:eastAsia="方正仿宋_GBK" w:cs="Times New Roman"/>
          <w:sz w:val="31"/>
          <w:szCs w:val="31"/>
          <w:highlight w:val="none"/>
          <w:lang w:val="en-US" w:eastAsia="zh-CN"/>
        </w:rPr>
        <w:t>预计</w:t>
      </w:r>
      <w:r>
        <w:rPr>
          <w:rFonts w:hint="default" w:ascii="Times New Roman" w:hAnsi="Times New Roman" w:eastAsia="方正仿宋_GBK" w:cs="Times New Roman"/>
          <w:sz w:val="31"/>
          <w:szCs w:val="31"/>
          <w:highlight w:val="none"/>
          <w:lang w:val="en-US" w:eastAsia="zh-CN"/>
        </w:rPr>
        <w:t>开展</w:t>
      </w:r>
      <w:r>
        <w:rPr>
          <w:rFonts w:hint="default" w:ascii="Times New Roman" w:hAnsi="Times New Roman" w:eastAsia="方正仿宋_GBK" w:cs="Times New Roman"/>
          <w:spacing w:val="0"/>
          <w:kern w:val="2"/>
          <w:sz w:val="32"/>
          <w:szCs w:val="32"/>
          <w:highlight w:val="none"/>
          <w:lang w:val="en-US" w:eastAsia="zh-CN" w:bidi="ar-SA"/>
        </w:rPr>
        <w:t>185户农户施肥情况调查、撰写田间肥料试验报告3个、开展耕地质量等级调查评价土样集采、化验及耕地质量等级评价</w:t>
      </w:r>
      <w:r>
        <w:rPr>
          <w:rFonts w:hint="eastAsia" w:eastAsia="方正仿宋_GBK" w:cs="Times New Roman"/>
          <w:spacing w:val="0"/>
          <w:kern w:val="2"/>
          <w:sz w:val="32"/>
          <w:szCs w:val="32"/>
          <w:highlight w:val="none"/>
          <w:lang w:val="en-US" w:eastAsia="zh-CN" w:bidi="ar-SA"/>
        </w:rPr>
        <w:t>等工作</w:t>
      </w:r>
      <w:r>
        <w:rPr>
          <w:rFonts w:hint="default" w:ascii="Times New Roman" w:hAnsi="Times New Roman" w:eastAsia="方正仿宋_GBK" w:cs="Times New Roman"/>
          <w:spacing w:val="0"/>
          <w:kern w:val="2"/>
          <w:sz w:val="32"/>
          <w:szCs w:val="32"/>
          <w:highlight w:val="none"/>
          <w:lang w:val="en-US" w:eastAsia="zh-CN" w:bidi="ar-SA"/>
        </w:rPr>
        <w:t>；</w:t>
      </w:r>
      <w:r>
        <w:rPr>
          <w:rFonts w:hint="eastAsia" w:eastAsia="方正仿宋_GBK" w:cs="Times New Roman"/>
          <w:spacing w:val="0"/>
          <w:kern w:val="2"/>
          <w:sz w:val="32"/>
          <w:szCs w:val="32"/>
          <w:highlight w:val="none"/>
          <w:lang w:val="en-US" w:eastAsia="zh-CN" w:bidi="ar-SA"/>
        </w:rPr>
        <w:t>预计开展</w:t>
      </w:r>
      <w:r>
        <w:rPr>
          <w:rFonts w:hint="default" w:ascii="Times New Roman" w:hAnsi="Times New Roman" w:eastAsia="方正仿宋_GBK" w:cs="Times New Roman"/>
          <w:spacing w:val="0"/>
          <w:kern w:val="2"/>
          <w:sz w:val="32"/>
          <w:szCs w:val="32"/>
          <w:highlight w:val="none"/>
          <w:lang w:val="en-US" w:eastAsia="zh-CN" w:bidi="ar-SA"/>
        </w:rPr>
        <w:t>850个点位的外业调查采样的内业测试化验</w:t>
      </w:r>
      <w:r>
        <w:rPr>
          <w:rFonts w:hint="eastAsia" w:eastAsia="方正仿宋_GBK" w:cs="Times New Roman"/>
          <w:spacing w:val="0"/>
          <w:kern w:val="2"/>
          <w:sz w:val="32"/>
          <w:szCs w:val="32"/>
          <w:highlight w:val="none"/>
          <w:lang w:val="en-US" w:eastAsia="zh-CN" w:bidi="ar-SA"/>
        </w:rPr>
        <w:t>工作</w:t>
      </w:r>
      <w:r>
        <w:rPr>
          <w:rFonts w:hint="default" w:ascii="Times New Roman" w:hAnsi="Times New Roman" w:eastAsia="方正仿宋_GBK" w:cs="Times New Roman"/>
          <w:spacing w:val="0"/>
          <w:kern w:val="2"/>
          <w:sz w:val="32"/>
          <w:szCs w:val="32"/>
          <w:highlight w:val="none"/>
          <w:lang w:val="en-US" w:eastAsia="zh-CN" w:bidi="ar-SA"/>
        </w:rPr>
        <w:t>。</w:t>
      </w:r>
    </w:p>
    <w:p>
      <w:pPr>
        <w:pageBreakBefore w:val="0"/>
        <w:kinsoku/>
        <w:wordWrap/>
        <w:overflowPunct/>
        <w:topLinePunct w:val="0"/>
        <w:autoSpaceDE/>
        <w:autoSpaceDN/>
        <w:bidi w:val="0"/>
        <w:adjustRightInd/>
        <w:snapToGrid/>
        <w:spacing w:line="240" w:lineRule="auto"/>
        <w:ind w:left="0" w:leftChars="0"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二、绩效评价工作开展情况</w:t>
      </w:r>
    </w:p>
    <w:p>
      <w:pPr>
        <w:pageBreakBefore w:val="0"/>
        <w:kinsoku/>
        <w:wordWrap/>
        <w:overflowPunct/>
        <w:topLinePunct w:val="0"/>
        <w:autoSpaceDE/>
        <w:autoSpaceDN/>
        <w:bidi w:val="0"/>
        <w:adjustRightInd/>
        <w:snapToGrid/>
        <w:spacing w:line="240" w:lineRule="auto"/>
        <w:ind w:left="0" w:leftChars="0"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（一）绩效评价目的、对象和范围</w:t>
      </w:r>
    </w:p>
    <w:p>
      <w:pPr>
        <w:pStyle w:val="11"/>
        <w:pageBreakBefore w:val="0"/>
        <w:widowControl w:val="0"/>
        <w:kinsoku/>
        <w:wordWrap/>
        <w:overflowPunct/>
        <w:topLinePunct w:val="0"/>
        <w:autoSpaceDE/>
        <w:autoSpaceDN/>
        <w:bidi w:val="0"/>
        <w:adjustRightInd/>
        <w:snapToGrid/>
        <w:spacing w:before="0" w:after="0" w:line="240" w:lineRule="auto"/>
        <w:ind w:left="0" w:leftChars="0"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pageBreakBefore w:val="0"/>
        <w:kinsoku/>
        <w:wordWrap/>
        <w:overflowPunct/>
        <w:topLinePunct w:val="0"/>
        <w:autoSpaceDE/>
        <w:autoSpaceDN/>
        <w:bidi w:val="0"/>
        <w:adjustRightInd/>
        <w:snapToGrid/>
        <w:spacing w:line="240" w:lineRule="auto"/>
        <w:ind w:left="0" w:leftChars="0"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pPr>
        <w:pageBreakBefore w:val="0"/>
        <w:kinsoku/>
        <w:wordWrap/>
        <w:overflowPunct/>
        <w:topLinePunct w:val="0"/>
        <w:autoSpaceDE/>
        <w:autoSpaceDN/>
        <w:bidi w:val="0"/>
        <w:adjustRightInd/>
        <w:snapToGrid/>
        <w:spacing w:line="240" w:lineRule="auto"/>
        <w:ind w:left="0" w:leftChars="0"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力求全方位反映项目的绩效状况。同时，对于每个指标的评价标准和数据来源均进行了明确说明，确保评价结果的客观性和可追溯性。</w:t>
      </w:r>
    </w:p>
    <w:p>
      <w:pPr>
        <w:pageBreakBefore w:val="0"/>
        <w:kinsoku/>
        <w:wordWrap/>
        <w:overflowPunct/>
        <w:topLinePunct w:val="0"/>
        <w:autoSpaceDE/>
        <w:autoSpaceDN/>
        <w:bidi w:val="0"/>
        <w:adjustRightInd/>
        <w:snapToGrid/>
        <w:spacing w:line="240" w:lineRule="auto"/>
        <w:ind w:left="0" w:leftChars="0"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pageBreakBefore w:val="0"/>
        <w:kinsoku/>
        <w:wordWrap/>
        <w:overflowPunct/>
        <w:topLinePunct w:val="0"/>
        <w:autoSpaceDE/>
        <w:autoSpaceDN/>
        <w:bidi w:val="0"/>
        <w:adjustRightInd/>
        <w:snapToGrid/>
        <w:spacing w:line="240" w:lineRule="auto"/>
        <w:ind w:left="0" w:leftChars="0"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pageBreakBefore w:val="0"/>
        <w:kinsoku/>
        <w:wordWrap/>
        <w:overflowPunct/>
        <w:topLinePunct w:val="0"/>
        <w:autoSpaceDE/>
        <w:autoSpaceDN/>
        <w:bidi w:val="0"/>
        <w:adjustRightInd/>
        <w:snapToGrid/>
        <w:spacing w:line="240" w:lineRule="auto"/>
        <w:ind w:left="0" w:leftChars="0"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pageBreakBefore w:val="0"/>
        <w:kinsoku/>
        <w:wordWrap/>
        <w:overflowPunct/>
        <w:topLinePunct w:val="0"/>
        <w:autoSpaceDE/>
        <w:autoSpaceDN/>
        <w:bidi w:val="0"/>
        <w:adjustRightInd/>
        <w:snapToGrid/>
        <w:spacing w:line="240" w:lineRule="auto"/>
        <w:ind w:left="0" w:leftChars="0"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通过对项目预算执行情况及各项绩效目标达成程度的系统性分析，全面、客观地评估项目在预定周期内的实施效果，该项目</w:t>
      </w:r>
      <w:r>
        <w:rPr>
          <w:rFonts w:hint="eastAsia" w:eastAsia="仿宋_GB2312" w:cs="Times New Roman"/>
          <w:sz w:val="32"/>
          <w:szCs w:val="32"/>
          <w:highlight w:val="none"/>
          <w:lang w:val="en-US" w:eastAsia="zh-CN"/>
        </w:rPr>
        <w:t>在</w:t>
      </w:r>
      <w:r>
        <w:rPr>
          <w:rFonts w:hint="default" w:ascii="Times New Roman" w:hAnsi="Times New Roman" w:eastAsia="仿宋_GB2312" w:cs="Times New Roman"/>
          <w:sz w:val="32"/>
          <w:szCs w:val="32"/>
          <w:highlight w:val="none"/>
        </w:rPr>
        <w:t>乡镇科学施肥增效</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提升耕地质量</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促进资源可持续利用</w:t>
      </w:r>
      <w:r>
        <w:rPr>
          <w:rFonts w:hint="eastAsia" w:eastAsia="仿宋_GB2312" w:cs="Times New Roman"/>
          <w:sz w:val="32"/>
          <w:szCs w:val="32"/>
          <w:highlight w:val="none"/>
          <w:lang w:val="en-US" w:eastAsia="zh-CN"/>
        </w:rPr>
        <w:t>和</w:t>
      </w:r>
      <w:r>
        <w:rPr>
          <w:rFonts w:hint="default" w:ascii="Times New Roman" w:hAnsi="Times New Roman" w:eastAsia="仿宋_GB2312" w:cs="Times New Roman"/>
          <w:sz w:val="32"/>
          <w:szCs w:val="32"/>
          <w:highlight w:val="none"/>
        </w:rPr>
        <w:t>助力农业可持续发展</w:t>
      </w:r>
      <w:r>
        <w:rPr>
          <w:rFonts w:hint="eastAsia" w:eastAsia="仿宋_GB2312" w:cs="Times New Roman"/>
          <w:sz w:val="32"/>
          <w:szCs w:val="32"/>
          <w:highlight w:val="none"/>
          <w:lang w:val="en-US" w:eastAsia="zh-CN"/>
        </w:rPr>
        <w:t>方面</w:t>
      </w:r>
      <w:r>
        <w:rPr>
          <w:rFonts w:hint="default" w:ascii="Times New Roman" w:hAnsi="Times New Roman" w:eastAsia="仿宋_GB2312" w:cs="Times New Roman"/>
          <w:sz w:val="32"/>
          <w:szCs w:val="32"/>
          <w:highlight w:val="none"/>
        </w:rPr>
        <w:t>，成效显著，意义重大</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为项目后续的改进与优化提供科学依据。</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w:t>
      </w:r>
      <w:r>
        <w:rPr>
          <w:rFonts w:hint="eastAsia" w:eastAsia="仿宋_GB2312" w:cs="Times New Roman"/>
          <w:sz w:val="32"/>
          <w:szCs w:val="32"/>
          <w:highlight w:val="none"/>
          <w:lang w:val="en-US" w:eastAsia="zh-CN"/>
        </w:rPr>
        <w:t>土样检测化验、田间试验及耕地质量等级评价</w:t>
      </w:r>
      <w:r>
        <w:rPr>
          <w:rFonts w:hint="default" w:ascii="Times New Roman" w:hAnsi="Times New Roman" w:eastAsia="仿宋_GB2312" w:cs="Times New Roman"/>
          <w:sz w:val="32"/>
          <w:szCs w:val="32"/>
          <w:highlight w:val="none"/>
        </w:rPr>
        <w:t>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w:t>
      </w:r>
      <w:bookmarkStart w:id="1" w:name="OLE_LINK3"/>
      <w:r>
        <w:rPr>
          <w:rFonts w:hint="default" w:ascii="Times New Roman" w:hAnsi="Times New Roman" w:eastAsia="仿宋_GB2312" w:cs="Times New Roman"/>
          <w:sz w:val="32"/>
          <w:szCs w:val="32"/>
          <w:highlight w:val="none"/>
        </w:rPr>
        <w:t>强化项目管理责任</w:t>
      </w:r>
    </w:p>
    <w:bookmarkEnd w:id="1"/>
    <w:p>
      <w:pPr>
        <w:pStyle w:val="2"/>
        <w:ind w:firstLine="960" w:firstLineChars="300"/>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强化项目管理责任，明确各环节职责分工，严格把控质量关，确保内业测试化验、田间肥料试验、农户施肥调查等工作规范有序开展。加强资金监管，保障项目高效推进，为实现科学施肥增效、耕地质量提升和农业可持续发展奠定坚实基础。</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w:t>
      </w:r>
      <w:r>
        <w:rPr>
          <w:rFonts w:hint="eastAsia" w:eastAsia="仿宋_GB2312" w:cs="Times New Roman"/>
          <w:sz w:val="32"/>
          <w:szCs w:val="32"/>
          <w:highlight w:val="none"/>
          <w:lang w:val="en-US" w:eastAsia="zh-CN"/>
        </w:rPr>
        <w:t>实施主体</w:t>
      </w:r>
      <w:r>
        <w:rPr>
          <w:rFonts w:hint="default" w:ascii="Times New Roman" w:hAnsi="Times New Roman" w:eastAsia="仿宋_GB2312" w:cs="Times New Roman"/>
          <w:sz w:val="32"/>
          <w:szCs w:val="32"/>
          <w:highlight w:val="none"/>
        </w:rPr>
        <w:t>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11"/>
        <w:pageBreakBefore w:val="0"/>
        <w:widowControl w:val="0"/>
        <w:kinsoku/>
        <w:wordWrap/>
        <w:overflowPunct/>
        <w:topLinePunct w:val="0"/>
        <w:autoSpaceDE/>
        <w:autoSpaceDN/>
        <w:bidi w:val="0"/>
        <w:adjustRightInd/>
        <w:snapToGrid/>
        <w:spacing w:before="0" w:after="0" w:line="240" w:lineRule="auto"/>
        <w:ind w:left="0" w:leftChars="0"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绩效评价的对象</w:t>
      </w:r>
    </w:p>
    <w:p>
      <w:pPr>
        <w:pStyle w:val="11"/>
        <w:pageBreakBefore w:val="0"/>
        <w:widowControl w:val="0"/>
        <w:kinsoku/>
        <w:wordWrap/>
        <w:overflowPunct/>
        <w:topLinePunct w:val="0"/>
        <w:autoSpaceDE/>
        <w:autoSpaceDN/>
        <w:bidi w:val="0"/>
        <w:adjustRightInd/>
        <w:snapToGrid/>
        <w:spacing w:before="0" w:after="0" w:line="240" w:lineRule="auto"/>
        <w:ind w:left="0" w:leftChars="0"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w:t>
      </w:r>
      <w:r>
        <w:rPr>
          <w:rFonts w:hint="default" w:ascii="Times New Roman" w:hAnsi="Times New Roman" w:eastAsia="仿宋_GB2312" w:cs="Times New Roman"/>
          <w:b w:val="0"/>
          <w:bCs w:val="0"/>
          <w:highlight w:val="none"/>
          <w:lang w:val="en-US" w:eastAsia="zh-CN"/>
        </w:rPr>
        <w:t>巴财农【2024】13号关于下达2024年中央耕地建设与利用资金预算的通知582.4万（化肥减量7.4万、三次土壤普查75万）项目</w:t>
      </w:r>
      <w:r>
        <w:rPr>
          <w:rFonts w:hint="default" w:ascii="Times New Roman" w:hAnsi="Times New Roman" w:eastAsia="仿宋_GB2312" w:cs="Times New Roman"/>
          <w:b w:val="0"/>
          <w:bCs w:val="0"/>
          <w:highlight w:val="none"/>
        </w:rPr>
        <w:t>及其预算执行情况。该项目由</w:t>
      </w:r>
      <w:r>
        <w:rPr>
          <w:rFonts w:hint="default" w:ascii="Times New Roman" w:hAnsi="Times New Roman" w:eastAsia="仿宋_GB2312" w:cs="Times New Roman"/>
          <w:b w:val="0"/>
          <w:bCs w:val="0"/>
          <w:highlight w:val="none"/>
          <w:lang w:val="en-US" w:eastAsia="zh-CN"/>
        </w:rPr>
        <w:t>库尔勒市农业技术推广中心</w:t>
      </w:r>
      <w:r>
        <w:rPr>
          <w:rFonts w:hint="default" w:ascii="Times New Roman" w:hAnsi="Times New Roman" w:eastAsia="仿宋_GB2312" w:cs="Times New Roman"/>
          <w:b w:val="0"/>
          <w:bCs w:val="0"/>
          <w:highlight w:val="none"/>
        </w:rPr>
        <w:t>负责实施，旨在完成850个点位的外业调查采样的内业测试化验，田间肥料试验3个</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开展农户施肥情况调查185户</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实现</w:t>
      </w:r>
      <w:r>
        <w:rPr>
          <w:rFonts w:hint="default" w:ascii="Times New Roman" w:hAnsi="Times New Roman" w:eastAsia="仿宋_GB2312" w:cs="Times New Roman"/>
          <w:b w:val="0"/>
          <w:bCs w:val="0"/>
          <w:highlight w:val="none"/>
        </w:rPr>
        <w:t>11个乡镇科学施肥增效，巩固拓展测土配方施肥基础工作，集成推广科学施肥高效模式，促进耕地质量提升和资源可持续利用，推动农业可持续发展。项目预算涵盖从</w:t>
      </w:r>
      <w:r>
        <w:rPr>
          <w:rFonts w:hint="default" w:ascii="Times New Roman" w:hAnsi="Times New Roman" w:eastAsia="仿宋_GB2312" w:cs="Times New Roman"/>
          <w:b w:val="0"/>
          <w:bCs w:val="0"/>
          <w:highlight w:val="none"/>
          <w:lang w:val="en-US" w:eastAsia="zh-CN"/>
        </w:rPr>
        <w:t>2024年1月1日</w:t>
      </w:r>
      <w:r>
        <w:rPr>
          <w:rFonts w:hint="default" w:ascii="Times New Roman" w:hAnsi="Times New Roman" w:eastAsia="仿宋_GB2312" w:cs="Times New Roman"/>
          <w:b w:val="0"/>
          <w:bCs w:val="0"/>
          <w:highlight w:val="none"/>
        </w:rPr>
        <w:t>至</w:t>
      </w:r>
      <w:r>
        <w:rPr>
          <w:rFonts w:hint="default" w:ascii="Times New Roman" w:hAnsi="Times New Roman" w:eastAsia="仿宋_GB2312" w:cs="Times New Roman"/>
          <w:b w:val="0"/>
          <w:bCs w:val="0"/>
          <w:highlight w:val="none"/>
          <w:lang w:val="en-US" w:eastAsia="zh-CN"/>
        </w:rPr>
        <w:t>2024年12月31日</w:t>
      </w:r>
      <w:r>
        <w:rPr>
          <w:rFonts w:hint="default" w:ascii="Times New Roman" w:hAnsi="Times New Roman" w:eastAsia="仿宋_GB2312" w:cs="Times New Roman"/>
          <w:b w:val="0"/>
          <w:bCs w:val="0"/>
          <w:highlight w:val="none"/>
        </w:rPr>
        <w:t>的全部资金投入与支出，涉及资金总额为</w:t>
      </w:r>
      <w:r>
        <w:rPr>
          <w:rFonts w:hint="default" w:ascii="Times New Roman" w:hAnsi="Times New Roman" w:eastAsia="仿宋_GB2312" w:cs="Times New Roman"/>
          <w:b w:val="0"/>
          <w:bCs w:val="0"/>
          <w:highlight w:val="none"/>
          <w:lang w:val="en-US" w:eastAsia="zh-CN"/>
        </w:rPr>
        <w:t>82.4万</w:t>
      </w:r>
      <w:r>
        <w:rPr>
          <w:rFonts w:hint="default" w:ascii="Times New Roman" w:hAnsi="Times New Roman" w:eastAsia="仿宋_GB2312" w:cs="Times New Roman"/>
          <w:b w:val="0"/>
          <w:bCs w:val="0"/>
          <w:highlight w:val="none"/>
        </w:rPr>
        <w:t>元。</w:t>
      </w:r>
    </w:p>
    <w:p>
      <w:pPr>
        <w:pStyle w:val="11"/>
        <w:pageBreakBefore w:val="0"/>
        <w:widowControl w:val="0"/>
        <w:kinsoku/>
        <w:wordWrap/>
        <w:overflowPunct/>
        <w:topLinePunct w:val="0"/>
        <w:autoSpaceDE/>
        <w:autoSpaceDN/>
        <w:bidi w:val="0"/>
        <w:adjustRightInd/>
        <w:snapToGrid/>
        <w:spacing w:before="0" w:after="0" w:line="240" w:lineRule="auto"/>
        <w:ind w:left="0" w:leftChars="0"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rPr>
        <w:t>绩效评价的范围</w:t>
      </w:r>
    </w:p>
    <w:p>
      <w:pPr>
        <w:pStyle w:val="11"/>
        <w:pageBreakBefore w:val="0"/>
        <w:widowControl w:val="0"/>
        <w:kinsoku/>
        <w:wordWrap/>
        <w:overflowPunct/>
        <w:topLinePunct w:val="0"/>
        <w:autoSpaceDE/>
        <w:autoSpaceDN/>
        <w:bidi w:val="0"/>
        <w:adjustRightInd/>
        <w:snapToGrid/>
        <w:spacing w:before="0" w:after="0" w:line="240" w:lineRule="auto"/>
        <w:ind w:left="0" w:leftChars="0"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11"/>
        <w:pageBreakBefore w:val="0"/>
        <w:widowControl w:val="0"/>
        <w:numPr>
          <w:ilvl w:val="0"/>
          <w:numId w:val="2"/>
        </w:numPr>
        <w:kinsoku/>
        <w:wordWrap/>
        <w:overflowPunct/>
        <w:topLinePunct w:val="0"/>
        <w:autoSpaceDE/>
        <w:autoSpaceDN/>
        <w:bidi w:val="0"/>
        <w:adjustRightInd/>
        <w:snapToGrid/>
        <w:spacing w:before="0" w:after="0" w:line="240" w:lineRule="auto"/>
        <w:ind w:left="0" w:leftChars="0"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pPr>
        <w:pStyle w:val="11"/>
        <w:pageBreakBefore w:val="0"/>
        <w:widowControl w:val="0"/>
        <w:numPr>
          <w:ilvl w:val="0"/>
          <w:numId w:val="2"/>
        </w:numPr>
        <w:kinsoku/>
        <w:wordWrap/>
        <w:overflowPunct/>
        <w:topLinePunct w:val="0"/>
        <w:autoSpaceDE/>
        <w:autoSpaceDN/>
        <w:bidi w:val="0"/>
        <w:adjustRightInd/>
        <w:snapToGrid/>
        <w:spacing w:before="0" w:after="0" w:line="240" w:lineRule="auto"/>
        <w:ind w:left="0" w:leftChars="0"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pPr>
        <w:pStyle w:val="11"/>
        <w:pageBreakBefore w:val="0"/>
        <w:widowControl w:val="0"/>
        <w:numPr>
          <w:ilvl w:val="0"/>
          <w:numId w:val="2"/>
        </w:numPr>
        <w:kinsoku/>
        <w:wordWrap/>
        <w:overflowPunct/>
        <w:topLinePunct w:val="0"/>
        <w:autoSpaceDE/>
        <w:autoSpaceDN/>
        <w:bidi w:val="0"/>
        <w:adjustRightInd/>
        <w:snapToGrid/>
        <w:spacing w:before="0" w:after="0" w:line="240" w:lineRule="auto"/>
        <w:ind w:left="0" w:leftChars="0"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pPr>
        <w:pStyle w:val="11"/>
        <w:pageBreakBefore w:val="0"/>
        <w:widowControl w:val="0"/>
        <w:numPr>
          <w:ilvl w:val="0"/>
          <w:numId w:val="2"/>
        </w:numPr>
        <w:kinsoku/>
        <w:wordWrap/>
        <w:overflowPunct/>
        <w:topLinePunct w:val="0"/>
        <w:autoSpaceDE/>
        <w:autoSpaceDN/>
        <w:bidi w:val="0"/>
        <w:adjustRightInd/>
        <w:snapToGrid/>
        <w:spacing w:before="0" w:after="0" w:line="240" w:lineRule="auto"/>
        <w:ind w:left="0" w:leftChars="0"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社会影响：</w:t>
      </w:r>
      <w:r>
        <w:rPr>
          <w:rFonts w:hint="default" w:ascii="Times New Roman" w:hAnsi="Times New Roman" w:eastAsia="仿宋_GB2312" w:cs="Times New Roman"/>
          <w:b w:val="0"/>
          <w:bCs w:val="0"/>
          <w:highlight w:val="none"/>
          <w:lang w:val="en-US" w:eastAsia="zh-CN"/>
        </w:rPr>
        <w:t>通过项目实施，</w:t>
      </w:r>
      <w:r>
        <w:rPr>
          <w:rFonts w:hint="default" w:ascii="Times New Roman" w:hAnsi="Times New Roman" w:eastAsia="仿宋_GB2312" w:cs="Times New Roman"/>
          <w:b w:val="0"/>
          <w:bCs w:val="0"/>
          <w:highlight w:val="none"/>
        </w:rPr>
        <w:t>11个乡镇集成推广</w:t>
      </w:r>
      <w:r>
        <w:rPr>
          <w:rFonts w:hint="default" w:ascii="Times New Roman" w:hAnsi="Times New Roman" w:eastAsia="仿宋_GB2312" w:cs="Times New Roman"/>
          <w:b w:val="0"/>
          <w:bCs w:val="0"/>
          <w:highlight w:val="none"/>
          <w:lang w:eastAsia="zh-CN"/>
        </w:rPr>
        <w:t>了</w:t>
      </w:r>
      <w:r>
        <w:rPr>
          <w:rFonts w:hint="default" w:ascii="Times New Roman" w:hAnsi="Times New Roman" w:eastAsia="仿宋_GB2312" w:cs="Times New Roman"/>
          <w:b w:val="0"/>
          <w:bCs w:val="0"/>
          <w:highlight w:val="none"/>
        </w:rPr>
        <w:t>科学施肥高效模式，</w:t>
      </w:r>
      <w:r>
        <w:rPr>
          <w:rFonts w:hint="default" w:ascii="Times New Roman" w:hAnsi="Times New Roman" w:eastAsia="仿宋_GB2312" w:cs="Times New Roman"/>
          <w:b w:val="0"/>
          <w:bCs w:val="0"/>
          <w:highlight w:val="none"/>
          <w:lang w:val="en-US" w:eastAsia="zh-CN"/>
        </w:rPr>
        <w:t>有效实现</w:t>
      </w:r>
      <w:r>
        <w:rPr>
          <w:rFonts w:hint="default" w:ascii="Times New Roman" w:hAnsi="Times New Roman" w:eastAsia="仿宋_GB2312" w:cs="Times New Roman"/>
          <w:b w:val="0"/>
          <w:bCs w:val="0"/>
          <w:highlight w:val="none"/>
        </w:rPr>
        <w:t>科学施肥增效，促进耕地质量提升和资源可持续利用，推动农业可持续发展</w:t>
      </w:r>
      <w:r>
        <w:rPr>
          <w:rFonts w:hint="default" w:ascii="Times New Roman" w:hAnsi="Times New Roman" w:eastAsia="仿宋_GB2312" w:cs="Times New Roman"/>
          <w:b w:val="0"/>
          <w:bCs w:val="0"/>
          <w:highlight w:val="none"/>
          <w:lang w:eastAsia="zh-CN"/>
        </w:rPr>
        <w:t>。</w:t>
      </w:r>
    </w:p>
    <w:p>
      <w:pPr>
        <w:pageBreakBefore w:val="0"/>
        <w:kinsoku/>
        <w:wordWrap/>
        <w:overflowPunct/>
        <w:topLinePunct w:val="0"/>
        <w:autoSpaceDE/>
        <w:autoSpaceDN/>
        <w:bidi w:val="0"/>
        <w:adjustRightInd/>
        <w:snapToGrid/>
        <w:spacing w:line="240" w:lineRule="auto"/>
        <w:ind w:left="0" w:leftChars="0" w:firstLine="643" w:firstLineChars="200"/>
        <w:rPr>
          <w:rFonts w:hint="default" w:ascii="Times New Roman" w:hAnsi="Times New Roman" w:cs="Times New Roman"/>
          <w:highlight w:val="none"/>
        </w:rPr>
      </w:pPr>
      <w:r>
        <w:rPr>
          <w:rFonts w:hint="default" w:ascii="Times New Roman" w:hAnsi="Times New Roman" w:eastAsia="楷体_GB2312" w:cs="Times New Roman"/>
          <w:b/>
          <w:bCs/>
          <w:sz w:val="32"/>
          <w:szCs w:val="32"/>
          <w:highlight w:val="none"/>
        </w:rPr>
        <w:t>（二）绩效评价原则、评价指标体系（详情见表1）、评价方法、评价标准。</w:t>
      </w:r>
    </w:p>
    <w:p>
      <w:pPr>
        <w:pStyle w:val="11"/>
        <w:pageBreakBefore w:val="0"/>
        <w:widowControl w:val="0"/>
        <w:kinsoku/>
        <w:wordWrap/>
        <w:overflowPunct/>
        <w:topLinePunct w:val="0"/>
        <w:autoSpaceDE/>
        <w:autoSpaceDN/>
        <w:bidi w:val="0"/>
        <w:adjustRightInd/>
        <w:snapToGrid/>
        <w:spacing w:before="0" w:after="0" w:line="240" w:lineRule="auto"/>
        <w:ind w:left="0" w:leftChars="0"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绩效评价原则</w:t>
      </w:r>
    </w:p>
    <w:p>
      <w:pPr>
        <w:pageBreakBefore w:val="0"/>
        <w:kinsoku/>
        <w:wordWrap/>
        <w:overflowPunct/>
        <w:topLinePunct w:val="0"/>
        <w:autoSpaceDE/>
        <w:autoSpaceDN/>
        <w:bidi w:val="0"/>
        <w:adjustRightInd/>
        <w:snapToGrid/>
        <w:spacing w:line="240" w:lineRule="auto"/>
        <w:ind w:left="0" w:leftChars="0"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pPr>
        <w:pStyle w:val="11"/>
        <w:pageBreakBefore w:val="0"/>
        <w:kinsoku/>
        <w:wordWrap/>
        <w:overflowPunct/>
        <w:topLinePunct w:val="0"/>
        <w:autoSpaceDE/>
        <w:autoSpaceDN/>
        <w:bidi w:val="0"/>
        <w:adjustRightInd/>
        <w:snapToGrid/>
        <w:spacing w:before="0" w:after="0" w:line="240" w:lineRule="auto"/>
        <w:ind w:left="0" w:leftChars="0"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（1）科学公正。绩效评价应当运用科学合理的方法，按照规范的程序，对项目绩效进行客观、公正的反映。</w:t>
      </w:r>
    </w:p>
    <w:p>
      <w:pPr>
        <w:pStyle w:val="11"/>
        <w:pageBreakBefore w:val="0"/>
        <w:kinsoku/>
        <w:wordWrap/>
        <w:overflowPunct/>
        <w:topLinePunct w:val="0"/>
        <w:autoSpaceDE/>
        <w:autoSpaceDN/>
        <w:bidi w:val="0"/>
        <w:adjustRightInd/>
        <w:snapToGrid/>
        <w:spacing w:before="0" w:after="0" w:line="240" w:lineRule="auto"/>
        <w:ind w:left="0" w:leftChars="0"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（2）统筹兼顾。单位自评、部门评价和财政评价应职责明确，各有侧重，相互衔接。单位自评应由项目单位自主实施，即“谁支出、谁自评”。部门评价和财政评价应在单位自评的基础上开展。</w:t>
      </w:r>
    </w:p>
    <w:p>
      <w:pPr>
        <w:pStyle w:val="11"/>
        <w:pageBreakBefore w:val="0"/>
        <w:kinsoku/>
        <w:wordWrap/>
        <w:overflowPunct/>
        <w:topLinePunct w:val="0"/>
        <w:autoSpaceDE/>
        <w:autoSpaceDN/>
        <w:bidi w:val="0"/>
        <w:adjustRightInd/>
        <w:snapToGrid/>
        <w:spacing w:before="0" w:after="0" w:line="240" w:lineRule="auto"/>
        <w:ind w:left="0" w:leftChars="0"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（3）激励约束。绩效评价结果应与预算安排、政策调整、改进管理实质性挂钩，体现奖优罚劣和激励相容导向，有效要安排、低效要压减、无效要问责。</w:t>
      </w:r>
    </w:p>
    <w:p>
      <w:pPr>
        <w:pStyle w:val="11"/>
        <w:pageBreakBefore w:val="0"/>
        <w:kinsoku/>
        <w:wordWrap/>
        <w:overflowPunct/>
        <w:topLinePunct w:val="0"/>
        <w:autoSpaceDE/>
        <w:autoSpaceDN/>
        <w:bidi w:val="0"/>
        <w:adjustRightInd/>
        <w:snapToGrid/>
        <w:spacing w:before="0" w:after="0" w:line="240" w:lineRule="auto"/>
        <w:ind w:left="0" w:leftChars="0"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（4）公开透明。绩效评价结果应依法依规公开，并自觉接受社会监督。</w:t>
      </w:r>
    </w:p>
    <w:p>
      <w:pPr>
        <w:pStyle w:val="11"/>
        <w:pageBreakBefore w:val="0"/>
        <w:widowControl w:val="0"/>
        <w:kinsoku/>
        <w:wordWrap/>
        <w:overflowPunct/>
        <w:topLinePunct w:val="0"/>
        <w:autoSpaceDE/>
        <w:autoSpaceDN/>
        <w:bidi w:val="0"/>
        <w:adjustRightInd/>
        <w:snapToGrid/>
        <w:spacing w:before="0" w:after="0" w:line="240" w:lineRule="auto"/>
        <w:ind w:left="0" w:leftChars="0"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评价指标体系</w:t>
      </w:r>
    </w:p>
    <w:p>
      <w:pPr>
        <w:pageBreakBefore w:val="0"/>
        <w:kinsoku/>
        <w:wordWrap/>
        <w:overflowPunct/>
        <w:topLinePunct w:val="0"/>
        <w:autoSpaceDE/>
        <w:autoSpaceDN/>
        <w:bidi w:val="0"/>
        <w:adjustRightInd/>
        <w:snapToGrid/>
        <w:spacing w:line="240" w:lineRule="auto"/>
        <w:ind w:left="0" w:leftChars="0" w:firstLine="708" w:firstLineChars="200"/>
        <w:rPr>
          <w:rFonts w:hint="default" w:ascii="Times New Roman" w:hAnsi="Times New Roman"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240" w:lineRule="auto"/>
        <w:ind w:left="0" w:leftChars="0"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（1）确定评价指标</w:t>
      </w:r>
    </w:p>
    <w:p>
      <w:pPr>
        <w:pageBreakBefore w:val="0"/>
        <w:kinsoku/>
        <w:wordWrap/>
        <w:overflowPunct/>
        <w:topLinePunct w:val="0"/>
        <w:autoSpaceDE/>
        <w:autoSpaceDN/>
        <w:bidi w:val="0"/>
        <w:adjustRightInd/>
        <w:snapToGrid/>
        <w:spacing w:line="240" w:lineRule="auto"/>
        <w:ind w:left="0" w:leftChars="0"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240" w:lineRule="auto"/>
        <w:ind w:left="0" w:leftChars="0"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pPr>
        <w:pageBreakBefore w:val="0"/>
        <w:kinsoku/>
        <w:wordWrap/>
        <w:overflowPunct/>
        <w:topLinePunct w:val="0"/>
        <w:autoSpaceDE/>
        <w:autoSpaceDN/>
        <w:bidi w:val="0"/>
        <w:adjustRightInd/>
        <w:snapToGrid/>
        <w:spacing w:line="240" w:lineRule="auto"/>
        <w:ind w:left="0" w:leftChars="0" w:firstLine="708" w:firstLineChars="200"/>
        <w:rPr>
          <w:rFonts w:hint="default" w:ascii="Times New Roman" w:hAnsi="Times New Roman" w:eastAsia="仿宋_GB2312" w:cs="Times New Roman"/>
          <w:color w:val="FF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pPr>
        <w:pageBreakBefore w:val="0"/>
        <w:kinsoku/>
        <w:wordWrap/>
        <w:overflowPunct/>
        <w:topLinePunct w:val="0"/>
        <w:autoSpaceDE/>
        <w:autoSpaceDN/>
        <w:bidi w:val="0"/>
        <w:adjustRightInd/>
        <w:snapToGrid/>
        <w:spacing w:line="240" w:lineRule="auto"/>
        <w:ind w:left="0" w:leftChars="0"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pPr>
        <w:pageBreakBefore w:val="0"/>
        <w:kinsoku/>
        <w:wordWrap/>
        <w:overflowPunct/>
        <w:topLinePunct w:val="0"/>
        <w:autoSpaceDE/>
        <w:autoSpaceDN/>
        <w:bidi w:val="0"/>
        <w:adjustRightInd/>
        <w:snapToGrid/>
        <w:spacing w:line="240" w:lineRule="auto"/>
        <w:ind w:left="0" w:leftChars="0"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1"/>
        <w:pageBreakBefore w:val="0"/>
        <w:kinsoku/>
        <w:wordWrap/>
        <w:overflowPunct/>
        <w:topLinePunct w:val="0"/>
        <w:autoSpaceDE/>
        <w:autoSpaceDN/>
        <w:bidi w:val="0"/>
        <w:adjustRightInd/>
        <w:snapToGrid/>
        <w:spacing w:before="0" w:after="0" w:line="240" w:lineRule="auto"/>
        <w:ind w:left="0" w:leftChars="0" w:firstLine="708" w:firstLineChars="200"/>
        <w:jc w:val="both"/>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绩效评价总分值100分，根据综合评分结果，90（含）-100分为优、80（含）-90分为良、60（含）-80分为中、60分以下为差。</w:t>
      </w:r>
    </w:p>
    <w:p>
      <w:pPr>
        <w:pStyle w:val="11"/>
        <w:pageBreakBefore w:val="0"/>
        <w:widowControl w:val="0"/>
        <w:kinsoku/>
        <w:wordWrap/>
        <w:overflowPunct/>
        <w:topLinePunct w:val="0"/>
        <w:autoSpaceDE/>
        <w:autoSpaceDN/>
        <w:bidi w:val="0"/>
        <w:adjustRightInd/>
        <w:snapToGrid/>
        <w:spacing w:before="0" w:after="0" w:line="240" w:lineRule="auto"/>
        <w:ind w:left="0" w:leftChars="0" w:firstLine="708" w:firstLineChars="200"/>
        <w:jc w:val="both"/>
        <w:outlineLvl w:val="9"/>
        <w:rPr>
          <w:rFonts w:hint="default" w:ascii="Times New Roman" w:hAnsi="Times New Roman" w:eastAsia="仿宋_GB2312" w:cs="Times New Roman"/>
          <w:b w:val="0"/>
          <w:bCs w:val="0"/>
          <w:color w:val="000000"/>
          <w:spacing w:val="17"/>
          <w:highlight w:val="none"/>
        </w:rPr>
      </w:pPr>
      <w:r>
        <w:rPr>
          <w:rFonts w:hint="default" w:ascii="Times New Roman" w:hAnsi="Times New Roman" w:eastAsia="仿宋_GB2312" w:cs="Times New Roman"/>
          <w:b w:val="0"/>
          <w:bCs w:val="0"/>
          <w:color w:val="000000"/>
          <w:spacing w:val="17"/>
          <w:highlight w:val="none"/>
        </w:rPr>
        <w:t>具体评价指标体系详情见附件1</w:t>
      </w:r>
    </w:p>
    <w:p>
      <w:pPr>
        <w:pStyle w:val="11"/>
        <w:pageBreakBefore w:val="0"/>
        <w:widowControl w:val="0"/>
        <w:kinsoku/>
        <w:wordWrap/>
        <w:overflowPunct/>
        <w:topLinePunct w:val="0"/>
        <w:autoSpaceDE/>
        <w:autoSpaceDN/>
        <w:bidi w:val="0"/>
        <w:adjustRightInd/>
        <w:snapToGrid/>
        <w:spacing w:before="0" w:after="0" w:line="240" w:lineRule="auto"/>
        <w:ind w:left="0" w:leftChars="0"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p>
    <w:p>
      <w:pPr>
        <w:pageBreakBefore w:val="0"/>
        <w:kinsoku/>
        <w:wordWrap/>
        <w:overflowPunct/>
        <w:topLinePunct w:val="0"/>
        <w:autoSpaceDE/>
        <w:autoSpaceDN/>
        <w:bidi w:val="0"/>
        <w:adjustRightInd/>
        <w:snapToGrid/>
        <w:spacing w:line="240" w:lineRule="auto"/>
        <w:ind w:left="0" w:leftChars="0"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绩效评价从项目决策、项目过程、项目产出、项目效益四个维度进行评价。评价对象为项目目标实施情况，评价核心为资金的支出完成情况和项目的产出效益。</w:t>
      </w:r>
    </w:p>
    <w:p>
      <w:pPr>
        <w:pageBreakBefore w:val="0"/>
        <w:kinsoku/>
        <w:wordWrap/>
        <w:overflowPunct/>
        <w:topLinePunct w:val="0"/>
        <w:autoSpaceDE/>
        <w:autoSpaceDN/>
        <w:bidi w:val="0"/>
        <w:adjustRightInd/>
        <w:snapToGrid/>
        <w:spacing w:line="240" w:lineRule="auto"/>
        <w:ind w:left="0" w:leftChars="0"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pageBreakBefore w:val="0"/>
        <w:numPr>
          <w:ilvl w:val="0"/>
          <w:numId w:val="0"/>
        </w:numPr>
        <w:kinsoku/>
        <w:wordWrap/>
        <w:overflowPunct/>
        <w:topLinePunct w:val="0"/>
        <w:autoSpaceDE/>
        <w:autoSpaceDN/>
        <w:bidi w:val="0"/>
        <w:adjustRightInd/>
        <w:snapToGrid/>
        <w:spacing w:line="240" w:lineRule="auto"/>
        <w:ind w:firstLine="708" w:firstLineChars="200"/>
        <w:rPr>
          <w:rFonts w:hint="default" w:ascii="Times New Roman" w:hAnsi="Times New Roman" w:cs="Times New Roman"/>
          <w:highlight w:val="none"/>
        </w:rPr>
      </w:pPr>
      <w:bookmarkStart w:id="2" w:name="OLE_LINK1"/>
      <w:r>
        <w:rPr>
          <w:rFonts w:hint="eastAsia" w:eastAsia="仿宋_GB2312" w:cs="Times New Roman"/>
          <w:color w:val="000000"/>
          <w:spacing w:val="17"/>
          <w:sz w:val="32"/>
          <w:szCs w:val="32"/>
          <w:highlight w:val="none"/>
          <w:lang w:val="en-US" w:eastAsia="zh-CN"/>
        </w:rPr>
        <w:t>本次项目支出绩效自评采用</w:t>
      </w:r>
      <w:r>
        <w:rPr>
          <w:rFonts w:hint="default" w:ascii="Times New Roman" w:hAnsi="Times New Roman" w:eastAsia="仿宋_GB2312" w:cs="Times New Roman"/>
          <w:color w:val="000000"/>
          <w:spacing w:val="17"/>
          <w:sz w:val="32"/>
          <w:szCs w:val="32"/>
          <w:highlight w:val="none"/>
        </w:rPr>
        <w:t>因素分析法</w:t>
      </w:r>
      <w:bookmarkEnd w:id="2"/>
      <w:r>
        <w:rPr>
          <w:rFonts w:hint="eastAsia"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原因</w:t>
      </w:r>
      <w:r>
        <w:rPr>
          <w:rFonts w:hint="eastAsia" w:eastAsia="仿宋_GB2312" w:cs="Times New Roman"/>
          <w:color w:val="000000"/>
          <w:spacing w:val="17"/>
          <w:sz w:val="32"/>
          <w:szCs w:val="32"/>
          <w:highlight w:val="none"/>
          <w:lang w:val="en-US" w:eastAsia="zh-CN"/>
        </w:rPr>
        <w:t>是：因素分析法</w:t>
      </w:r>
      <w:r>
        <w:rPr>
          <w:rFonts w:hint="default" w:ascii="Times New Roman" w:hAnsi="Times New Roman" w:eastAsia="仿宋_GB2312" w:cs="Times New Roman"/>
          <w:color w:val="000000"/>
          <w:spacing w:val="17"/>
          <w:sz w:val="32"/>
          <w:szCs w:val="32"/>
          <w:highlight w:val="none"/>
        </w:rPr>
        <w:t>它能全面剖析项目中各因素的相互作用与影响程度。这种方法可以将复杂的项目分解为多个关键因素，逐一分析其对绩效的贡献或制约，从而精准定位问题所在，为改进项目绩效提供明确方向，帮助优化资源配置，提升项目整体效益。</w:t>
      </w:r>
    </w:p>
    <w:p>
      <w:pPr>
        <w:pStyle w:val="11"/>
        <w:pageBreakBefore w:val="0"/>
        <w:widowControl w:val="0"/>
        <w:kinsoku/>
        <w:wordWrap/>
        <w:overflowPunct/>
        <w:topLinePunct w:val="0"/>
        <w:autoSpaceDE/>
        <w:autoSpaceDN/>
        <w:bidi w:val="0"/>
        <w:adjustRightInd/>
        <w:snapToGrid/>
        <w:spacing w:before="0" w:after="0" w:line="240" w:lineRule="auto"/>
        <w:ind w:left="0" w:leftChars="0"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pPr>
        <w:pStyle w:val="11"/>
        <w:pageBreakBefore w:val="0"/>
        <w:widowControl w:val="0"/>
        <w:kinsoku/>
        <w:wordWrap/>
        <w:overflowPunct/>
        <w:topLinePunct w:val="0"/>
        <w:autoSpaceDE/>
        <w:autoSpaceDN/>
        <w:bidi w:val="0"/>
        <w:adjustRightInd/>
        <w:snapToGrid/>
        <w:spacing w:before="0" w:after="0" w:line="240" w:lineRule="auto"/>
        <w:ind w:left="0" w:leftChars="0"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绩效评价标准通常包括计划标准、行业标准、历史标准等，用于对绩效指标完成情况进行比较、分析、评价。</w:t>
      </w:r>
    </w:p>
    <w:p>
      <w:pPr>
        <w:pStyle w:val="11"/>
        <w:pageBreakBefore w:val="0"/>
        <w:widowControl w:val="0"/>
        <w:kinsoku/>
        <w:wordWrap/>
        <w:overflowPunct/>
        <w:topLinePunct w:val="0"/>
        <w:autoSpaceDE/>
        <w:autoSpaceDN/>
        <w:bidi w:val="0"/>
        <w:adjustRightInd/>
        <w:snapToGrid/>
        <w:spacing w:before="0" w:after="0" w:line="240" w:lineRule="auto"/>
        <w:ind w:left="0" w:leftChars="0"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rPr>
        <w:t>本次</w:t>
      </w:r>
      <w:bookmarkStart w:id="3" w:name="OLE_LINK4"/>
      <w:r>
        <w:rPr>
          <w:rFonts w:hint="eastAsia" w:ascii="Times New Roman" w:hAnsi="Times New Roman" w:eastAsia="仿宋_GB2312" w:cs="Times New Roman"/>
          <w:b w:val="0"/>
          <w:bCs w:val="0"/>
          <w:highlight w:val="none"/>
          <w:lang w:val="en-US" w:eastAsia="zh-CN"/>
        </w:rPr>
        <w:t>项目支出绩效</w:t>
      </w:r>
      <w:r>
        <w:rPr>
          <w:rFonts w:hint="default" w:ascii="Times New Roman" w:hAnsi="Times New Roman" w:eastAsia="仿宋_GB2312" w:cs="Times New Roman"/>
          <w:b w:val="0"/>
          <w:bCs w:val="0"/>
          <w:highlight w:val="none"/>
        </w:rPr>
        <w:t>评价主要采用了</w:t>
      </w:r>
      <w:r>
        <w:rPr>
          <w:rFonts w:hint="default"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highlight w:val="none"/>
        </w:rPr>
        <w:t>标准</w:t>
      </w:r>
      <w:bookmarkEnd w:id="3"/>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原因是：</w:t>
      </w:r>
      <w:r>
        <w:rPr>
          <w:rFonts w:hint="default" w:ascii="Times New Roman" w:hAnsi="Times New Roman" w:eastAsia="仿宋_GB2312" w:cs="Times New Roman"/>
          <w:b w:val="0"/>
          <w:bCs w:val="0"/>
          <w:highlight w:val="none"/>
        </w:rPr>
        <w:t>计划标准是项目实施的预期目标和任务指标，具有明确性和可衡量性，能直观反映项目执行进度和成果是否达到预定要求，便于对项目实施过程进行有效监控和评估，确保项目按计划推进，实现预期绩效目标。</w:t>
      </w:r>
    </w:p>
    <w:p>
      <w:pPr>
        <w:pStyle w:val="11"/>
        <w:pageBreakBefore w:val="0"/>
        <w:numPr>
          <w:ilvl w:val="0"/>
          <w:numId w:val="3"/>
        </w:numPr>
        <w:kinsoku/>
        <w:wordWrap/>
        <w:overflowPunct/>
        <w:topLinePunct w:val="0"/>
        <w:autoSpaceDE/>
        <w:autoSpaceDN/>
        <w:bidi w:val="0"/>
        <w:adjustRightInd/>
        <w:snapToGrid/>
        <w:spacing w:before="0" w:after="0" w:line="240" w:lineRule="auto"/>
        <w:ind w:left="0" w:leftChars="0" w:firstLine="711" w:firstLineChars="200"/>
        <w:jc w:val="both"/>
        <w:rPr>
          <w:rFonts w:hint="default" w:ascii="Times New Roman" w:hAnsi="Times New Roman" w:eastAsia="楷体" w:cs="Times New Roman"/>
          <w:color w:val="000000"/>
          <w:spacing w:val="17"/>
          <w:highlight w:val="none"/>
        </w:rPr>
      </w:pPr>
      <w:r>
        <w:rPr>
          <w:rFonts w:hint="default" w:ascii="Times New Roman" w:hAnsi="Times New Roman" w:eastAsia="楷体" w:cs="Times New Roman"/>
          <w:color w:val="000000"/>
          <w:spacing w:val="17"/>
          <w:highlight w:val="none"/>
        </w:rPr>
        <w:t>绩效评价工作过程</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w:t>
      </w:r>
      <w:r>
        <w:rPr>
          <w:rFonts w:hint="eastAsia" w:eastAsia="仿宋_GB2312" w:cs="Times New Roman"/>
          <w:sz w:val="32"/>
          <w:szCs w:val="32"/>
          <w:highlight w:val="none"/>
          <w:lang w:val="en-US" w:eastAsia="zh-CN"/>
        </w:rPr>
        <w:t>赵丽丽</w:t>
      </w:r>
      <w:r>
        <w:rPr>
          <w:rFonts w:hint="default" w:ascii="Times New Roman" w:hAnsi="Times New Roman" w:eastAsia="仿宋_GB2312" w:cs="Times New Roman"/>
          <w:sz w:val="32"/>
          <w:szCs w:val="32"/>
          <w:highlight w:val="none"/>
        </w:rPr>
        <w:t>、项目管理专业人员</w:t>
      </w:r>
      <w:r>
        <w:rPr>
          <w:rFonts w:hint="eastAsia" w:eastAsia="仿宋_GB2312" w:cs="Times New Roman"/>
          <w:sz w:val="32"/>
          <w:szCs w:val="32"/>
          <w:highlight w:val="none"/>
          <w:lang w:val="en-US" w:eastAsia="zh-CN"/>
        </w:rPr>
        <w:t>吕银亮</w:t>
      </w:r>
      <w:r>
        <w:rPr>
          <w:rFonts w:hint="default" w:ascii="Times New Roman" w:hAnsi="Times New Roman" w:eastAsia="仿宋_GB2312" w:cs="Times New Roman"/>
          <w:sz w:val="32"/>
          <w:szCs w:val="32"/>
          <w:highlight w:val="none"/>
        </w:rPr>
        <w:t>及</w:t>
      </w:r>
      <w:r>
        <w:rPr>
          <w:rFonts w:hint="default" w:ascii="Times New Roman" w:hAnsi="Times New Roman" w:eastAsia="仿宋_GB2312" w:cs="Times New Roman"/>
          <w:sz w:val="32"/>
          <w:szCs w:val="32"/>
          <w:highlight w:val="none"/>
          <w:lang w:val="en-US" w:eastAsia="zh-CN"/>
        </w:rPr>
        <w:t>农业</w:t>
      </w:r>
      <w:r>
        <w:rPr>
          <w:rFonts w:hint="default" w:ascii="Times New Roman" w:hAnsi="Times New Roman" w:eastAsia="仿宋_GB2312" w:cs="Times New Roman"/>
          <w:sz w:val="32"/>
          <w:szCs w:val="32"/>
          <w:highlight w:val="none"/>
        </w:rPr>
        <w:t>技术骨干</w:t>
      </w:r>
      <w:r>
        <w:rPr>
          <w:rFonts w:hint="eastAsia" w:eastAsia="仿宋_GB2312" w:cs="Times New Roman"/>
          <w:sz w:val="32"/>
          <w:szCs w:val="32"/>
          <w:highlight w:val="none"/>
          <w:lang w:val="en-US" w:eastAsia="zh-CN"/>
        </w:rPr>
        <w:t>刘江涛、阿依夏木·托合提等</w:t>
      </w:r>
      <w:r>
        <w:rPr>
          <w:rFonts w:hint="default" w:ascii="Times New Roman" w:hAnsi="Times New Roman" w:eastAsia="仿宋_GB2312" w:cs="Times New Roman"/>
          <w:sz w:val="32"/>
          <w:szCs w:val="32"/>
          <w:highlight w:val="none"/>
        </w:rPr>
        <w:t>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w:t>
      </w:r>
      <w:r>
        <w:rPr>
          <w:rFonts w:hint="default" w:ascii="Times New Roman" w:hAnsi="Times New Roman" w:eastAsia="仿宋_GB2312" w:cs="Times New Roman"/>
          <w:sz w:val="32"/>
          <w:szCs w:val="32"/>
          <w:highlight w:val="none"/>
          <w:lang w:val="en-US" w:eastAsia="zh-CN"/>
        </w:rPr>
        <w:t>农户</w:t>
      </w:r>
      <w:r>
        <w:rPr>
          <w:rFonts w:hint="default" w:ascii="Times New Roman" w:hAnsi="Times New Roman" w:eastAsia="仿宋_GB2312" w:cs="Times New Roman"/>
          <w:sz w:val="32"/>
          <w:szCs w:val="32"/>
          <w:highlight w:val="none"/>
          <w:lang w:eastAsia="zh-CN"/>
        </w:rPr>
        <w:t>反馈等。在</w:t>
      </w:r>
      <w:r>
        <w:rPr>
          <w:rFonts w:hint="eastAsia" w:eastAsia="仿宋_GB2312" w:cs="Times New Roman"/>
          <w:sz w:val="32"/>
          <w:szCs w:val="32"/>
          <w:highlight w:val="none"/>
          <w:lang w:val="en-US" w:eastAsia="zh-CN"/>
        </w:rPr>
        <w:t>农户施肥、田间试验</w:t>
      </w:r>
      <w:r>
        <w:rPr>
          <w:rFonts w:hint="default" w:ascii="Times New Roman" w:hAnsi="Times New Roman" w:eastAsia="仿宋_GB2312" w:cs="Times New Roman"/>
          <w:sz w:val="32"/>
          <w:szCs w:val="32"/>
          <w:highlight w:val="none"/>
          <w:lang w:eastAsia="zh-CN"/>
        </w:rPr>
        <w:t>数据收集过程中，注重数据的质量与完整性，对异常的数据进行了合理的处理和补充。随后，对收集到的</w:t>
      </w:r>
      <w:r>
        <w:rPr>
          <w:rFonts w:hint="eastAsia" w:eastAsia="仿宋_GB2312" w:cs="Times New Roman"/>
          <w:sz w:val="32"/>
          <w:szCs w:val="32"/>
          <w:highlight w:val="none"/>
          <w:lang w:val="en-US" w:eastAsia="zh-CN"/>
        </w:rPr>
        <w:t>农户施肥情况和田间试验</w:t>
      </w:r>
      <w:r>
        <w:rPr>
          <w:rFonts w:hint="default" w:ascii="Times New Roman" w:hAnsi="Times New Roman" w:eastAsia="仿宋_GB2312" w:cs="Times New Roman"/>
          <w:sz w:val="32"/>
          <w:szCs w:val="32"/>
          <w:highlight w:val="none"/>
          <w:lang w:eastAsia="zh-CN"/>
        </w:rPr>
        <w:t>数据进行了系统的整理与分类，为后续的数据</w:t>
      </w:r>
      <w:r>
        <w:rPr>
          <w:rFonts w:hint="eastAsia" w:eastAsia="仿宋_GB2312" w:cs="Times New Roman"/>
          <w:sz w:val="32"/>
          <w:szCs w:val="32"/>
          <w:highlight w:val="none"/>
          <w:lang w:val="en-US" w:eastAsia="zh-CN"/>
        </w:rPr>
        <w:t>分析</w:t>
      </w:r>
      <w:r>
        <w:rPr>
          <w:rFonts w:hint="default" w:ascii="Times New Roman" w:hAnsi="Times New Roman" w:eastAsia="仿宋_GB2312" w:cs="Times New Roman"/>
          <w:sz w:val="32"/>
          <w:szCs w:val="32"/>
          <w:highlight w:val="none"/>
          <w:lang w:eastAsia="zh-CN"/>
        </w:rPr>
        <w:t>提供了有力支持。</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w:t>
      </w:r>
      <w:bookmarkStart w:id="4" w:name="OLE_LINK5"/>
      <w:r>
        <w:rPr>
          <w:rFonts w:hint="default" w:ascii="Times New Roman" w:hAnsi="Times New Roman" w:eastAsia="仿宋_GB2312" w:cs="Times New Roman"/>
          <w:sz w:val="32"/>
          <w:szCs w:val="32"/>
          <w:highlight w:val="none"/>
          <w:lang w:eastAsia="zh-CN"/>
        </w:rPr>
        <w:t>数据分析与评估</w:t>
      </w:r>
    </w:p>
    <w:bookmarkEnd w:id="4"/>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w:t>
      </w:r>
      <w:r>
        <w:rPr>
          <w:rFonts w:hint="eastAsia" w:eastAsia="仿宋_GB2312" w:cs="Times New Roman"/>
          <w:sz w:val="32"/>
          <w:szCs w:val="32"/>
          <w:highlight w:val="none"/>
          <w:lang w:val="en-US" w:eastAsia="zh-CN"/>
        </w:rPr>
        <w:t>农户施肥数据及田间试验</w:t>
      </w:r>
      <w:r>
        <w:rPr>
          <w:rFonts w:hint="default" w:ascii="Times New Roman" w:hAnsi="Times New Roman" w:eastAsia="仿宋_GB2312" w:cs="Times New Roman"/>
          <w:sz w:val="32"/>
          <w:szCs w:val="32"/>
          <w:highlight w:val="none"/>
          <w:lang w:eastAsia="zh-CN"/>
        </w:rPr>
        <w:t>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w:t>
      </w:r>
      <w:r>
        <w:rPr>
          <w:rFonts w:hint="eastAsia" w:eastAsia="仿宋_GB2312" w:cs="Times New Roman"/>
          <w:sz w:val="32"/>
          <w:szCs w:val="32"/>
          <w:highlight w:val="none"/>
          <w:lang w:val="en-US" w:eastAsia="zh-CN"/>
        </w:rPr>
        <w:t>农户及上级业务部门</w:t>
      </w:r>
      <w:r>
        <w:rPr>
          <w:rFonts w:hint="default" w:ascii="Times New Roman" w:hAnsi="Times New Roman" w:eastAsia="仿宋_GB2312" w:cs="Times New Roman"/>
          <w:sz w:val="32"/>
          <w:szCs w:val="32"/>
          <w:highlight w:val="none"/>
          <w:lang w:eastAsia="zh-CN"/>
        </w:rPr>
        <w:t>进行反馈</w:t>
      </w:r>
      <w:r>
        <w:rPr>
          <w:rFonts w:hint="eastAsia" w:eastAsia="仿宋_GB2312" w:cs="Times New Roman"/>
          <w:sz w:val="32"/>
          <w:szCs w:val="32"/>
          <w:highlight w:val="none"/>
          <w:lang w:val="en-US" w:eastAsia="zh-CN"/>
        </w:rPr>
        <w:t>项目的实施效果</w:t>
      </w:r>
      <w:r>
        <w:rPr>
          <w:rFonts w:hint="default" w:ascii="Times New Roman" w:hAnsi="Times New Roman" w:eastAsia="仿宋_GB2312" w:cs="Times New Roman"/>
          <w:sz w:val="32"/>
          <w:szCs w:val="32"/>
          <w:highlight w:val="none"/>
          <w:lang w:eastAsia="zh-CN"/>
        </w:rPr>
        <w:t>，充分听取各方意见与建议，对报告内容进行进一步的完善与优化，确保评价报告的质量与实用性。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pageBreakBefore w:val="0"/>
        <w:numPr>
          <w:ilvl w:val="0"/>
          <w:numId w:val="4"/>
        </w:numPr>
        <w:kinsoku/>
        <w:wordWrap/>
        <w:overflowPunct/>
        <w:topLinePunct w:val="0"/>
        <w:autoSpaceDE/>
        <w:autoSpaceDN/>
        <w:bidi w:val="0"/>
        <w:adjustRightInd/>
        <w:snapToGrid/>
        <w:spacing w:line="240" w:lineRule="auto"/>
        <w:ind w:left="0" w:leftChars="0"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pPr>
        <w:pStyle w:val="11"/>
        <w:keepNext w:val="0"/>
        <w:keepLines w:val="0"/>
        <w:pageBreakBefore w:val="0"/>
        <w:widowControl/>
        <w:kinsoku/>
        <w:wordWrap/>
        <w:overflowPunct/>
        <w:topLinePunct w:val="0"/>
        <w:autoSpaceDE/>
        <w:autoSpaceDN/>
        <w:bidi w:val="0"/>
        <w:adjustRightInd/>
        <w:snapToGrid/>
        <w:spacing w:before="0" w:after="0" w:line="240" w:lineRule="auto"/>
        <w:ind w:left="0" w:leftChars="0"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sz w:val="32"/>
          <w:szCs w:val="32"/>
          <w:highlight w:val="none"/>
          <w:lang w:val="en-US" w:eastAsia="zh-CN"/>
        </w:rPr>
        <w:t>巴财农【2024】13号关于下达</w:t>
      </w:r>
      <w:r>
        <w:rPr>
          <w:rFonts w:hint="default" w:ascii="Times New Roman" w:hAnsi="Times New Roman" w:eastAsia="仿宋_GB2312" w:cs="Times New Roman"/>
          <w:kern w:val="0"/>
          <w:sz w:val="32"/>
          <w:szCs w:val="32"/>
          <w:highlight w:val="none"/>
          <w:lang w:val="en-US" w:eastAsia="zh-CN"/>
        </w:rPr>
        <w:t>2024年中央耕地建设与利用资金预算的通知582.4万（化肥减量7.4万、三次土壤普查75万）项目</w:t>
      </w:r>
      <w:r>
        <w:rPr>
          <w:rFonts w:hint="eastAsia" w:eastAsia="仿宋_GB2312" w:cs="Times New Roman"/>
          <w:kern w:val="0"/>
          <w:sz w:val="32"/>
          <w:szCs w:val="32"/>
          <w:highlight w:val="none"/>
          <w:lang w:val="en-US" w:eastAsia="zh-CN"/>
        </w:rPr>
        <w:t>，</w:t>
      </w:r>
      <w:r>
        <w:rPr>
          <w:rFonts w:hint="default" w:ascii="Times New Roman" w:hAnsi="Times New Roman" w:eastAsia="仿宋_GB2312" w:cs="Times New Roman"/>
          <w:sz w:val="32"/>
          <w:szCs w:val="32"/>
          <w:highlight w:val="none"/>
        </w:rPr>
        <w:t>在850个点位的外业调查采样的内业测试化验</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3个</w:t>
      </w:r>
      <w:r>
        <w:rPr>
          <w:rFonts w:hint="default" w:ascii="Times New Roman" w:hAnsi="Times New Roman" w:eastAsia="仿宋_GB2312" w:cs="Times New Roman"/>
          <w:sz w:val="32"/>
          <w:szCs w:val="32"/>
          <w:highlight w:val="none"/>
        </w:rPr>
        <w:t>田间肥料试验</w:t>
      </w:r>
      <w:r>
        <w:rPr>
          <w:rFonts w:hint="eastAsia" w:eastAsia="仿宋_GB2312" w:cs="Times New Roman"/>
          <w:sz w:val="32"/>
          <w:szCs w:val="32"/>
          <w:highlight w:val="none"/>
          <w:lang w:val="en-US" w:eastAsia="zh-CN"/>
        </w:rPr>
        <w:t>、185户农户施肥调查和</w:t>
      </w:r>
      <w:r>
        <w:rPr>
          <w:rFonts w:hint="default" w:ascii="Times New Roman" w:hAnsi="Times New Roman" w:eastAsia="仿宋_GB2312" w:cs="Times New Roman"/>
          <w:sz w:val="32"/>
          <w:szCs w:val="32"/>
          <w:highlight w:val="none"/>
        </w:rPr>
        <w:t>巩固拓展测土配方施肥基础工作，集成推广科学施肥高效模式，促进耕地质量提升和资源可持续利用，推动农业可持续发展等方面表现出色，达到了预期的标准与要求。同时，项目也在</w:t>
      </w:r>
      <w:r>
        <w:rPr>
          <w:rFonts w:hint="default" w:ascii="Times New Roman" w:hAnsi="Times New Roman" w:eastAsia="仿宋_GB2312" w:cs="Times New Roman"/>
          <w:sz w:val="32"/>
          <w:szCs w:val="32"/>
          <w:highlight w:val="none"/>
          <w:lang w:val="en-US" w:eastAsia="zh-CN"/>
        </w:rPr>
        <w:t>高效完成土壤</w:t>
      </w:r>
      <w:r>
        <w:rPr>
          <w:rFonts w:hint="default" w:ascii="Times New Roman" w:hAnsi="Times New Roman" w:eastAsia="仿宋_GB2312" w:cs="Times New Roman"/>
          <w:sz w:val="32"/>
          <w:szCs w:val="32"/>
          <w:highlight w:val="none"/>
        </w:rPr>
        <w:t>外业调查采样的内业测试化验</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农户施肥调查、科学施肥增效方面</w:t>
      </w:r>
      <w:r>
        <w:rPr>
          <w:rFonts w:hint="default" w:ascii="Times New Roman" w:hAnsi="Times New Roman" w:eastAsia="仿宋_GB2312" w:cs="Times New Roman"/>
          <w:sz w:val="32"/>
          <w:szCs w:val="32"/>
          <w:highlight w:val="none"/>
        </w:rPr>
        <w:t>取得了显著的成效，如850个点位的外业调查采样的内业测试化验</w:t>
      </w:r>
      <w:r>
        <w:rPr>
          <w:rFonts w:hint="default" w:ascii="Times New Roman" w:hAnsi="Times New Roman" w:eastAsia="仿宋_GB2312" w:cs="Times New Roman"/>
          <w:sz w:val="32"/>
          <w:szCs w:val="32"/>
          <w:highlight w:val="none"/>
          <w:lang w:val="en-US" w:eastAsia="zh-CN"/>
        </w:rPr>
        <w:t>数据精准</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val="en-US" w:eastAsia="zh-CN"/>
        </w:rPr>
        <w:t>完成了</w:t>
      </w:r>
      <w:r>
        <w:rPr>
          <w:rFonts w:hint="default" w:ascii="Times New Roman" w:hAnsi="Times New Roman" w:eastAsia="仿宋_GB2312" w:cs="Times New Roman"/>
          <w:sz w:val="32"/>
          <w:szCs w:val="32"/>
          <w:highlight w:val="none"/>
        </w:rPr>
        <w:t>185户农户施肥调查</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全市</w:t>
      </w:r>
      <w:r>
        <w:rPr>
          <w:rFonts w:hint="default" w:ascii="Times New Roman" w:hAnsi="Times New Roman" w:eastAsia="仿宋_GB2312" w:cs="Times New Roman"/>
          <w:sz w:val="32"/>
          <w:szCs w:val="32"/>
          <w:highlight w:val="none"/>
        </w:rPr>
        <w:t>11个乡镇</w:t>
      </w:r>
      <w:r>
        <w:rPr>
          <w:rFonts w:hint="default" w:ascii="Times New Roman" w:hAnsi="Times New Roman" w:eastAsia="仿宋_GB2312" w:cs="Times New Roman"/>
          <w:sz w:val="32"/>
          <w:szCs w:val="32"/>
          <w:highlight w:val="none"/>
          <w:lang w:val="en-US" w:eastAsia="zh-CN"/>
        </w:rPr>
        <w:t>有效</w:t>
      </w:r>
      <w:r>
        <w:rPr>
          <w:rFonts w:hint="default" w:ascii="Times New Roman" w:hAnsi="Times New Roman" w:eastAsia="仿宋_GB2312" w:cs="Times New Roman"/>
          <w:sz w:val="32"/>
          <w:szCs w:val="32"/>
          <w:highlight w:val="none"/>
        </w:rPr>
        <w:t>实现</w:t>
      </w:r>
      <w:r>
        <w:rPr>
          <w:rFonts w:hint="default" w:ascii="Times New Roman" w:hAnsi="Times New Roman" w:eastAsia="仿宋_GB2312" w:cs="Times New Roman"/>
          <w:sz w:val="32"/>
          <w:szCs w:val="32"/>
          <w:highlight w:val="none"/>
          <w:lang w:eastAsia="zh-CN"/>
        </w:rPr>
        <w:t>了</w:t>
      </w:r>
      <w:r>
        <w:rPr>
          <w:rFonts w:hint="default" w:ascii="Times New Roman" w:hAnsi="Times New Roman" w:eastAsia="仿宋_GB2312" w:cs="Times New Roman"/>
          <w:sz w:val="32"/>
          <w:szCs w:val="32"/>
          <w:highlight w:val="none"/>
        </w:rPr>
        <w:t>科学施肥增效等。</w:t>
      </w:r>
    </w:p>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default" w:ascii="Times New Roman" w:hAnsi="Times New Roman" w:eastAsia="仿宋_GB2312" w:cs="Times New Roman"/>
          <w:sz w:val="32"/>
          <w:szCs w:val="32"/>
          <w:highlight w:val="none"/>
          <w:lang w:val="en-US" w:eastAsia="zh-CN"/>
        </w:rPr>
        <w:t>库尔勒市农业技术推广中心</w:t>
      </w:r>
      <w:r>
        <w:rPr>
          <w:rFonts w:hint="default" w:ascii="Times New Roman" w:hAnsi="Times New Roman" w:eastAsia="仿宋_GB2312" w:cs="Times New Roman"/>
          <w:sz w:val="32"/>
          <w:szCs w:val="32"/>
          <w:highlight w:val="none"/>
        </w:rPr>
        <w:t>通过有效的规划、组织与协调，项目得以顺利实施，并在</w:t>
      </w:r>
      <w:r>
        <w:rPr>
          <w:rFonts w:hint="eastAsia" w:eastAsia="仿宋_GB2312" w:cs="Times New Roman"/>
          <w:sz w:val="32"/>
          <w:szCs w:val="32"/>
          <w:highlight w:val="none"/>
          <w:lang w:val="en-US" w:eastAsia="zh-CN"/>
        </w:rPr>
        <w:t>项目</w:t>
      </w:r>
      <w:r>
        <w:rPr>
          <w:rFonts w:hint="default" w:ascii="Times New Roman" w:hAnsi="Times New Roman" w:eastAsia="仿宋_GB2312" w:cs="Times New Roman"/>
          <w:sz w:val="32"/>
          <w:szCs w:val="32"/>
          <w:highlight w:val="none"/>
        </w:rPr>
        <w:t>预算与时间上保持了良好的控制。</w:t>
      </w:r>
    </w:p>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从项目效益的角度来看，本项目实现了预期的社会效益产生了积极的影响。具体而言，</w:t>
      </w:r>
      <w:r>
        <w:rPr>
          <w:rFonts w:hint="default" w:ascii="Times New Roman" w:hAnsi="Times New Roman" w:eastAsia="仿宋_GB2312" w:cs="Times New Roman"/>
          <w:sz w:val="32"/>
          <w:szCs w:val="32"/>
          <w:highlight w:val="none"/>
          <w:lang w:val="en-US" w:eastAsia="zh-CN"/>
        </w:rPr>
        <w:t>耕地质量提升，农户施肥水平</w:t>
      </w:r>
      <w:r>
        <w:rPr>
          <w:rFonts w:hint="default" w:ascii="Times New Roman" w:hAnsi="Times New Roman" w:eastAsia="仿宋_GB2312" w:cs="Times New Roman"/>
          <w:sz w:val="32"/>
          <w:szCs w:val="32"/>
          <w:highlight w:val="none"/>
        </w:rPr>
        <w:t>等方面的提升，为项目的利益相关者带来了实实在在的利益。</w:t>
      </w:r>
    </w:p>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default" w:ascii="Times New Roman" w:hAnsi="Times New Roman" w:eastAsia="仿宋_GB2312" w:cs="Times New Roman"/>
          <w:sz w:val="32"/>
          <w:szCs w:val="32"/>
          <w:highlight w:val="none"/>
          <w:lang w:val="en-US" w:eastAsia="zh-CN"/>
        </w:rPr>
        <w:t>巴财农【2024】13号关于下达</w:t>
      </w:r>
      <w:r>
        <w:rPr>
          <w:rFonts w:hint="default" w:ascii="Times New Roman" w:hAnsi="Times New Roman" w:eastAsia="仿宋_GB2312" w:cs="Times New Roman"/>
          <w:kern w:val="0"/>
          <w:sz w:val="32"/>
          <w:szCs w:val="32"/>
          <w:highlight w:val="none"/>
          <w:lang w:val="en-US" w:eastAsia="zh-CN"/>
        </w:rPr>
        <w:t>2024年中央耕地建设与利用资金预算的通知582.4万（化肥减量7.4万、三次土壤普查75万）项目</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pPr>
        <w:pStyle w:val="11"/>
        <w:keepNext w:val="0"/>
        <w:keepLines w:val="0"/>
        <w:pageBreakBefore w:val="0"/>
        <w:widowControl/>
        <w:kinsoku/>
        <w:wordWrap/>
        <w:overflowPunct/>
        <w:topLinePunct w:val="0"/>
        <w:autoSpaceDE/>
        <w:autoSpaceDN/>
        <w:bidi w:val="0"/>
        <w:adjustRightInd/>
        <w:snapToGrid/>
        <w:spacing w:before="0" w:after="0" w:line="240" w:lineRule="auto"/>
        <w:ind w:left="0" w:leftChars="0"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p>
    <w:p>
      <w:pPr>
        <w:pStyle w:val="11"/>
        <w:pageBreakBefore w:val="0"/>
        <w:widowControl w:val="0"/>
        <w:kinsoku/>
        <w:wordWrap/>
        <w:overflowPunct/>
        <w:topLinePunct w:val="0"/>
        <w:autoSpaceDE/>
        <w:autoSpaceDN/>
        <w:bidi w:val="0"/>
        <w:adjustRightInd/>
        <w:snapToGrid/>
        <w:spacing w:before="0" w:after="0" w:line="240" w:lineRule="auto"/>
        <w:ind w:left="0" w:leftChars="0"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default"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分，属于“优”。其中，项目决策类指标权重为20分，得分为</w:t>
      </w:r>
      <w:r>
        <w:rPr>
          <w:rFonts w:hint="default"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default"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default"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default"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default"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分，得分率为</w:t>
      </w:r>
      <w:r>
        <w:rPr>
          <w:rFonts w:hint="default"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default"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default"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pPr>
        <w:pStyle w:val="11"/>
        <w:keepNext w:val="0"/>
        <w:keepLines w:val="0"/>
        <w:pageBreakBefore w:val="0"/>
        <w:widowControl/>
        <w:kinsoku/>
        <w:wordWrap/>
        <w:overflowPunct/>
        <w:topLinePunct w:val="0"/>
        <w:autoSpaceDE/>
        <w:autoSpaceDN/>
        <w:bidi w:val="0"/>
        <w:adjustRightInd/>
        <w:snapToGrid/>
        <w:spacing w:before="0" w:after="0" w:line="240" w:lineRule="auto"/>
        <w:ind w:left="0" w:leftChars="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5"/>
        <w:tblW w:w="4998" w:type="pct"/>
        <w:jc w:val="center"/>
        <w:tblLayout w:type="autofit"/>
        <w:tblCellMar>
          <w:top w:w="0" w:type="dxa"/>
          <w:left w:w="108" w:type="dxa"/>
          <w:bottom w:w="0" w:type="dxa"/>
          <w:right w:w="108" w:type="dxa"/>
        </w:tblCellMar>
      </w:tblPr>
      <w:tblGrid>
        <w:gridCol w:w="2787"/>
        <w:gridCol w:w="1927"/>
        <w:gridCol w:w="2023"/>
        <w:gridCol w:w="2023"/>
      </w:tblGrid>
      <w:tr>
        <w:tblPrEx>
          <w:tblCellMar>
            <w:top w:w="0" w:type="dxa"/>
            <w:left w:w="108" w:type="dxa"/>
            <w:bottom w:w="0" w:type="dxa"/>
            <w:right w:w="108" w:type="dxa"/>
          </w:tblCellMar>
        </w:tblPrEx>
        <w:trPr>
          <w:trHeight w:val="90" w:hRule="atLeast"/>
          <w:tblHeader/>
          <w:jc w:val="center"/>
        </w:trPr>
        <w:tc>
          <w:tcPr>
            <w:tcW w:w="1590" w:type="pct"/>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1099" w:type="pct"/>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1154" w:type="pct"/>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c>
          <w:tcPr>
            <w:tcW w:w="1154" w:type="pct"/>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得分率</w:t>
            </w:r>
          </w:p>
        </w:tc>
      </w:tr>
      <w:tr>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1099" w:type="pct"/>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100%</w:t>
            </w:r>
          </w:p>
        </w:tc>
      </w:tr>
      <w:tr>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1099" w:type="pct"/>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lang w:val="en-US" w:eastAsia="zh-CN"/>
              </w:rPr>
              <w:t>100%</w:t>
            </w:r>
          </w:p>
        </w:tc>
      </w:tr>
      <w:tr>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1099" w:type="pct"/>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1154" w:type="pct"/>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1154" w:type="pct"/>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lang w:val="en-US" w:eastAsia="zh-CN"/>
              </w:rPr>
              <w:t>100%</w:t>
            </w:r>
          </w:p>
        </w:tc>
      </w:tr>
      <w:tr>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1099" w:type="pct"/>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lang w:val="en-US" w:eastAsia="zh-CN"/>
              </w:rPr>
              <w:t>100%</w:t>
            </w:r>
          </w:p>
        </w:tc>
      </w:tr>
      <w:tr>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1099" w:type="pct"/>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1154" w:type="pct"/>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1154" w:type="pct"/>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color w:val="000000"/>
                <w:sz w:val="21"/>
                <w:szCs w:val="21"/>
                <w:highlight w:val="none"/>
                <w:lang w:val="en-US" w:eastAsia="zh-CN"/>
              </w:rPr>
              <w:t>100%</w:t>
            </w:r>
          </w:p>
        </w:tc>
      </w:tr>
    </w:tbl>
    <w:p>
      <w:pPr>
        <w:pageBreakBefore w:val="0"/>
        <w:kinsoku/>
        <w:wordWrap/>
        <w:overflowPunct/>
        <w:topLinePunct w:val="0"/>
        <w:autoSpaceDE/>
        <w:autoSpaceDN/>
        <w:bidi w:val="0"/>
        <w:adjustRightInd/>
        <w:snapToGrid/>
        <w:spacing w:line="240" w:lineRule="auto"/>
        <w:ind w:left="0" w:leftChars="0"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pPr>
        <w:pStyle w:val="11"/>
        <w:pageBreakBefore w:val="0"/>
        <w:kinsoku/>
        <w:wordWrap/>
        <w:overflowPunct/>
        <w:topLinePunct w:val="0"/>
        <w:autoSpaceDE/>
        <w:autoSpaceDN/>
        <w:bidi w:val="0"/>
        <w:adjustRightInd/>
        <w:snapToGrid/>
        <w:spacing w:before="0" w:after="0" w:line="240" w:lineRule="auto"/>
        <w:ind w:left="0" w:leftChars="0" w:firstLine="643" w:firstLineChars="200"/>
        <w:jc w:val="both"/>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（一）项目决策情况</w:t>
      </w:r>
    </w:p>
    <w:p>
      <w:pPr>
        <w:pageBreakBefore w:val="0"/>
        <w:shd w:val="clear"/>
        <w:kinsoku/>
        <w:wordWrap/>
        <w:overflowPunct/>
        <w:topLinePunct w:val="0"/>
        <w:autoSpaceDE/>
        <w:autoSpaceDN/>
        <w:bidi w:val="0"/>
        <w:adjustRightInd/>
        <w:snapToGrid/>
        <w:spacing w:line="240" w:lineRule="auto"/>
        <w:ind w:left="0" w:leftChars="0"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项目决策类指标包括项目立项、绩效目标和资金投入三方面的内容，由6个三级指标构成，权重分值为20分，实际得分20分，得分率为100%。</w:t>
      </w:r>
    </w:p>
    <w:p>
      <w:pPr>
        <w:pStyle w:val="20"/>
        <w:keepNext w:val="0"/>
        <w:keepLines w:val="0"/>
        <w:pageBreakBefore w:val="0"/>
        <w:widowControl w:val="0"/>
        <w:shd w:val="clear"/>
        <w:kinsoku/>
        <w:wordWrap/>
        <w:overflowPunct/>
        <w:topLinePunct w:val="0"/>
        <w:autoSpaceDE/>
        <w:autoSpaceDN/>
        <w:bidi w:val="0"/>
        <w:adjustRightInd/>
        <w:snapToGrid/>
        <w:spacing w:line="240" w:lineRule="auto"/>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pPr>
        <w:pageBreakBefore w:val="0"/>
        <w:shd w:val="clear"/>
        <w:kinsoku/>
        <w:wordWrap/>
        <w:overflowPunct/>
        <w:topLinePunct w:val="0"/>
        <w:autoSpaceDE/>
        <w:autoSpaceDN/>
        <w:bidi w:val="0"/>
        <w:adjustRightInd/>
        <w:snapToGrid/>
        <w:spacing w:line="240" w:lineRule="auto"/>
        <w:ind w:left="0" w:leftChars="0"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（1）立项依据充分性</w:t>
      </w:r>
    </w:p>
    <w:p>
      <w:pPr>
        <w:pageBreakBefore w:val="0"/>
        <w:shd w:val="clear"/>
        <w:kinsoku/>
        <w:wordWrap/>
        <w:overflowPunct/>
        <w:topLinePunct w:val="0"/>
        <w:autoSpaceDE/>
        <w:autoSpaceDN/>
        <w:bidi w:val="0"/>
        <w:adjustRightInd/>
        <w:snapToGrid/>
        <w:spacing w:line="240" w:lineRule="auto"/>
        <w:ind w:left="0" w:leftChars="0"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该项目立项符合</w:t>
      </w:r>
      <w:r>
        <w:rPr>
          <w:rFonts w:hint="default" w:ascii="Times New Roman" w:hAnsi="Times New Roman" w:eastAsia="方正仿宋_GBK" w:cs="Times New Roman"/>
          <w:sz w:val="32"/>
          <w:szCs w:val="32"/>
          <w:highlight w:val="none"/>
          <w:lang w:val="en-US" w:eastAsia="zh-CN"/>
        </w:rPr>
        <w:t>《自治区到2025年化肥减量化行动推进落实方案》，</w:t>
      </w:r>
      <w:r>
        <w:rPr>
          <w:rFonts w:hint="default" w:ascii="Times New Roman" w:hAnsi="Times New Roman" w:eastAsia="仿宋_GB2312" w:cs="Times New Roman"/>
          <w:sz w:val="32"/>
          <w:szCs w:val="32"/>
          <w:highlight w:val="none"/>
          <w:lang w:val="en-US" w:eastAsia="zh-CN"/>
        </w:rPr>
        <w:t>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default"/>
          <w:lang w:val="en-US" w:eastAsia="zh-CN"/>
        </w:rPr>
      </w:pPr>
      <w:r>
        <w:rPr>
          <w:rFonts w:hint="eastAsia" w:eastAsia="仿宋_GB2312" w:cs="Times New Roman"/>
          <w:sz w:val="32"/>
          <w:szCs w:val="32"/>
          <w:lang w:val="en-US" w:eastAsia="zh-CN"/>
        </w:rPr>
        <w:t>此项权重分值为3分，得分为3分。</w:t>
      </w:r>
    </w:p>
    <w:p>
      <w:pPr>
        <w:pageBreakBefore w:val="0"/>
        <w:shd w:val="clear"/>
        <w:kinsoku/>
        <w:wordWrap/>
        <w:overflowPunct/>
        <w:topLinePunct w:val="0"/>
        <w:autoSpaceDE/>
        <w:autoSpaceDN/>
        <w:bidi w:val="0"/>
        <w:adjustRightInd/>
        <w:snapToGrid/>
        <w:spacing w:line="240" w:lineRule="auto"/>
        <w:ind w:left="0" w:leftChars="0"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（2）立项程序规范性</w:t>
      </w:r>
    </w:p>
    <w:p>
      <w:pPr>
        <w:pageBreakBefore w:val="0"/>
        <w:shd w:val="clear"/>
        <w:kinsoku/>
        <w:wordWrap/>
        <w:overflowPunct/>
        <w:topLinePunct w:val="0"/>
        <w:autoSpaceDE/>
        <w:autoSpaceDN/>
        <w:bidi w:val="0"/>
        <w:adjustRightInd/>
        <w:snapToGrid/>
        <w:spacing w:line="240" w:lineRule="auto"/>
        <w:ind w:left="0" w:leftChars="0"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项目申请、设立过程符合相关要求，</w:t>
      </w:r>
      <w:r>
        <w:rPr>
          <w:rFonts w:hint="default" w:ascii="Times New Roman" w:hAnsi="Times New Roman" w:eastAsia="仿宋_GB2312" w:cs="Times New Roman"/>
          <w:sz w:val="32"/>
          <w:szCs w:val="32"/>
          <w:highlight w:val="none"/>
          <w:lang w:eastAsia="zh-Hans"/>
        </w:rPr>
        <w:t>严格按照审批流程准备符合要求的文件、材料；</w:t>
      </w:r>
      <w:r>
        <w:rPr>
          <w:rFonts w:hint="default" w:ascii="Times New Roman" w:hAnsi="Times New Roman" w:eastAsia="仿宋_GB2312" w:cs="Times New Roman"/>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绩效评估、集体决策，保障了程序的规范性。</w:t>
      </w:r>
    </w:p>
    <w:p>
      <w:pPr>
        <w:shd w:val="clear"/>
        <w:spacing w:line="600" w:lineRule="exact"/>
        <w:ind w:firstLine="640" w:firstLineChars="200"/>
        <w:outlineLvl w:val="0"/>
        <w:rPr>
          <w:rFonts w:hint="default"/>
          <w:lang w:val="en-US" w:eastAsia="zh-CN"/>
        </w:rPr>
      </w:pPr>
      <w:r>
        <w:rPr>
          <w:rFonts w:hint="eastAsia" w:eastAsia="仿宋_GB2312" w:cs="Times New Roman"/>
          <w:sz w:val="32"/>
          <w:szCs w:val="32"/>
          <w:lang w:val="en-US" w:eastAsia="zh-CN"/>
        </w:rPr>
        <w:t>此项权重分值为3分，得分为3分。</w:t>
      </w:r>
    </w:p>
    <w:p>
      <w:pPr>
        <w:pStyle w:val="20"/>
        <w:keepNext w:val="0"/>
        <w:keepLines w:val="0"/>
        <w:pageBreakBefore w:val="0"/>
        <w:widowControl w:val="0"/>
        <w:shd w:val="clear"/>
        <w:kinsoku/>
        <w:wordWrap/>
        <w:overflowPunct/>
        <w:topLinePunct w:val="0"/>
        <w:autoSpaceDE/>
        <w:autoSpaceDN/>
        <w:bidi w:val="0"/>
        <w:adjustRightInd/>
        <w:snapToGrid/>
        <w:spacing w:line="240" w:lineRule="auto"/>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pPr>
        <w:pageBreakBefore w:val="0"/>
        <w:shd w:val="clear"/>
        <w:kinsoku/>
        <w:wordWrap/>
        <w:overflowPunct/>
        <w:topLinePunct w:val="0"/>
        <w:autoSpaceDE/>
        <w:autoSpaceDN/>
        <w:bidi w:val="0"/>
        <w:adjustRightInd/>
        <w:snapToGrid/>
        <w:spacing w:line="240" w:lineRule="auto"/>
        <w:ind w:left="0" w:leftChars="0"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（1）绩效目标合理性</w:t>
      </w:r>
    </w:p>
    <w:p>
      <w:pPr>
        <w:pageBreakBefore w:val="0"/>
        <w:shd w:val="clear"/>
        <w:kinsoku/>
        <w:wordWrap/>
        <w:overflowPunct/>
        <w:topLinePunct w:val="0"/>
        <w:autoSpaceDE/>
        <w:autoSpaceDN/>
        <w:bidi w:val="0"/>
        <w:adjustRightInd/>
        <w:snapToGrid/>
        <w:spacing w:line="240" w:lineRule="auto"/>
        <w:ind w:left="0" w:leftChars="0"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Hans"/>
        </w:rPr>
        <w:t>年初结合实际工作内容</w:t>
      </w:r>
      <w:r>
        <w:rPr>
          <w:rFonts w:hint="default" w:ascii="Times New Roman" w:hAnsi="Times New Roman" w:eastAsia="仿宋_GB2312" w:cs="Times New Roman"/>
          <w:sz w:val="32"/>
          <w:szCs w:val="32"/>
          <w:highlight w:val="none"/>
          <w:lang w:val="en-US" w:eastAsia="zh-CN"/>
        </w:rPr>
        <w:t>设定绩效目标</w:t>
      </w:r>
      <w:r>
        <w:rPr>
          <w:rFonts w:hint="default" w:ascii="Times New Roman" w:hAnsi="Times New Roman" w:eastAsia="仿宋_GB2312" w:cs="Times New Roman"/>
          <w:sz w:val="32"/>
          <w:szCs w:val="32"/>
          <w:highlight w:val="none"/>
          <w:lang w:val="en-US" w:eastAsia="zh-Hans"/>
        </w:rPr>
        <w:t>，绩效目标</w:t>
      </w:r>
      <w:r>
        <w:rPr>
          <w:rFonts w:hint="default" w:ascii="Times New Roman" w:hAnsi="Times New Roman" w:eastAsia="仿宋_GB2312" w:cs="Times New Roman"/>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lang w:val="en-US" w:eastAsia="zh-CN"/>
        </w:rPr>
      </w:pPr>
      <w:r>
        <w:rPr>
          <w:rFonts w:hint="eastAsia" w:eastAsia="仿宋_GB2312" w:cs="Times New Roman"/>
          <w:sz w:val="32"/>
          <w:szCs w:val="32"/>
          <w:lang w:val="en-US" w:eastAsia="zh-CN"/>
        </w:rPr>
        <w:t>此项权重分值为3分，得分为3分。</w:t>
      </w:r>
    </w:p>
    <w:p>
      <w:pPr>
        <w:pageBreakBefore w:val="0"/>
        <w:shd w:val="clear"/>
        <w:kinsoku/>
        <w:wordWrap/>
        <w:overflowPunct/>
        <w:topLinePunct w:val="0"/>
        <w:autoSpaceDE/>
        <w:autoSpaceDN/>
        <w:bidi w:val="0"/>
        <w:adjustRightInd/>
        <w:snapToGrid/>
        <w:spacing w:line="240" w:lineRule="auto"/>
        <w:ind w:left="0" w:leftChars="0"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（2）绩效指标明确性</w:t>
      </w:r>
    </w:p>
    <w:p>
      <w:pPr>
        <w:pageBreakBefore w:val="0"/>
        <w:shd w:val="clear"/>
        <w:kinsoku/>
        <w:wordWrap/>
        <w:overflowPunct/>
        <w:topLinePunct w:val="0"/>
        <w:autoSpaceDE/>
        <w:autoSpaceDN/>
        <w:bidi w:val="0"/>
        <w:adjustRightInd/>
        <w:snapToGrid/>
        <w:spacing w:line="240" w:lineRule="auto"/>
        <w:ind w:left="0" w:leftChars="0"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pPr>
        <w:shd w:val="clear"/>
        <w:spacing w:line="600" w:lineRule="exact"/>
        <w:ind w:firstLine="640" w:firstLineChars="200"/>
        <w:outlineLvl w:val="0"/>
        <w:rPr>
          <w:rFonts w:hint="default"/>
          <w:lang w:val="en-US" w:eastAsia="zh-CN"/>
        </w:rPr>
      </w:pPr>
      <w:r>
        <w:rPr>
          <w:rFonts w:hint="eastAsia" w:eastAsia="仿宋_GB2312" w:cs="Times New Roman"/>
          <w:sz w:val="32"/>
          <w:szCs w:val="32"/>
          <w:lang w:val="en-US" w:eastAsia="zh-CN"/>
        </w:rPr>
        <w:t>此项权重分值为3分，得分为3分。</w:t>
      </w:r>
    </w:p>
    <w:p>
      <w:pPr>
        <w:pStyle w:val="20"/>
        <w:keepNext w:val="0"/>
        <w:keepLines w:val="0"/>
        <w:pageBreakBefore w:val="0"/>
        <w:widowControl w:val="0"/>
        <w:shd w:val="clear"/>
        <w:kinsoku/>
        <w:wordWrap/>
        <w:overflowPunct/>
        <w:topLinePunct w:val="0"/>
        <w:autoSpaceDE/>
        <w:autoSpaceDN/>
        <w:bidi w:val="0"/>
        <w:adjustRightInd/>
        <w:snapToGrid/>
        <w:spacing w:line="240" w:lineRule="auto"/>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3.资金投入</w:t>
      </w:r>
    </w:p>
    <w:p>
      <w:pPr>
        <w:pageBreakBefore w:val="0"/>
        <w:shd w:val="clear"/>
        <w:kinsoku/>
        <w:wordWrap/>
        <w:overflowPunct/>
        <w:topLinePunct w:val="0"/>
        <w:autoSpaceDE/>
        <w:autoSpaceDN/>
        <w:bidi w:val="0"/>
        <w:adjustRightInd/>
        <w:snapToGrid/>
        <w:spacing w:line="240" w:lineRule="auto"/>
        <w:ind w:left="0" w:leftChars="0"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pageBreakBefore w:val="0"/>
        <w:shd w:val="clear"/>
        <w:kinsoku/>
        <w:wordWrap/>
        <w:overflowPunct/>
        <w:topLinePunct w:val="0"/>
        <w:autoSpaceDE/>
        <w:autoSpaceDN/>
        <w:bidi w:val="0"/>
        <w:adjustRightInd/>
        <w:snapToGrid/>
        <w:spacing w:line="240" w:lineRule="auto"/>
        <w:ind w:left="0" w:leftChars="0"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spacing w:line="600" w:lineRule="exact"/>
        <w:ind w:firstLine="640" w:firstLineChars="200"/>
        <w:outlineLvl w:val="0"/>
        <w:rPr>
          <w:rFonts w:hint="default"/>
          <w:lang w:eastAsia="zh-CN"/>
        </w:rPr>
      </w:pPr>
      <w:r>
        <w:rPr>
          <w:rFonts w:hint="eastAsia" w:eastAsia="仿宋_GB2312" w:cs="Times New Roman"/>
          <w:sz w:val="32"/>
          <w:szCs w:val="32"/>
          <w:lang w:val="en-US" w:eastAsia="zh-CN"/>
        </w:rPr>
        <w:t>此项权重分值为4分，得分为4分。</w:t>
      </w:r>
    </w:p>
    <w:p>
      <w:pPr>
        <w:pageBreakBefore w:val="0"/>
        <w:shd w:val="clear"/>
        <w:kinsoku/>
        <w:wordWrap/>
        <w:overflowPunct/>
        <w:topLinePunct w:val="0"/>
        <w:autoSpaceDE/>
        <w:autoSpaceDN/>
        <w:bidi w:val="0"/>
        <w:adjustRightInd/>
        <w:snapToGrid/>
        <w:spacing w:line="240" w:lineRule="auto"/>
        <w:ind w:left="0" w:leftChars="0"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shd w:val="clear"/>
        <w:spacing w:line="600" w:lineRule="exact"/>
        <w:ind w:firstLine="640" w:firstLineChars="200"/>
        <w:outlineLvl w:val="0"/>
        <w:rPr>
          <w:rFonts w:hint="default"/>
          <w:lang w:eastAsia="zh-CN"/>
        </w:rPr>
      </w:pPr>
      <w:r>
        <w:rPr>
          <w:rFonts w:hint="eastAsia" w:eastAsia="仿宋_GB2312" w:cs="Times New Roman"/>
          <w:sz w:val="32"/>
          <w:szCs w:val="32"/>
          <w:lang w:val="en-US" w:eastAsia="zh-CN"/>
        </w:rPr>
        <w:t>此项权重分值为4分，得分为4分。</w:t>
      </w:r>
    </w:p>
    <w:p>
      <w:pPr>
        <w:pStyle w:val="11"/>
        <w:pageBreakBefore w:val="0"/>
        <w:numPr>
          <w:ilvl w:val="0"/>
          <w:numId w:val="5"/>
        </w:numPr>
        <w:kinsoku/>
        <w:wordWrap/>
        <w:overflowPunct/>
        <w:topLinePunct w:val="0"/>
        <w:autoSpaceDE/>
        <w:autoSpaceDN/>
        <w:bidi w:val="0"/>
        <w:adjustRightInd/>
        <w:snapToGrid/>
        <w:spacing w:before="0" w:after="0" w:line="240" w:lineRule="auto"/>
        <w:ind w:left="0" w:leftChars="0" w:firstLine="643" w:firstLineChars="200"/>
        <w:jc w:val="both"/>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pPr>
        <w:pageBreakBefore w:val="0"/>
        <w:shd w:val="clear"/>
        <w:kinsoku/>
        <w:wordWrap/>
        <w:overflowPunct/>
        <w:topLinePunct w:val="0"/>
        <w:autoSpaceDE/>
        <w:autoSpaceDN/>
        <w:bidi w:val="0"/>
        <w:adjustRightInd/>
        <w:snapToGrid/>
        <w:spacing w:line="240" w:lineRule="auto"/>
        <w:ind w:left="0" w:leftChars="0"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项目过程类指标包括资金管理和组织实施两方面的内容，由5个三级指标构成，权重分值为20分，实际得分20分，得分率为100%。</w:t>
      </w:r>
    </w:p>
    <w:p>
      <w:pPr>
        <w:pStyle w:val="20"/>
        <w:keepNext w:val="0"/>
        <w:keepLines w:val="0"/>
        <w:pageBreakBefore w:val="0"/>
        <w:widowControl w:val="0"/>
        <w:shd w:val="clear"/>
        <w:kinsoku/>
        <w:wordWrap/>
        <w:overflowPunct/>
        <w:topLinePunct w:val="0"/>
        <w:autoSpaceDE/>
        <w:autoSpaceDN/>
        <w:bidi w:val="0"/>
        <w:adjustRightInd/>
        <w:snapToGrid/>
        <w:spacing w:line="240" w:lineRule="auto"/>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pPr>
        <w:pageBreakBefore w:val="0"/>
        <w:shd w:val="clear"/>
        <w:kinsoku/>
        <w:wordWrap/>
        <w:overflowPunct/>
        <w:topLinePunct w:val="0"/>
        <w:autoSpaceDE/>
        <w:autoSpaceDN/>
        <w:bidi w:val="0"/>
        <w:adjustRightInd/>
        <w:snapToGrid/>
        <w:spacing w:line="240" w:lineRule="auto"/>
        <w:ind w:left="0" w:leftChars="0"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pPr>
        <w:pageBreakBefore w:val="0"/>
        <w:shd w:val="clear"/>
        <w:kinsoku/>
        <w:wordWrap/>
        <w:overflowPunct/>
        <w:topLinePunct w:val="0"/>
        <w:autoSpaceDE/>
        <w:autoSpaceDN/>
        <w:bidi w:val="0"/>
        <w:adjustRightInd/>
        <w:snapToGrid/>
        <w:spacing w:line="240" w:lineRule="auto"/>
        <w:ind w:left="0" w:leftChars="0"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本项目总投资82.4万元，财政资金及时足额到位，到位率100%，预算资金按计划进度执行。</w:t>
      </w:r>
    </w:p>
    <w:p>
      <w:pPr>
        <w:shd w:val="clear"/>
        <w:spacing w:line="600" w:lineRule="exact"/>
        <w:ind w:firstLine="640" w:firstLineChars="200"/>
        <w:outlineLvl w:val="0"/>
        <w:rPr>
          <w:rFonts w:hint="default"/>
          <w:b/>
          <w:bCs/>
          <w:lang w:val="en-US" w:eastAsia="zh-CN"/>
        </w:rPr>
      </w:pPr>
      <w:r>
        <w:rPr>
          <w:rFonts w:hint="eastAsia" w:eastAsia="仿宋_GB2312" w:cs="Times New Roman"/>
          <w:sz w:val="32"/>
          <w:szCs w:val="32"/>
          <w:lang w:val="en-US" w:eastAsia="zh-CN"/>
        </w:rPr>
        <w:t>此项权重分值为4分，得分为4分。</w:t>
      </w:r>
    </w:p>
    <w:p>
      <w:pPr>
        <w:pageBreakBefore w:val="0"/>
        <w:shd w:val="clear"/>
        <w:kinsoku/>
        <w:wordWrap/>
        <w:overflowPunct/>
        <w:topLinePunct w:val="0"/>
        <w:autoSpaceDE/>
        <w:autoSpaceDN/>
        <w:bidi w:val="0"/>
        <w:adjustRightInd/>
        <w:snapToGrid/>
        <w:spacing w:line="240" w:lineRule="auto"/>
        <w:ind w:left="0" w:leftChars="0"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pageBreakBefore w:val="0"/>
        <w:shd w:val="clear"/>
        <w:kinsoku/>
        <w:wordWrap/>
        <w:overflowPunct/>
        <w:topLinePunct w:val="0"/>
        <w:autoSpaceDE/>
        <w:autoSpaceDN/>
        <w:bidi w:val="0"/>
        <w:adjustRightInd/>
        <w:snapToGrid/>
        <w:spacing w:line="240" w:lineRule="auto"/>
        <w:ind w:left="0" w:leftChars="0"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预算编制较为详细，项目资金支出总体能够按照预算执行，预算资金支出82.4万元，预算执行率为100%。</w:t>
      </w:r>
    </w:p>
    <w:p>
      <w:pPr>
        <w:shd w:val="clear"/>
        <w:spacing w:line="600" w:lineRule="exact"/>
        <w:ind w:firstLine="640" w:firstLineChars="200"/>
        <w:outlineLvl w:val="0"/>
        <w:rPr>
          <w:rFonts w:hint="default"/>
          <w:lang w:eastAsia="zh-CN"/>
        </w:rPr>
      </w:pPr>
      <w:r>
        <w:rPr>
          <w:rFonts w:hint="eastAsia" w:eastAsia="仿宋_GB2312" w:cs="Times New Roman"/>
          <w:sz w:val="32"/>
          <w:szCs w:val="32"/>
          <w:lang w:val="en-US" w:eastAsia="zh-CN"/>
        </w:rPr>
        <w:t>此项权重分值为4分，得分为4分。</w:t>
      </w:r>
    </w:p>
    <w:p>
      <w:pPr>
        <w:pageBreakBefore w:val="0"/>
        <w:shd w:val="clear"/>
        <w:kinsoku/>
        <w:wordWrap/>
        <w:overflowPunct/>
        <w:topLinePunct w:val="0"/>
        <w:autoSpaceDE/>
        <w:autoSpaceDN/>
        <w:bidi w:val="0"/>
        <w:adjustRightInd/>
        <w:snapToGrid/>
        <w:spacing w:line="240" w:lineRule="auto"/>
        <w:ind w:left="0" w:leftChars="0"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shd w:val="clear"/>
        <w:spacing w:line="600" w:lineRule="exact"/>
        <w:ind w:firstLine="640" w:firstLineChars="200"/>
        <w:outlineLvl w:val="0"/>
        <w:rPr>
          <w:rFonts w:hint="default"/>
          <w:lang w:eastAsia="zh-CN"/>
        </w:rPr>
      </w:pPr>
      <w:r>
        <w:rPr>
          <w:rFonts w:hint="eastAsia" w:eastAsia="仿宋_GB2312" w:cs="Times New Roman"/>
          <w:sz w:val="32"/>
          <w:szCs w:val="32"/>
          <w:lang w:val="en-US" w:eastAsia="zh-CN"/>
        </w:rPr>
        <w:t>此项权重分值为4分，得分为4分。</w:t>
      </w:r>
    </w:p>
    <w:p>
      <w:pPr>
        <w:pStyle w:val="20"/>
        <w:keepNext w:val="0"/>
        <w:keepLines w:val="0"/>
        <w:pageBreakBefore w:val="0"/>
        <w:widowControl w:val="0"/>
        <w:shd w:val="clear"/>
        <w:kinsoku/>
        <w:wordWrap/>
        <w:overflowPunct/>
        <w:topLinePunct w:val="0"/>
        <w:autoSpaceDE/>
        <w:autoSpaceDN/>
        <w:bidi w:val="0"/>
        <w:adjustRightInd/>
        <w:snapToGrid/>
        <w:spacing w:line="240" w:lineRule="auto"/>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pPr>
        <w:pageBreakBefore w:val="0"/>
        <w:shd w:val="clear"/>
        <w:kinsoku/>
        <w:wordWrap/>
        <w:overflowPunct/>
        <w:topLinePunct w:val="0"/>
        <w:autoSpaceDE/>
        <w:autoSpaceDN/>
        <w:bidi w:val="0"/>
        <w:adjustRightInd/>
        <w:snapToGrid/>
        <w:spacing w:line="240" w:lineRule="auto"/>
        <w:ind w:left="0" w:leftChars="0"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pageBreakBefore w:val="0"/>
        <w:shd w:val="clear"/>
        <w:kinsoku/>
        <w:wordWrap/>
        <w:overflowPunct/>
        <w:topLinePunct w:val="0"/>
        <w:autoSpaceDE/>
        <w:autoSpaceDN/>
        <w:bidi w:val="0"/>
        <w:adjustRightInd/>
        <w:snapToGrid/>
        <w:spacing w:line="240" w:lineRule="auto"/>
        <w:ind w:left="0" w:leftChars="0"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lang w:eastAsia="zh-CN"/>
        </w:rPr>
      </w:pPr>
      <w:r>
        <w:rPr>
          <w:rFonts w:hint="eastAsia" w:eastAsia="仿宋_GB2312" w:cs="Times New Roman"/>
          <w:sz w:val="32"/>
          <w:szCs w:val="32"/>
          <w:lang w:val="en-US" w:eastAsia="zh-CN"/>
        </w:rPr>
        <w:t>此项权重分值为4分，得分为4分。</w:t>
      </w:r>
    </w:p>
    <w:p>
      <w:pPr>
        <w:pageBreakBefore w:val="0"/>
        <w:shd w:val="clear"/>
        <w:kinsoku/>
        <w:wordWrap/>
        <w:overflowPunct/>
        <w:topLinePunct w:val="0"/>
        <w:autoSpaceDE/>
        <w:autoSpaceDN/>
        <w:bidi w:val="0"/>
        <w:adjustRightInd/>
        <w:snapToGrid/>
        <w:spacing w:line="240" w:lineRule="auto"/>
        <w:ind w:left="0" w:leftChars="0"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综上所述，本项目的管理制度在执行过程中表现出了高度的有效性，既确保了项目的顺利进行，又实现了项目目标的有效达成。</w:t>
      </w:r>
    </w:p>
    <w:p>
      <w:pPr>
        <w:shd w:val="clear"/>
        <w:spacing w:line="600" w:lineRule="exact"/>
        <w:ind w:firstLine="640" w:firstLineChars="200"/>
        <w:outlineLvl w:val="0"/>
        <w:rPr>
          <w:rFonts w:hint="default"/>
          <w:lang w:val="en-US" w:eastAsia="zh-CN"/>
        </w:rPr>
      </w:pPr>
      <w:r>
        <w:rPr>
          <w:rFonts w:hint="eastAsia" w:eastAsia="仿宋_GB2312" w:cs="Times New Roman"/>
          <w:sz w:val="32"/>
          <w:szCs w:val="32"/>
          <w:lang w:val="en-US" w:eastAsia="zh-CN"/>
        </w:rPr>
        <w:t>此项权重分值为4分，得分为4分。</w:t>
      </w:r>
    </w:p>
    <w:p>
      <w:pPr>
        <w:pStyle w:val="13"/>
        <w:pageBreakBefore w:val="0"/>
        <w:numPr>
          <w:ilvl w:val="0"/>
          <w:numId w:val="5"/>
        </w:numPr>
        <w:kinsoku/>
        <w:wordWrap/>
        <w:overflowPunct/>
        <w:topLinePunct w:val="0"/>
        <w:autoSpaceDE/>
        <w:autoSpaceDN/>
        <w:bidi w:val="0"/>
        <w:adjustRightInd/>
        <w:snapToGrid/>
        <w:spacing w:after="0" w:line="240" w:lineRule="auto"/>
        <w:ind w:left="0" w:leftChars="0" w:firstLine="643"/>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p>
    <w:p>
      <w:pPr>
        <w:pageBreakBefore w:val="0"/>
        <w:shd w:val="clear"/>
        <w:kinsoku/>
        <w:wordWrap/>
        <w:overflowPunct/>
        <w:topLinePunct w:val="0"/>
        <w:autoSpaceDE/>
        <w:autoSpaceDN/>
        <w:bidi w:val="0"/>
        <w:adjustRightInd/>
        <w:snapToGrid/>
        <w:spacing w:line="240" w:lineRule="auto"/>
        <w:ind w:left="0" w:leftChars="0"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7</w:t>
      </w:r>
      <w:r>
        <w:rPr>
          <w:rFonts w:hint="default" w:ascii="Times New Roman" w:hAnsi="Times New Roman" w:eastAsia="仿宋_GB2312" w:cs="Times New Roman"/>
          <w:sz w:val="32"/>
          <w:szCs w:val="32"/>
          <w:highlight w:val="none"/>
          <w:lang w:val="en-US" w:eastAsia="zh-CN"/>
        </w:rPr>
        <w:t>个三级指标构成，权重分为40分，实际得分40分，得分率为100%。具体产出指标完成情况如下：</w:t>
      </w:r>
    </w:p>
    <w:p>
      <w:pPr>
        <w:pageBreakBefore w:val="0"/>
        <w:shd w:val="clear"/>
        <w:kinsoku/>
        <w:wordWrap/>
        <w:overflowPunct/>
        <w:topLinePunct w:val="0"/>
        <w:autoSpaceDE/>
        <w:autoSpaceDN/>
        <w:bidi w:val="0"/>
        <w:adjustRightInd/>
        <w:snapToGrid/>
        <w:spacing w:line="240" w:lineRule="auto"/>
        <w:ind w:left="0" w:leftChars="0"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pageBreakBefore w:val="0"/>
        <w:shd w:val="clear"/>
        <w:kinsoku/>
        <w:wordWrap/>
        <w:overflowPunct/>
        <w:topLinePunct w:val="0"/>
        <w:autoSpaceDE/>
        <w:autoSpaceDN/>
        <w:bidi w:val="0"/>
        <w:adjustRightInd/>
        <w:snapToGrid/>
        <w:spacing w:line="240" w:lineRule="auto"/>
        <w:ind w:left="0" w:leftChars="0"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指标1：外业采样点位的内业化验个数，指标值：&gt;=850个，实际完成值：</w:t>
      </w:r>
      <w:r>
        <w:rPr>
          <w:rFonts w:hint="default" w:ascii="Times New Roman" w:hAnsi="Times New Roman" w:eastAsia="仿宋_GB2312" w:cs="Times New Roman"/>
          <w:sz w:val="32"/>
          <w:szCs w:val="32"/>
          <w:highlight w:val="none"/>
          <w:lang w:val="en-US" w:eastAsia="zh-CN"/>
        </w:rPr>
        <w:t>850个</w:t>
      </w:r>
      <w:r>
        <w:rPr>
          <w:rFonts w:hint="default" w:ascii="Times New Roman" w:hAnsi="Times New Roman" w:eastAsia="仿宋_GB2312" w:cs="Times New Roman"/>
          <w:sz w:val="32"/>
          <w:szCs w:val="32"/>
          <w:highlight w:val="none"/>
        </w:rPr>
        <w:t>，指标完成率</w:t>
      </w:r>
      <w:r>
        <w:rPr>
          <w:rFonts w:hint="default"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w:t>
      </w:r>
    </w:p>
    <w:p>
      <w:pPr>
        <w:pageBreakBefore w:val="0"/>
        <w:shd w:val="clear"/>
        <w:kinsoku/>
        <w:wordWrap/>
        <w:overflowPunct/>
        <w:topLinePunct w:val="0"/>
        <w:autoSpaceDE/>
        <w:autoSpaceDN/>
        <w:bidi w:val="0"/>
        <w:adjustRightInd/>
        <w:snapToGrid/>
        <w:spacing w:line="240" w:lineRule="auto"/>
        <w:ind w:left="0" w:leftChars="0"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：田间肥料试验个数，指标值：&gt;=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个，实际完成值：</w:t>
      </w:r>
      <w:r>
        <w:rPr>
          <w:rFonts w:hint="default" w:ascii="Times New Roman" w:hAnsi="Times New Roman" w:eastAsia="仿宋_GB2312" w:cs="Times New Roman"/>
          <w:sz w:val="32"/>
          <w:szCs w:val="32"/>
          <w:highlight w:val="none"/>
          <w:lang w:val="en-US" w:eastAsia="zh-CN"/>
        </w:rPr>
        <w:t>3个</w:t>
      </w:r>
      <w:r>
        <w:rPr>
          <w:rFonts w:hint="default" w:ascii="Times New Roman" w:hAnsi="Times New Roman" w:eastAsia="仿宋_GB2312" w:cs="Times New Roman"/>
          <w:sz w:val="32"/>
          <w:szCs w:val="32"/>
          <w:highlight w:val="none"/>
        </w:rPr>
        <w:t>，指标完成率</w:t>
      </w:r>
      <w:r>
        <w:rPr>
          <w:rFonts w:hint="default"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w:t>
      </w:r>
    </w:p>
    <w:p>
      <w:pPr>
        <w:pageBreakBefore w:val="0"/>
        <w:shd w:val="clear"/>
        <w:kinsoku/>
        <w:wordWrap/>
        <w:overflowPunct/>
        <w:topLinePunct w:val="0"/>
        <w:autoSpaceDE/>
        <w:autoSpaceDN/>
        <w:bidi w:val="0"/>
        <w:adjustRightInd/>
        <w:snapToGrid/>
        <w:spacing w:line="240" w:lineRule="auto"/>
        <w:ind w:left="0" w:leftChars="0"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：农户施肥调查户数，指标值：=</w:t>
      </w:r>
      <w:r>
        <w:rPr>
          <w:rFonts w:hint="default" w:ascii="Times New Roman" w:hAnsi="Times New Roman" w:eastAsia="仿宋_GB2312" w:cs="Times New Roman"/>
          <w:sz w:val="32"/>
          <w:szCs w:val="32"/>
          <w:highlight w:val="none"/>
          <w:lang w:val="en-US" w:eastAsia="zh-CN"/>
        </w:rPr>
        <w:t>185户</w:t>
      </w:r>
      <w:r>
        <w:rPr>
          <w:rFonts w:hint="default" w:ascii="Times New Roman" w:hAnsi="Times New Roman" w:eastAsia="仿宋_GB2312" w:cs="Times New Roman"/>
          <w:sz w:val="32"/>
          <w:szCs w:val="32"/>
          <w:highlight w:val="none"/>
        </w:rPr>
        <w:t>，实际完成值：</w:t>
      </w:r>
      <w:r>
        <w:rPr>
          <w:rFonts w:hint="default" w:ascii="Times New Roman" w:hAnsi="Times New Roman" w:eastAsia="仿宋_GB2312" w:cs="Times New Roman"/>
          <w:sz w:val="32"/>
          <w:szCs w:val="32"/>
          <w:highlight w:val="none"/>
          <w:lang w:val="en-US" w:eastAsia="zh-CN"/>
        </w:rPr>
        <w:t>185户</w:t>
      </w:r>
      <w:r>
        <w:rPr>
          <w:rFonts w:hint="default" w:ascii="Times New Roman" w:hAnsi="Times New Roman" w:eastAsia="仿宋_GB2312" w:cs="Times New Roman"/>
          <w:sz w:val="32"/>
          <w:szCs w:val="32"/>
          <w:highlight w:val="none"/>
        </w:rPr>
        <w:t>，指标完成率</w:t>
      </w:r>
      <w:r>
        <w:rPr>
          <w:rFonts w:hint="default"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lang w:eastAsia="zh-CN"/>
        </w:rPr>
      </w:pPr>
      <w:r>
        <w:rPr>
          <w:rFonts w:hint="eastAsia" w:eastAsia="仿宋_GB2312" w:cs="Times New Roman"/>
          <w:sz w:val="32"/>
          <w:szCs w:val="32"/>
          <w:lang w:val="en-US" w:eastAsia="zh-CN"/>
        </w:rPr>
        <w:t>此项权重分值为10分，得分为10分。</w:t>
      </w:r>
    </w:p>
    <w:p>
      <w:pPr>
        <w:pageBreakBefore w:val="0"/>
        <w:shd w:val="clear"/>
        <w:kinsoku/>
        <w:wordWrap/>
        <w:overflowPunct/>
        <w:topLinePunct w:val="0"/>
        <w:autoSpaceDE/>
        <w:autoSpaceDN/>
        <w:bidi w:val="0"/>
        <w:adjustRightInd/>
        <w:snapToGrid/>
        <w:spacing w:line="240" w:lineRule="auto"/>
        <w:ind w:left="0" w:leftChars="0"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pageBreakBefore w:val="0"/>
        <w:shd w:val="clear"/>
        <w:kinsoku/>
        <w:wordWrap/>
        <w:overflowPunct/>
        <w:topLinePunct w:val="0"/>
        <w:autoSpaceDE/>
        <w:autoSpaceDN/>
        <w:bidi w:val="0"/>
        <w:adjustRightInd/>
        <w:snapToGrid/>
        <w:spacing w:line="240" w:lineRule="auto"/>
        <w:ind w:left="0" w:leftChars="0"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：资金支付合格率，指标值：=</w:t>
      </w:r>
      <w:r>
        <w:rPr>
          <w:rFonts w:hint="default"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default"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default"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w:t>
      </w:r>
    </w:p>
    <w:p>
      <w:pPr>
        <w:pStyle w:val="2"/>
        <w:ind w:firstLine="640" w:firstLineChars="200"/>
        <w:rPr>
          <w:rFonts w:hint="default"/>
          <w:lang w:eastAsia="zh-CN"/>
        </w:rPr>
      </w:pPr>
      <w:r>
        <w:rPr>
          <w:rFonts w:hint="eastAsia" w:eastAsia="仿宋_GB2312" w:cs="Times New Roman"/>
          <w:sz w:val="32"/>
          <w:szCs w:val="32"/>
          <w:lang w:val="en-US" w:eastAsia="zh-CN"/>
        </w:rPr>
        <w:t>此项权重分值为10分，得分为10分。</w:t>
      </w:r>
    </w:p>
    <w:p>
      <w:pPr>
        <w:pageBreakBefore w:val="0"/>
        <w:shd w:val="clear"/>
        <w:kinsoku/>
        <w:wordWrap/>
        <w:overflowPunct/>
        <w:topLinePunct w:val="0"/>
        <w:autoSpaceDE/>
        <w:autoSpaceDN/>
        <w:bidi w:val="0"/>
        <w:adjustRightInd/>
        <w:snapToGrid/>
        <w:spacing w:line="240" w:lineRule="auto"/>
        <w:ind w:left="0" w:leftChars="0"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pPr>
        <w:pageBreakBefore w:val="0"/>
        <w:shd w:val="clear"/>
        <w:kinsoku/>
        <w:wordWrap/>
        <w:overflowPunct/>
        <w:topLinePunct w:val="0"/>
        <w:autoSpaceDE/>
        <w:autoSpaceDN/>
        <w:bidi w:val="0"/>
        <w:adjustRightInd/>
        <w:snapToGrid/>
        <w:spacing w:line="240" w:lineRule="auto"/>
        <w:ind w:left="0" w:leftChars="0"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：资金支付及时率，指标值：=</w:t>
      </w:r>
      <w:r>
        <w:rPr>
          <w:rFonts w:hint="default"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default"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default"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w:t>
      </w:r>
    </w:p>
    <w:p>
      <w:pPr>
        <w:pStyle w:val="2"/>
        <w:ind w:firstLine="640" w:firstLineChars="200"/>
        <w:rPr>
          <w:rFonts w:hint="default"/>
        </w:rPr>
      </w:pPr>
      <w:r>
        <w:rPr>
          <w:rFonts w:hint="eastAsia" w:eastAsia="仿宋_GB2312" w:cs="Times New Roman"/>
          <w:sz w:val="32"/>
          <w:szCs w:val="32"/>
          <w:lang w:val="en-US" w:eastAsia="zh-CN"/>
        </w:rPr>
        <w:t>此项权重分值为10分，得分为10分。</w:t>
      </w:r>
    </w:p>
    <w:p>
      <w:pPr>
        <w:pageBreakBefore w:val="0"/>
        <w:shd w:val="clear"/>
        <w:kinsoku/>
        <w:wordWrap/>
        <w:overflowPunct/>
        <w:topLinePunct w:val="0"/>
        <w:autoSpaceDE/>
        <w:autoSpaceDN/>
        <w:bidi w:val="0"/>
        <w:adjustRightInd/>
        <w:snapToGrid/>
        <w:spacing w:line="240" w:lineRule="auto"/>
        <w:ind w:left="0" w:leftChars="0"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pPr>
        <w:pageBreakBefore w:val="0"/>
        <w:shd w:val="clear"/>
        <w:kinsoku/>
        <w:wordWrap/>
        <w:overflowPunct/>
        <w:topLinePunct w:val="0"/>
        <w:autoSpaceDE/>
        <w:autoSpaceDN/>
        <w:bidi w:val="0"/>
        <w:adjustRightInd/>
        <w:snapToGrid/>
        <w:spacing w:line="240" w:lineRule="auto"/>
        <w:ind w:left="0" w:leftChars="0"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指标1：本次外业采样点位的内业检测成本，指标值：&lt;=75万元，实际完成值：</w:t>
      </w:r>
      <w:r>
        <w:rPr>
          <w:rFonts w:hint="default" w:ascii="Times New Roman" w:hAnsi="Times New Roman" w:eastAsia="仿宋_GB2312" w:cs="Times New Roman"/>
          <w:sz w:val="32"/>
          <w:szCs w:val="32"/>
          <w:highlight w:val="none"/>
          <w:lang w:val="en-US" w:eastAsia="zh-CN"/>
        </w:rPr>
        <w:t>75万元</w:t>
      </w:r>
      <w:r>
        <w:rPr>
          <w:rFonts w:hint="default" w:ascii="Times New Roman" w:hAnsi="Times New Roman" w:eastAsia="仿宋_GB2312" w:cs="Times New Roman"/>
          <w:sz w:val="32"/>
          <w:szCs w:val="32"/>
          <w:highlight w:val="none"/>
        </w:rPr>
        <w:t>，指标完成率</w:t>
      </w:r>
      <w:r>
        <w:rPr>
          <w:rFonts w:hint="default"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w:t>
      </w:r>
    </w:p>
    <w:p>
      <w:pPr>
        <w:pageBreakBefore w:val="0"/>
        <w:shd w:val="clear"/>
        <w:kinsoku/>
        <w:wordWrap/>
        <w:overflowPunct/>
        <w:topLinePunct w:val="0"/>
        <w:autoSpaceDE/>
        <w:autoSpaceDN/>
        <w:bidi w:val="0"/>
        <w:adjustRightInd/>
        <w:snapToGrid/>
        <w:spacing w:line="240" w:lineRule="auto"/>
        <w:ind w:left="0" w:leftChars="0"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：田间试验和耕地质量调查评价成本，指标值：&lt;=7.4万元，实际完成值：7.4万元，指标完成率</w:t>
      </w:r>
      <w:r>
        <w:rPr>
          <w:rFonts w:hint="default"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w:t>
      </w:r>
    </w:p>
    <w:p>
      <w:pPr>
        <w:pStyle w:val="2"/>
        <w:ind w:firstLine="640" w:firstLineChars="200"/>
        <w:rPr>
          <w:rFonts w:hint="default"/>
          <w:lang w:val="en-US" w:eastAsia="zh-CN"/>
        </w:rPr>
      </w:pPr>
      <w:r>
        <w:rPr>
          <w:rFonts w:hint="eastAsia" w:eastAsia="仿宋_GB2312" w:cs="Times New Roman"/>
          <w:sz w:val="32"/>
          <w:szCs w:val="32"/>
          <w:lang w:val="en-US" w:eastAsia="zh-CN"/>
        </w:rPr>
        <w:t>此项权重分值为10分，得分为10分。</w:t>
      </w:r>
    </w:p>
    <w:p>
      <w:pPr>
        <w:pStyle w:val="13"/>
        <w:pageBreakBefore w:val="0"/>
        <w:numPr>
          <w:ilvl w:val="0"/>
          <w:numId w:val="5"/>
        </w:numPr>
        <w:kinsoku/>
        <w:wordWrap/>
        <w:overflowPunct/>
        <w:topLinePunct w:val="0"/>
        <w:autoSpaceDE/>
        <w:autoSpaceDN/>
        <w:bidi w:val="0"/>
        <w:adjustRightInd/>
        <w:snapToGrid/>
        <w:spacing w:after="0" w:line="240" w:lineRule="auto"/>
        <w:ind w:left="0" w:leftChars="0" w:firstLine="643"/>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项目效益情况</w:t>
      </w:r>
    </w:p>
    <w:p>
      <w:pPr>
        <w:pageBreakBefore w:val="0"/>
        <w:shd w:val="clear"/>
        <w:kinsoku/>
        <w:wordWrap/>
        <w:overflowPunct/>
        <w:topLinePunct w:val="0"/>
        <w:autoSpaceDE/>
        <w:autoSpaceDN/>
        <w:bidi w:val="0"/>
        <w:adjustRightInd/>
        <w:snapToGrid/>
        <w:spacing w:line="240" w:lineRule="auto"/>
        <w:ind w:left="0" w:leftChars="0"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个三级指标构成，权重分为20分，实际得分20分，得分率为100%。具体效益指标及满意度指标完成情况如下：</w:t>
      </w:r>
    </w:p>
    <w:p>
      <w:pPr>
        <w:pageBreakBefore w:val="0"/>
        <w:shd w:val="clear"/>
        <w:kinsoku/>
        <w:wordWrap/>
        <w:overflowPunct/>
        <w:topLinePunct w:val="0"/>
        <w:autoSpaceDE/>
        <w:autoSpaceDN/>
        <w:bidi w:val="0"/>
        <w:adjustRightInd/>
        <w:snapToGrid/>
        <w:spacing w:line="240" w:lineRule="auto"/>
        <w:ind w:left="0" w:leftChars="0"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pPr>
        <w:pageBreakBefore w:val="0"/>
        <w:shd w:val="clear"/>
        <w:kinsoku/>
        <w:wordWrap/>
        <w:overflowPunct/>
        <w:topLinePunct w:val="0"/>
        <w:autoSpaceDE/>
        <w:autoSpaceDN/>
        <w:bidi w:val="0"/>
        <w:adjustRightInd/>
        <w:snapToGrid/>
        <w:spacing w:line="240" w:lineRule="auto"/>
        <w:ind w:left="0" w:leftChars="0"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指标1：项目受益乡镇数量，指标值：=11个，实际完成值：</w:t>
      </w:r>
      <w:r>
        <w:rPr>
          <w:rFonts w:hint="default" w:ascii="Times New Roman" w:hAnsi="Times New Roman" w:eastAsia="仿宋_GB2312" w:cs="Times New Roman"/>
          <w:sz w:val="32"/>
          <w:szCs w:val="32"/>
          <w:highlight w:val="none"/>
          <w:lang w:val="en-US" w:eastAsia="zh-CN"/>
        </w:rPr>
        <w:t>11个</w:t>
      </w:r>
      <w:r>
        <w:rPr>
          <w:rFonts w:hint="default" w:ascii="Times New Roman" w:hAnsi="Times New Roman" w:eastAsia="仿宋_GB2312" w:cs="Times New Roman"/>
          <w:sz w:val="32"/>
          <w:szCs w:val="32"/>
          <w:highlight w:val="none"/>
        </w:rPr>
        <w:t>，指标完成率</w:t>
      </w:r>
      <w:r>
        <w:rPr>
          <w:rFonts w:hint="default"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w:t>
      </w:r>
    </w:p>
    <w:p>
      <w:pPr>
        <w:pStyle w:val="2"/>
        <w:ind w:firstLine="640" w:firstLineChars="200"/>
        <w:rPr>
          <w:rFonts w:hint="default"/>
          <w:lang w:eastAsia="zh-CN"/>
        </w:rPr>
      </w:pPr>
      <w:r>
        <w:rPr>
          <w:rFonts w:hint="eastAsia" w:eastAsia="仿宋_GB2312" w:cs="Times New Roman"/>
          <w:sz w:val="32"/>
          <w:szCs w:val="32"/>
          <w:lang w:val="en-US" w:eastAsia="zh-CN"/>
        </w:rPr>
        <w:t>此项权重分值为10分，得分为10分。</w:t>
      </w:r>
    </w:p>
    <w:p>
      <w:pPr>
        <w:pageBreakBefore w:val="0"/>
        <w:shd w:val="clear"/>
        <w:kinsoku/>
        <w:wordWrap/>
        <w:overflowPunct/>
        <w:topLinePunct w:val="0"/>
        <w:autoSpaceDE/>
        <w:autoSpaceDN/>
        <w:bidi w:val="0"/>
        <w:adjustRightInd/>
        <w:snapToGrid/>
        <w:spacing w:line="240" w:lineRule="auto"/>
        <w:ind w:left="0" w:leftChars="0"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pPr>
        <w:pageBreakBefore w:val="0"/>
        <w:shd w:val="clear"/>
        <w:kinsoku/>
        <w:wordWrap/>
        <w:overflowPunct/>
        <w:topLinePunct w:val="0"/>
        <w:autoSpaceDE/>
        <w:autoSpaceDN/>
        <w:bidi w:val="0"/>
        <w:adjustRightInd/>
        <w:snapToGrid/>
        <w:spacing w:line="240" w:lineRule="auto"/>
        <w:ind w:left="0" w:leftChars="0"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指标1：受益农户满意度，指标值：&gt;=95%，实际完成值：</w:t>
      </w:r>
      <w:r>
        <w:rPr>
          <w:rFonts w:hint="default" w:ascii="Times New Roman" w:hAnsi="Times New Roman"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，指标完成率</w:t>
      </w:r>
      <w:r>
        <w:rPr>
          <w:rFonts w:hint="default"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w:t>
      </w:r>
    </w:p>
    <w:p>
      <w:pPr>
        <w:pStyle w:val="2"/>
        <w:ind w:firstLine="640" w:firstLineChars="200"/>
        <w:rPr>
          <w:rFonts w:hint="default"/>
          <w:lang w:val="en-US" w:eastAsia="zh-CN"/>
        </w:rPr>
      </w:pPr>
      <w:r>
        <w:rPr>
          <w:rFonts w:hint="eastAsia" w:eastAsia="仿宋_GB2312" w:cs="Times New Roman"/>
          <w:sz w:val="32"/>
          <w:szCs w:val="32"/>
          <w:lang w:val="en-US" w:eastAsia="zh-CN"/>
        </w:rPr>
        <w:t>此项权重分值为10分，得分为10分。</w:t>
      </w:r>
    </w:p>
    <w:p>
      <w:pPr>
        <w:pageBreakBefore w:val="0"/>
        <w:kinsoku/>
        <w:wordWrap/>
        <w:overflowPunct/>
        <w:topLinePunct w:val="0"/>
        <w:autoSpaceDE/>
        <w:autoSpaceDN/>
        <w:bidi w:val="0"/>
        <w:adjustRightInd/>
        <w:snapToGrid/>
        <w:spacing w:line="240" w:lineRule="auto"/>
        <w:ind w:left="0" w:leftChars="0" w:firstLine="643" w:firstLineChars="200"/>
        <w:rPr>
          <w:rFonts w:hint="default" w:ascii="Times New Roman" w:hAnsi="Times New Roman" w:eastAsia="楷体_GB2312" w:cs="Times New Roman"/>
          <w:b/>
          <w:bCs/>
          <w:sz w:val="32"/>
          <w:szCs w:val="32"/>
          <w:highlight w:val="none"/>
          <w:lang w:val="en-US" w:eastAsia="zh-Hans"/>
        </w:rPr>
      </w:pPr>
      <w:r>
        <w:rPr>
          <w:rFonts w:hint="default" w:ascii="Times New Roman" w:hAnsi="Times New Roman" w:eastAsia="楷体_GB2312" w:cs="Times New Roman"/>
          <w:b/>
          <w:bCs/>
          <w:sz w:val="32"/>
          <w:szCs w:val="32"/>
          <w:highlight w:val="none"/>
          <w:lang w:val="en-US" w:eastAsia="zh-CN"/>
        </w:rPr>
        <w:t>（五）</w:t>
      </w:r>
      <w:r>
        <w:rPr>
          <w:rFonts w:hint="default" w:ascii="Times New Roman" w:hAnsi="Times New Roman" w:eastAsia="楷体_GB2312" w:cs="Times New Roman"/>
          <w:b/>
          <w:bCs/>
          <w:sz w:val="32"/>
          <w:szCs w:val="32"/>
          <w:highlight w:val="none"/>
          <w:lang w:val="en-US" w:eastAsia="zh-Hans"/>
        </w:rPr>
        <w:t>预算执行进度与绩效指标总体完成率偏差</w:t>
      </w:r>
    </w:p>
    <w:p>
      <w:pPr>
        <w:pStyle w:val="20"/>
        <w:pageBreakBefore w:val="0"/>
        <w:kinsoku/>
        <w:wordWrap/>
        <w:overflowPunct/>
        <w:topLinePunct w:val="0"/>
        <w:autoSpaceDE/>
        <w:autoSpaceDN/>
        <w:bidi w:val="0"/>
        <w:adjustRightInd/>
        <w:snapToGrid/>
        <w:spacing w:line="240" w:lineRule="auto"/>
        <w:ind w:left="0" w:leftChars="0" w:firstLine="640"/>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lang w:val="en-US" w:eastAsia="zh-CN"/>
        </w:rPr>
        <w:t>巴财农【2024】13号关于下达</w:t>
      </w:r>
      <w:r>
        <w:rPr>
          <w:rFonts w:hint="default" w:ascii="Times New Roman" w:hAnsi="Times New Roman" w:eastAsia="仿宋_GB2312" w:cs="Times New Roman"/>
          <w:kern w:val="0"/>
          <w:sz w:val="32"/>
          <w:szCs w:val="32"/>
          <w:highlight w:val="none"/>
          <w:lang w:val="en-US" w:eastAsia="zh-CN"/>
        </w:rPr>
        <w:t>2024年中央耕地建设与利用资金预算的通知582.4万（化肥减量7.4万、三次土壤普查75万）</w:t>
      </w:r>
      <w:r>
        <w:rPr>
          <w:rFonts w:hint="default" w:ascii="Times New Roman" w:hAnsi="Times New Roman" w:eastAsia="方正仿宋_GBK" w:cs="Times New Roman"/>
          <w:sz w:val="32"/>
          <w:szCs w:val="32"/>
          <w:highlight w:val="none"/>
        </w:rPr>
        <w:t>项目年初预算</w:t>
      </w:r>
      <w:r>
        <w:rPr>
          <w:rFonts w:hint="default" w:ascii="Times New Roman" w:hAnsi="Times New Roman" w:eastAsia="方正仿宋_GBK" w:cs="Times New Roman"/>
          <w:sz w:val="32"/>
          <w:szCs w:val="32"/>
          <w:highlight w:val="none"/>
          <w:lang w:val="en-US" w:eastAsia="zh-CN"/>
        </w:rPr>
        <w:t>82.4</w:t>
      </w:r>
      <w:r>
        <w:rPr>
          <w:rFonts w:hint="default" w:ascii="Times New Roman" w:hAnsi="Times New Roman" w:eastAsia="方正仿宋_GBK" w:cs="Times New Roman"/>
          <w:sz w:val="32"/>
          <w:szCs w:val="32"/>
          <w:highlight w:val="none"/>
        </w:rPr>
        <w:t>万元，全年预算</w:t>
      </w:r>
      <w:r>
        <w:rPr>
          <w:rFonts w:hint="default" w:ascii="Times New Roman" w:hAnsi="Times New Roman" w:eastAsia="方正仿宋_GBK" w:cs="Times New Roman"/>
          <w:sz w:val="32"/>
          <w:szCs w:val="32"/>
          <w:highlight w:val="none"/>
          <w:lang w:val="en-US" w:eastAsia="zh-CN"/>
        </w:rPr>
        <w:t>82.4</w:t>
      </w:r>
      <w:r>
        <w:rPr>
          <w:rFonts w:hint="default" w:ascii="Times New Roman" w:hAnsi="Times New Roman" w:eastAsia="方正仿宋_GBK" w:cs="Times New Roman"/>
          <w:sz w:val="32"/>
          <w:szCs w:val="32"/>
          <w:highlight w:val="none"/>
        </w:rPr>
        <w:t>万元，实际支出</w:t>
      </w:r>
      <w:r>
        <w:rPr>
          <w:rFonts w:hint="default" w:ascii="Times New Roman" w:hAnsi="Times New Roman" w:eastAsia="方正仿宋_GBK" w:cs="Times New Roman"/>
          <w:sz w:val="32"/>
          <w:szCs w:val="32"/>
          <w:highlight w:val="none"/>
          <w:lang w:val="en-US" w:eastAsia="zh-CN"/>
        </w:rPr>
        <w:t>82.4</w:t>
      </w:r>
      <w:r>
        <w:rPr>
          <w:rFonts w:hint="default" w:ascii="Times New Roman" w:hAnsi="Times New Roman" w:eastAsia="方正仿宋_GBK" w:cs="Times New Roman"/>
          <w:sz w:val="32"/>
          <w:szCs w:val="32"/>
          <w:highlight w:val="none"/>
        </w:rPr>
        <w:t>万元，预算执行率为</w:t>
      </w:r>
      <w:r>
        <w:rPr>
          <w:rFonts w:hint="default" w:ascii="Times New Roman" w:hAnsi="Times New Roman"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rPr>
        <w:t>%，项目绩效指标总体完成率为</w:t>
      </w:r>
      <w:r>
        <w:rPr>
          <w:rFonts w:hint="default" w:ascii="Times New Roman" w:hAnsi="Times New Roman"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eastAsia="zh-Hans"/>
        </w:rPr>
        <w:t>总体</w:t>
      </w:r>
      <w:r>
        <w:rPr>
          <w:rFonts w:hint="default" w:ascii="Times New Roman" w:hAnsi="Times New Roman" w:eastAsia="方正仿宋_GBK" w:cs="Times New Roman"/>
          <w:sz w:val="32"/>
          <w:szCs w:val="32"/>
          <w:highlight w:val="none"/>
        </w:rPr>
        <w:t>偏差率为</w:t>
      </w:r>
      <w:r>
        <w:rPr>
          <w:rFonts w:hint="default" w:ascii="Times New Roman" w:hAnsi="Times New Roman" w:eastAsia="方正仿宋_GBK" w:cs="Times New Roman"/>
          <w:sz w:val="32"/>
          <w:szCs w:val="32"/>
          <w:highlight w:val="none"/>
          <w:lang w:val="en-US" w:eastAsia="zh-CN"/>
        </w:rPr>
        <w:t>0</w:t>
      </w:r>
      <w:r>
        <w:rPr>
          <w:rFonts w:hint="default" w:ascii="Times New Roman" w:hAnsi="Times New Roman" w:eastAsia="方正仿宋_GBK" w:cs="Times New Roman"/>
          <w:sz w:val="32"/>
          <w:szCs w:val="32"/>
          <w:highlight w:val="none"/>
        </w:rPr>
        <w:t>%</w:t>
      </w:r>
      <w:r>
        <w:rPr>
          <w:rFonts w:hint="default" w:ascii="Times New Roman" w:hAnsi="Times New Roman" w:cs="Times New Roman"/>
          <w:highlight w:val="none"/>
          <w:lang w:eastAsia="zh-CN"/>
        </w:rPr>
        <w:t>。</w:t>
      </w:r>
    </w:p>
    <w:p>
      <w:pPr>
        <w:pageBreakBefore w:val="0"/>
        <w:kinsoku/>
        <w:wordWrap/>
        <w:overflowPunct/>
        <w:topLinePunct w:val="0"/>
        <w:autoSpaceDE/>
        <w:autoSpaceDN/>
        <w:bidi w:val="0"/>
        <w:adjustRightInd/>
        <w:snapToGrid/>
        <w:spacing w:line="240" w:lineRule="auto"/>
        <w:ind w:left="0" w:leftChars="0" w:firstLine="640" w:firstLineChars="200"/>
        <w:rPr>
          <w:rStyle w:val="19"/>
          <w:rFonts w:hint="default" w:ascii="Times New Roman" w:hAnsi="Times New Roman" w:cs="Times New Roman"/>
          <w:color w:val="auto"/>
          <w:highlight w:val="none"/>
        </w:rPr>
      </w:pPr>
      <w:r>
        <w:rPr>
          <w:rFonts w:hint="default" w:ascii="Times New Roman" w:hAnsi="Times New Roman" w:eastAsia="黑体" w:cs="Times New Roman"/>
          <w:sz w:val="32"/>
          <w:szCs w:val="32"/>
          <w:highlight w:val="none"/>
          <w:lang w:val="en-US" w:eastAsia="zh-CN"/>
        </w:rPr>
        <w:t>五、</w:t>
      </w:r>
      <w:r>
        <w:rPr>
          <w:rFonts w:hint="default" w:ascii="Times New Roman" w:hAnsi="Times New Roman" w:eastAsia="黑体" w:cs="Times New Roman"/>
          <w:sz w:val="32"/>
          <w:szCs w:val="32"/>
          <w:highlight w:val="none"/>
        </w:rPr>
        <w:t>主要经验及做法、存在的问题及原因分析</w:t>
      </w:r>
    </w:p>
    <w:p>
      <w:pPr>
        <w:pageBreakBefore w:val="0"/>
        <w:kinsoku/>
        <w:wordWrap/>
        <w:overflowPunct/>
        <w:topLinePunct w:val="0"/>
        <w:autoSpaceDE/>
        <w:autoSpaceDN/>
        <w:bidi w:val="0"/>
        <w:adjustRightInd/>
        <w:snapToGrid/>
        <w:spacing w:line="240" w:lineRule="auto"/>
        <w:ind w:left="0" w:leftChars="0" w:firstLine="627" w:firstLineChars="200"/>
        <w:rPr>
          <w:rFonts w:hint="default" w:ascii="Times New Roman" w:hAnsi="Times New Roman" w:eastAsia="楷体" w:cs="Times New Roman"/>
          <w:b/>
          <w:spacing w:val="-4"/>
          <w:sz w:val="32"/>
          <w:szCs w:val="32"/>
          <w:highlight w:val="none"/>
        </w:rPr>
      </w:pPr>
      <w:r>
        <w:rPr>
          <w:rFonts w:hint="default" w:ascii="Times New Roman" w:hAnsi="Times New Roman" w:eastAsia="楷体" w:cs="Times New Roman"/>
          <w:b/>
          <w:spacing w:val="-4"/>
          <w:sz w:val="32"/>
          <w:szCs w:val="32"/>
          <w:highlight w:val="none"/>
        </w:rPr>
        <w:t>（一）主要经验及做法</w:t>
      </w:r>
    </w:p>
    <w:p>
      <w:pPr>
        <w:pageBreakBefore w:val="0"/>
        <w:kinsoku/>
        <w:wordWrap/>
        <w:overflowPunct/>
        <w:topLinePunct w:val="0"/>
        <w:autoSpaceDE/>
        <w:autoSpaceDN/>
        <w:bidi w:val="0"/>
        <w:adjustRightInd/>
        <w:snapToGrid/>
        <w:spacing w:line="240" w:lineRule="auto"/>
        <w:ind w:left="0" w:leftChars="0"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1"/>
        <w:pageBreakBefore w:val="0"/>
        <w:kinsoku/>
        <w:wordWrap/>
        <w:overflowPunct/>
        <w:topLinePunct w:val="0"/>
        <w:autoSpaceDE/>
        <w:autoSpaceDN/>
        <w:bidi w:val="0"/>
        <w:adjustRightInd/>
        <w:snapToGrid/>
        <w:spacing w:before="0" w:after="0" w:line="240" w:lineRule="auto"/>
        <w:ind w:left="0" w:leftChars="0" w:firstLine="640" w:firstLineChars="200"/>
        <w:jc w:val="left"/>
        <w:rPr>
          <w:rFonts w:hint="default" w:ascii="Times New Roman" w:hAnsi="Times New Roman" w:eastAsia="仿宋_GB2312" w:cs="Times New Roman"/>
          <w:b w:val="0"/>
          <w:bCs w:val="0"/>
          <w:kern w:val="2"/>
          <w:highlight w:val="none"/>
        </w:rPr>
      </w:pPr>
      <w:r>
        <w:rPr>
          <w:rFonts w:hint="default" w:ascii="Times New Roman" w:hAnsi="Times New Roman" w:eastAsia="仿宋_GB2312" w:cs="Times New Roman"/>
          <w:b w:val="0"/>
          <w:bCs w:val="0"/>
          <w:kern w:val="2"/>
          <w:highlight w:val="none"/>
        </w:rPr>
        <w:t>严格坚持先做事、后验收、再拨付的原则，</w:t>
      </w:r>
      <w:r>
        <w:rPr>
          <w:rFonts w:hint="default" w:ascii="Times New Roman" w:hAnsi="Times New Roman" w:eastAsia="仿宋_GB2312" w:cs="Times New Roman"/>
          <w:b w:val="0"/>
          <w:bCs w:val="0"/>
          <w:kern w:val="2"/>
          <w:highlight w:val="none"/>
          <w:lang w:eastAsia="zh-CN"/>
        </w:rPr>
        <w:t>杜绝</w:t>
      </w:r>
      <w:r>
        <w:rPr>
          <w:rFonts w:hint="default" w:ascii="Times New Roman" w:hAnsi="Times New Roman" w:eastAsia="仿宋_GB2312" w:cs="Times New Roman"/>
          <w:b w:val="0"/>
          <w:bCs w:val="0"/>
          <w:kern w:val="2"/>
          <w:highlight w:val="none"/>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6"/>
        </w:numPr>
        <w:kinsoku/>
        <w:wordWrap/>
        <w:overflowPunct/>
        <w:topLinePunct w:val="0"/>
        <w:autoSpaceDE/>
        <w:autoSpaceDN/>
        <w:bidi w:val="0"/>
        <w:adjustRightInd/>
        <w:snapToGrid/>
        <w:spacing w:line="240" w:lineRule="auto"/>
        <w:ind w:left="0" w:leftChars="0" w:firstLine="643" w:firstLineChars="200"/>
        <w:rPr>
          <w:rFonts w:hint="default" w:ascii="Times New Roman" w:hAnsi="Times New Roman" w:eastAsia="楷体_GB2312" w:cs="Times New Roman"/>
          <w:b/>
          <w:bCs/>
          <w:sz w:val="32"/>
          <w:szCs w:val="32"/>
          <w:highlight w:val="none"/>
        </w:rPr>
      </w:pPr>
      <w:bookmarkStart w:id="5" w:name="OLE_LINK6"/>
      <w:r>
        <w:rPr>
          <w:rFonts w:hint="default" w:ascii="Times New Roman" w:hAnsi="Times New Roman" w:eastAsia="楷体_GB2312" w:cs="Times New Roman"/>
          <w:b/>
          <w:bCs/>
          <w:sz w:val="32"/>
          <w:szCs w:val="32"/>
          <w:highlight w:val="none"/>
        </w:rPr>
        <w:t>存在的问题及原因分析</w:t>
      </w:r>
    </w:p>
    <w:bookmarkEnd w:id="5"/>
    <w:p>
      <w:pPr>
        <w:pageBreakBefore w:val="0"/>
        <w:numPr>
          <w:ilvl w:val="0"/>
          <w:numId w:val="0"/>
        </w:numPr>
        <w:shd w:val="clear"/>
        <w:kinsoku/>
        <w:wordWrap/>
        <w:overflowPunct/>
        <w:topLinePunct w:val="0"/>
        <w:autoSpaceDE/>
        <w:autoSpaceDN/>
        <w:bidi w:val="0"/>
        <w:adjustRightInd/>
        <w:snapToGrid/>
        <w:spacing w:line="240" w:lineRule="auto"/>
        <w:ind w:firstLine="640" w:firstLineChars="200"/>
        <w:jc w:val="both"/>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1.</w:t>
      </w:r>
      <w:bookmarkStart w:id="6" w:name="OLE_LINK8"/>
      <w:r>
        <w:rPr>
          <w:rFonts w:hint="default" w:ascii="Times New Roman" w:hAnsi="Times New Roman" w:eastAsia="仿宋_GB2312" w:cs="Times New Roman"/>
          <w:sz w:val="32"/>
          <w:szCs w:val="32"/>
          <w:highlight w:val="none"/>
          <w:lang w:val="en-US" w:eastAsia="zh-CN"/>
        </w:rPr>
        <w:t>项目</w:t>
      </w:r>
      <w:r>
        <w:rPr>
          <w:rFonts w:hint="default" w:ascii="Times New Roman" w:hAnsi="Times New Roman" w:eastAsia="仿宋_GB2312" w:cs="Times New Roman"/>
          <w:b w:val="0"/>
          <w:bCs w:val="0"/>
          <w:kern w:val="2"/>
          <w:sz w:val="32"/>
          <w:szCs w:val="32"/>
          <w:highlight w:val="none"/>
          <w:lang w:val="en-US" w:eastAsia="zh-CN" w:bidi="ar-SA"/>
        </w:rPr>
        <w:t>绩效</w:t>
      </w:r>
      <w:r>
        <w:rPr>
          <w:rFonts w:hint="default" w:ascii="Times New Roman" w:hAnsi="Times New Roman" w:eastAsia="仿宋_GB2312" w:cs="Times New Roman"/>
          <w:sz w:val="32"/>
          <w:szCs w:val="32"/>
          <w:highlight w:val="none"/>
          <w:lang w:val="en-US" w:eastAsia="zh-CN"/>
        </w:rPr>
        <w:t>指标在设定的过程中，个别指标不够精准，可</w:t>
      </w:r>
    </w:p>
    <w:p>
      <w:pPr>
        <w:pageBreakBefore w:val="0"/>
        <w:numPr>
          <w:ilvl w:val="0"/>
          <w:numId w:val="0"/>
        </w:numPr>
        <w:shd w:val="clear"/>
        <w:kinsoku/>
        <w:wordWrap/>
        <w:overflowPunct/>
        <w:topLinePunct w:val="0"/>
        <w:autoSpaceDE/>
        <w:autoSpaceDN/>
        <w:bidi w:val="0"/>
        <w:adjustRightInd/>
        <w:snapToGrid/>
        <w:spacing w:line="240" w:lineRule="auto"/>
        <w:jc w:val="both"/>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操作性及相关资料的印证方面有待于进一步提高。</w:t>
      </w:r>
    </w:p>
    <w:bookmarkEnd w:id="6"/>
    <w:p>
      <w:pPr>
        <w:pStyle w:val="2"/>
        <w:numPr>
          <w:ilvl w:val="0"/>
          <w:numId w:val="0"/>
        </w:numPr>
        <w:rPr>
          <w:rFonts w:hint="default" w:ascii="Times New Roman" w:hAnsi="Times New Roman" w:eastAsia="仿宋_GB2312" w:cs="Times New Roman"/>
          <w:kern w:val="2"/>
          <w:sz w:val="32"/>
          <w:szCs w:val="32"/>
          <w:highlight w:val="none"/>
          <w:lang w:val="en-US" w:eastAsia="zh-CN" w:bidi="ar-SA"/>
        </w:rPr>
      </w:pPr>
      <w:r>
        <w:rPr>
          <w:rFonts w:hint="eastAsia"/>
          <w:lang w:val="en-US" w:eastAsia="zh-CN"/>
        </w:rPr>
        <w:t xml:space="preserve">    </w:t>
      </w:r>
      <w:r>
        <w:rPr>
          <w:rFonts w:hint="eastAsia" w:ascii="Times New Roman" w:hAnsi="Times New Roman" w:eastAsia="仿宋_GB2312" w:cs="Times New Roman"/>
          <w:kern w:val="2"/>
          <w:sz w:val="32"/>
          <w:szCs w:val="32"/>
          <w:highlight w:val="none"/>
          <w:lang w:val="en-US" w:eastAsia="zh-CN" w:bidi="ar-SA"/>
        </w:rPr>
        <w:t xml:space="preserve">  </w:t>
      </w:r>
      <w:bookmarkStart w:id="7" w:name="OLE_LINK9"/>
      <w:r>
        <w:rPr>
          <w:rFonts w:hint="eastAsia" w:ascii="Times New Roman" w:hAnsi="Times New Roman" w:eastAsia="仿宋_GB2312" w:cs="Times New Roman"/>
          <w:kern w:val="2"/>
          <w:sz w:val="32"/>
          <w:szCs w:val="32"/>
          <w:highlight w:val="none"/>
          <w:lang w:val="en-US" w:eastAsia="zh-CN" w:bidi="ar-SA"/>
        </w:rPr>
        <w:t>2.</w:t>
      </w:r>
      <w:bookmarkStart w:id="8" w:name="OLE_LINK7"/>
      <w:r>
        <w:rPr>
          <w:rFonts w:hint="default" w:ascii="Times New Roman" w:hAnsi="Times New Roman" w:eastAsia="仿宋_GB2312" w:cs="Times New Roman"/>
          <w:kern w:val="2"/>
          <w:sz w:val="32"/>
          <w:szCs w:val="32"/>
          <w:highlight w:val="none"/>
          <w:lang w:val="en-US" w:eastAsia="zh-CN" w:bidi="ar-SA"/>
        </w:rPr>
        <w:t>技术人员的老龄化和严重不足问题可能导致项目实施效果不佳，主要体现在创新能力和</w:t>
      </w:r>
      <w:r>
        <w:rPr>
          <w:rFonts w:hint="eastAsia" w:eastAsia="仿宋_GB2312" w:cs="Times New Roman"/>
          <w:kern w:val="2"/>
          <w:sz w:val="32"/>
          <w:szCs w:val="32"/>
          <w:highlight w:val="none"/>
          <w:lang w:val="en-US" w:eastAsia="zh-CN" w:bidi="ar-SA"/>
        </w:rPr>
        <w:t>适应</w:t>
      </w:r>
      <w:r>
        <w:rPr>
          <w:rFonts w:hint="default" w:ascii="Times New Roman" w:hAnsi="Times New Roman" w:eastAsia="仿宋_GB2312" w:cs="Times New Roman"/>
          <w:kern w:val="2"/>
          <w:sz w:val="32"/>
          <w:szCs w:val="32"/>
          <w:highlight w:val="none"/>
          <w:lang w:val="en-US" w:eastAsia="zh-CN" w:bidi="ar-SA"/>
        </w:rPr>
        <w:t>新技术的能力下降。年长的技术人员虽然经验丰富，但在快速变化的技术环境中，可能缺乏学习新技能的动力和能力。同时，技术人员短缺无法有效应对项目需求，影响了工作效率和质量。</w:t>
      </w:r>
    </w:p>
    <w:bookmarkEnd w:id="7"/>
    <w:bookmarkEnd w:id="8"/>
    <w:p>
      <w:pPr>
        <w:pageBreakBefore w:val="0"/>
        <w:kinsoku/>
        <w:wordWrap/>
        <w:overflowPunct/>
        <w:topLinePunct w:val="0"/>
        <w:autoSpaceDE/>
        <w:autoSpaceDN/>
        <w:bidi w:val="0"/>
        <w:adjustRightInd/>
        <w:snapToGrid/>
        <w:spacing w:line="240" w:lineRule="auto"/>
        <w:ind w:left="0" w:leftChars="0"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lang w:val="en-US" w:eastAsia="zh-CN"/>
        </w:rPr>
        <w:t>六、</w:t>
      </w:r>
      <w:r>
        <w:rPr>
          <w:rFonts w:hint="default" w:ascii="Times New Roman" w:hAnsi="Times New Roman" w:eastAsia="黑体" w:cs="Times New Roman"/>
          <w:sz w:val="32"/>
          <w:szCs w:val="32"/>
          <w:highlight w:val="none"/>
        </w:rPr>
        <w:t>有关建议</w:t>
      </w:r>
    </w:p>
    <w:p>
      <w:pPr>
        <w:pageBreakBefore w:val="0"/>
        <w:shd w:val="clear"/>
        <w:kinsoku/>
        <w:wordWrap/>
        <w:overflowPunct/>
        <w:topLinePunct w:val="0"/>
        <w:autoSpaceDE/>
        <w:autoSpaceDN/>
        <w:bidi w:val="0"/>
        <w:adjustRightInd/>
        <w:snapToGrid/>
        <w:spacing w:line="240" w:lineRule="auto"/>
        <w:ind w:left="0" w:leftChars="0"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在设定项目绩效指标时，应加强指标的精准性和可操作性。建议在制定指标时，充分考虑实际操作中的可行性，并结合相关数据进行验证。此外，定期对指标进行评估和调整，以确保其与项目目标的一致性。同时，鼓励团队成员提出反馈意见，从而不断优化绩效指标，提高项目管理的科学性和有效性。</w:t>
      </w:r>
    </w:p>
    <w:p>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firstLineChars="200"/>
        <w:rPr>
          <w:rFonts w:hint="default" w:ascii="Times New Roman" w:hAnsi="Times New Roman" w:eastAsia="黑体" w:cs="Times New Roman"/>
          <w:sz w:val="32"/>
          <w:szCs w:val="32"/>
          <w:highlight w:val="none"/>
          <w:lang w:val="en-US" w:eastAsia="zh-CN"/>
        </w:rPr>
      </w:pPr>
      <w:r>
        <w:rPr>
          <w:rFonts w:hint="eastAsia" w:ascii="Times New Roman" w:hAnsi="Times New Roman" w:eastAsia="仿宋_GB2312" w:cs="Times New Roman"/>
          <w:kern w:val="2"/>
          <w:sz w:val="32"/>
          <w:szCs w:val="32"/>
          <w:highlight w:val="none"/>
          <w:lang w:val="en-US" w:eastAsia="zh-CN" w:bidi="ar-SA"/>
        </w:rPr>
        <w:t>2.</w:t>
      </w:r>
      <w:r>
        <w:rPr>
          <w:rFonts w:hint="default" w:ascii="Times New Roman" w:hAnsi="Times New Roman" w:eastAsia="仿宋_GB2312" w:cs="Times New Roman"/>
          <w:kern w:val="2"/>
          <w:sz w:val="32"/>
          <w:szCs w:val="32"/>
          <w:highlight w:val="none"/>
          <w:lang w:val="en-US" w:eastAsia="zh-CN" w:bidi="ar-SA"/>
        </w:rPr>
        <w:t>针对技术人员老龄化和严重不足的问题，建议</w:t>
      </w:r>
      <w:r>
        <w:rPr>
          <w:rFonts w:hint="eastAsia" w:eastAsia="仿宋_GB2312" w:cs="Times New Roman"/>
          <w:kern w:val="2"/>
          <w:sz w:val="32"/>
          <w:szCs w:val="32"/>
          <w:highlight w:val="none"/>
          <w:lang w:val="en-US" w:eastAsia="zh-CN" w:bidi="ar-SA"/>
        </w:rPr>
        <w:t>单位</w:t>
      </w:r>
      <w:r>
        <w:rPr>
          <w:rFonts w:hint="default" w:ascii="Times New Roman" w:hAnsi="Times New Roman" w:eastAsia="仿宋_GB2312" w:cs="Times New Roman"/>
          <w:kern w:val="2"/>
          <w:sz w:val="32"/>
          <w:szCs w:val="32"/>
          <w:highlight w:val="none"/>
          <w:lang w:val="en-US" w:eastAsia="zh-CN" w:bidi="ar-SA"/>
        </w:rPr>
        <w:t>采取多项措施以提升项目实施效果。首先，建立人才引进机制，吸引年轻技术人才加入</w:t>
      </w:r>
      <w:r>
        <w:rPr>
          <w:rFonts w:hint="eastAsia" w:eastAsia="仿宋_GB2312" w:cs="Times New Roman"/>
          <w:kern w:val="2"/>
          <w:sz w:val="32"/>
          <w:szCs w:val="32"/>
          <w:highlight w:val="none"/>
          <w:lang w:val="en-US" w:eastAsia="zh-CN" w:bidi="ar-SA"/>
        </w:rPr>
        <w:t>农技推广队伍</w:t>
      </w:r>
      <w:r>
        <w:rPr>
          <w:rFonts w:hint="default" w:ascii="Times New Roman" w:hAnsi="Times New Roman" w:eastAsia="仿宋_GB2312" w:cs="Times New Roman"/>
          <w:kern w:val="2"/>
          <w:sz w:val="32"/>
          <w:szCs w:val="32"/>
          <w:highlight w:val="none"/>
          <w:lang w:val="en-US" w:eastAsia="zh-CN" w:bidi="ar-SA"/>
        </w:rPr>
        <w:t>，增强创新活力。其次，开展定期培训，帮助年长员工更新技能，适应新技术发展。</w:t>
      </w:r>
    </w:p>
    <w:p>
      <w:pPr>
        <w:pageBreakBefore w:val="0"/>
        <w:kinsoku/>
        <w:wordWrap/>
        <w:overflowPunct/>
        <w:topLinePunct w:val="0"/>
        <w:autoSpaceDE/>
        <w:autoSpaceDN/>
        <w:bidi w:val="0"/>
        <w:adjustRightInd/>
        <w:snapToGrid/>
        <w:spacing w:line="240" w:lineRule="auto"/>
        <w:ind w:left="0" w:leftChars="0"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lang w:val="en-US" w:eastAsia="zh-CN"/>
        </w:rPr>
        <w:t>七、</w:t>
      </w:r>
      <w:r>
        <w:rPr>
          <w:rFonts w:hint="default" w:ascii="Times New Roman" w:hAnsi="Times New Roman" w:eastAsia="黑体" w:cs="Times New Roman"/>
          <w:sz w:val="32"/>
          <w:szCs w:val="32"/>
          <w:highlight w:val="none"/>
        </w:rPr>
        <w:t>其他需要说</w:t>
      </w:r>
      <w:bookmarkStart w:id="9" w:name="page8"/>
      <w:bookmarkEnd w:id="9"/>
      <w:r>
        <w:rPr>
          <w:rFonts w:hint="default" w:ascii="Times New Roman" w:hAnsi="Times New Roman" w:eastAsia="黑体" w:cs="Times New Roman"/>
          <w:sz w:val="32"/>
          <w:szCs w:val="32"/>
          <w:highlight w:val="none"/>
        </w:rPr>
        <w:t>明的问题</w:t>
      </w:r>
    </w:p>
    <w:p>
      <w:pPr>
        <w:pStyle w:val="14"/>
        <w:pageBreakBefore w:val="0"/>
        <w:kinsoku/>
        <w:wordWrap/>
        <w:overflowPunct/>
        <w:topLinePunct w:val="0"/>
        <w:autoSpaceDE/>
        <w:autoSpaceDN/>
        <w:bidi w:val="0"/>
        <w:adjustRightInd/>
        <w:snapToGrid/>
        <w:spacing w:after="0" w:line="240" w:lineRule="auto"/>
        <w:ind w:left="0" w:leftChars="0" w:firstLine="640"/>
        <w:rPr>
          <w:rFonts w:hint="default" w:ascii="Times New Roman" w:hAnsi="Times New Roman" w:eastAsia="仿宋_GB2312" w:cs="Times New Roman"/>
          <w:sz w:val="32"/>
          <w:szCs w:val="32"/>
          <w:highlight w:val="none"/>
          <w:lang w:eastAsia="zh-Hans"/>
        </w:rPr>
      </w:pPr>
      <w:r>
        <w:rPr>
          <w:rFonts w:hint="default" w:ascii="Times New Roman" w:hAnsi="Times New Roman" w:eastAsia="仿宋_GB2312" w:cs="Times New Roman"/>
          <w:sz w:val="32"/>
          <w:szCs w:val="32"/>
          <w:highlight w:val="none"/>
          <w:lang w:eastAsia="zh-Hans"/>
        </w:rPr>
        <w:t>本项目无其他需说明的问题。</w:t>
      </w:r>
    </w:p>
    <w:p>
      <w:pPr>
        <w:pStyle w:val="14"/>
        <w:pageBreakBefore w:val="0"/>
        <w:kinsoku/>
        <w:wordWrap/>
        <w:overflowPunct/>
        <w:topLinePunct w:val="0"/>
        <w:autoSpaceDE/>
        <w:autoSpaceDN/>
        <w:bidi w:val="0"/>
        <w:adjustRightInd/>
        <w:snapToGrid/>
        <w:spacing w:after="0" w:line="240" w:lineRule="auto"/>
        <w:ind w:left="0" w:leftChars="0" w:firstLine="0" w:firstLineChars="0"/>
        <w:rPr>
          <w:rFonts w:hint="default" w:ascii="Times New Roman" w:hAnsi="Times New Roman" w:eastAsia="仿宋_GB2312" w:cs="Times New Roman"/>
          <w:sz w:val="32"/>
          <w:szCs w:val="32"/>
          <w:highlight w:val="none"/>
          <w:lang w:eastAsia="zh-CN"/>
        </w:rPr>
      </w:pPr>
    </w:p>
    <w:p>
      <w:pPr>
        <w:pStyle w:val="14"/>
        <w:pageBreakBefore w:val="0"/>
        <w:kinsoku/>
        <w:wordWrap/>
        <w:overflowPunct/>
        <w:topLinePunct w:val="0"/>
        <w:autoSpaceDE/>
        <w:autoSpaceDN/>
        <w:bidi w:val="0"/>
        <w:adjustRightInd/>
        <w:snapToGrid/>
        <w:spacing w:after="0" w:line="240" w:lineRule="auto"/>
        <w:ind w:left="0" w:leftChars="0" w:firstLine="640"/>
        <w:rPr>
          <w:rFonts w:hint="default" w:ascii="Times New Roman" w:hAnsi="Times New Roman" w:eastAsia="仿宋_GB2312" w:cs="Times New Roman"/>
          <w:sz w:val="32"/>
          <w:szCs w:val="32"/>
          <w:highlight w:val="none"/>
        </w:rPr>
      </w:pPr>
    </w:p>
    <w:p>
      <w:pPr>
        <w:pStyle w:val="14"/>
        <w:pageBreakBefore w:val="0"/>
        <w:kinsoku/>
        <w:wordWrap/>
        <w:overflowPunct/>
        <w:topLinePunct w:val="0"/>
        <w:autoSpaceDE/>
        <w:autoSpaceDN/>
        <w:bidi w:val="0"/>
        <w:adjustRightInd/>
        <w:snapToGrid/>
        <w:spacing w:after="0" w:line="240" w:lineRule="auto"/>
        <w:ind w:left="0" w:leftChars="0" w:firstLine="640"/>
        <w:rPr>
          <w:rFonts w:hint="default" w:ascii="Times New Roman" w:hAnsi="Times New Roman" w:eastAsia="仿宋_GB2312" w:cs="Times New Roman"/>
          <w:sz w:val="32"/>
          <w:szCs w:val="32"/>
          <w:highlight w:val="none"/>
        </w:rPr>
      </w:pPr>
    </w:p>
    <w:p>
      <w:pPr>
        <w:pStyle w:val="14"/>
        <w:pageBreakBefore w:val="0"/>
        <w:kinsoku/>
        <w:wordWrap/>
        <w:overflowPunct/>
        <w:topLinePunct w:val="0"/>
        <w:autoSpaceDE/>
        <w:autoSpaceDN/>
        <w:bidi w:val="0"/>
        <w:adjustRightInd/>
        <w:snapToGrid/>
        <w:spacing w:after="0" w:line="240" w:lineRule="auto"/>
        <w:ind w:left="0" w:leftChars="0" w:firstLine="0" w:firstLineChars="0"/>
        <w:rPr>
          <w:rFonts w:hint="default" w:ascii="Times New Roman" w:hAnsi="Times New Roman" w:eastAsia="仿宋_GB2312" w:cs="Times New Roman"/>
          <w:sz w:val="32"/>
          <w:szCs w:val="32"/>
          <w:highlight w:val="none"/>
        </w:rPr>
      </w:pPr>
    </w:p>
    <w:p>
      <w:pPr>
        <w:pageBreakBefore w:val="0"/>
        <w:kinsoku/>
        <w:wordWrap/>
        <w:overflowPunct/>
        <w:topLinePunct w:val="0"/>
        <w:autoSpaceDE/>
        <w:autoSpaceDN/>
        <w:bidi w:val="0"/>
        <w:adjustRightInd/>
        <w:snapToGrid/>
        <w:spacing w:line="240" w:lineRule="auto"/>
        <w:ind w:left="0" w:leftChars="0"/>
        <w:rPr>
          <w:rFonts w:hint="default" w:ascii="Times New Roman" w:hAnsi="Times New Roman" w:eastAsia="黑体" w:cs="Times New Roman"/>
          <w:sz w:val="32"/>
          <w:szCs w:val="32"/>
          <w:highlight w:val="none"/>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pageBreakBefore w:val="0"/>
        <w:kinsoku/>
        <w:wordWrap/>
        <w:overflowPunct/>
        <w:topLinePunct w:val="0"/>
        <w:autoSpaceDE/>
        <w:autoSpaceDN/>
        <w:bidi w:val="0"/>
        <w:adjustRightInd/>
        <w:snapToGrid/>
        <w:spacing w:line="240" w:lineRule="auto"/>
        <w:ind w:left="0" w:leftChars="0"/>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附件1</w:t>
      </w:r>
    </w:p>
    <w:p>
      <w:pPr>
        <w:pStyle w:val="20"/>
        <w:pageBreakBefore w:val="0"/>
        <w:kinsoku/>
        <w:wordWrap/>
        <w:overflowPunct/>
        <w:topLinePunct w:val="0"/>
        <w:autoSpaceDE/>
        <w:autoSpaceDN/>
        <w:bidi w:val="0"/>
        <w:adjustRightInd/>
        <w:snapToGrid/>
        <w:spacing w:line="240" w:lineRule="auto"/>
        <w:ind w:left="0" w:leftChars="0" w:firstLine="562"/>
        <w:jc w:val="center"/>
        <w:rPr>
          <w:rFonts w:hint="default" w:ascii="Times New Roman" w:hAnsi="Times New Roman" w:eastAsia="仿宋_GB2312" w:cs="Times New Roman"/>
          <w:sz w:val="28"/>
          <w:szCs w:val="40"/>
          <w:highlight w:val="none"/>
        </w:rPr>
      </w:pPr>
      <w:bookmarkStart w:id="10" w:name="_Toc30064_WPSOffice_Level1"/>
      <w:bookmarkStart w:id="11" w:name="_Toc26499_WPSOffice_Level2"/>
      <w:r>
        <w:rPr>
          <w:rFonts w:hint="default" w:ascii="Times New Roman" w:hAnsi="Times New Roman" w:eastAsia="仿宋_GB2312" w:cs="Times New Roman"/>
          <w:b/>
          <w:bCs/>
          <w:sz w:val="28"/>
          <w:szCs w:val="40"/>
          <w:highlight w:val="none"/>
          <w:lang w:val="en-US" w:eastAsia="zh-CN"/>
        </w:rPr>
        <w:t>2024年中央耕地建设与利用资金预算的通知582.4万（化肥减量7.4万、三次土壤普查75万）项目</w:t>
      </w:r>
      <w:r>
        <w:rPr>
          <w:rFonts w:hint="default" w:ascii="Times New Roman" w:hAnsi="Times New Roman" w:eastAsia="仿宋_GB2312" w:cs="Times New Roman"/>
          <w:b/>
          <w:bCs/>
          <w:sz w:val="28"/>
          <w:szCs w:val="40"/>
          <w:highlight w:val="none"/>
        </w:rPr>
        <w:t>绩效评价指标体系及综合评分表</w:t>
      </w:r>
      <w:bookmarkEnd w:id="10"/>
      <w:bookmarkEnd w:id="11"/>
    </w:p>
    <w:tbl>
      <w:tblPr>
        <w:tblStyle w:val="15"/>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1"/>
        <w:gridCol w:w="1000"/>
        <w:gridCol w:w="1071"/>
        <w:gridCol w:w="1966"/>
        <w:gridCol w:w="4973"/>
        <w:gridCol w:w="8"/>
        <w:gridCol w:w="1299"/>
        <w:gridCol w:w="136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5" w:type="pc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394" w:type="pc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775" w:type="pc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1960" w:type="pc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514" w:type="pct"/>
            <w:gridSpan w:val="2"/>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538" w:type="pc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5" w:type="pct"/>
            <w:vMerge w:val="restar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p>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p>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p>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p>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p>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p>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394" w:type="pct"/>
            <w:vMerge w:val="restar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775" w:type="pc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1960" w:type="pc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514" w:type="pct"/>
            <w:gridSpan w:val="2"/>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kern w:val="0"/>
                <w:sz w:val="18"/>
                <w:szCs w:val="18"/>
                <w:highlight w:val="none"/>
                <w:lang w:eastAsia="zh-CN"/>
              </w:rPr>
            </w:pPr>
            <w:r>
              <w:rPr>
                <w:rFonts w:hint="default" w:ascii="Times New Roman" w:hAnsi="Times New Roman"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5" w:type="pct"/>
            <w:vMerge w:val="continue"/>
            <w:shd w:val="clear" w:color="auto" w:fill="FFFFFF"/>
            <w:vAlign w:val="center"/>
          </w:tcPr>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775" w:type="pc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1960" w:type="pc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514" w:type="pct"/>
            <w:gridSpan w:val="2"/>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kern w:val="0"/>
                <w:sz w:val="18"/>
                <w:szCs w:val="18"/>
                <w:highlight w:val="none"/>
                <w:lang w:eastAsia="zh-CN"/>
              </w:rPr>
            </w:pPr>
            <w:r>
              <w:rPr>
                <w:rFonts w:hint="default" w:ascii="Times New Roman" w:hAnsi="Times New Roman"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5" w:type="pct"/>
            <w:vMerge w:val="continue"/>
            <w:shd w:val="clear" w:color="auto" w:fill="FFFFFF"/>
            <w:vAlign w:val="center"/>
          </w:tcPr>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775" w:type="pct"/>
            <w:shd w:val="clear" w:color="000000" w:fill="FFFFFF"/>
            <w:vAlign w:val="center"/>
          </w:tcPr>
          <w:p>
            <w:pPr>
              <w:pageBreakBefore w:val="0"/>
              <w:widowControl/>
              <w:kinsoku/>
              <w:wordWrap/>
              <w:overflowPunct/>
              <w:topLinePunct w:val="0"/>
              <w:autoSpaceDE/>
              <w:autoSpaceDN/>
              <w:bidi w:val="0"/>
              <w:adjustRightInd/>
              <w:snapToGrid/>
              <w:spacing w:line="240" w:lineRule="auto"/>
              <w:ind w:left="0" w:leftChars="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1960" w:type="pct"/>
            <w:shd w:val="clear" w:color="000000" w:fill="FFFFFF"/>
            <w:vAlign w:val="center"/>
          </w:tcPr>
          <w:p>
            <w:pPr>
              <w:pageBreakBefore w:val="0"/>
              <w:widowControl/>
              <w:kinsoku/>
              <w:wordWrap/>
              <w:overflowPunct/>
              <w:topLinePunct w:val="0"/>
              <w:autoSpaceDE/>
              <w:autoSpaceDN/>
              <w:bidi w:val="0"/>
              <w:adjustRightInd/>
              <w:snapToGrid/>
              <w:spacing w:line="240" w:lineRule="auto"/>
              <w:ind w:left="0" w:leftChars="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pPr>
              <w:pageBreakBefore w:val="0"/>
              <w:widowControl/>
              <w:kinsoku/>
              <w:wordWrap/>
              <w:overflowPunct/>
              <w:topLinePunct w:val="0"/>
              <w:autoSpaceDE/>
              <w:autoSpaceDN/>
              <w:bidi w:val="0"/>
              <w:adjustRightInd/>
              <w:snapToGrid/>
              <w:spacing w:line="240" w:lineRule="auto"/>
              <w:ind w:left="0" w:leftChars="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514" w:type="pct"/>
            <w:gridSpan w:val="2"/>
            <w:shd w:val="clear" w:color="000000"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000000"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kern w:val="0"/>
                <w:sz w:val="18"/>
                <w:szCs w:val="18"/>
                <w:highlight w:val="none"/>
                <w:lang w:eastAsia="zh-CN"/>
              </w:rPr>
            </w:pPr>
            <w:r>
              <w:rPr>
                <w:rFonts w:hint="default" w:ascii="Times New Roman" w:hAnsi="Times New Roman"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4" w:hRule="atLeast"/>
          <w:jc w:val="center"/>
        </w:trPr>
        <w:tc>
          <w:tcPr>
            <w:tcW w:w="395" w:type="pct"/>
            <w:vMerge w:val="continue"/>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775" w:type="pct"/>
            <w:shd w:val="clear" w:color="000000" w:fill="FFFFFF"/>
            <w:vAlign w:val="center"/>
          </w:tcPr>
          <w:p>
            <w:pPr>
              <w:pageBreakBefore w:val="0"/>
              <w:widowControl/>
              <w:kinsoku/>
              <w:wordWrap/>
              <w:overflowPunct/>
              <w:topLinePunct w:val="0"/>
              <w:autoSpaceDE/>
              <w:autoSpaceDN/>
              <w:bidi w:val="0"/>
              <w:adjustRightInd/>
              <w:snapToGrid/>
              <w:spacing w:line="240" w:lineRule="auto"/>
              <w:ind w:left="0" w:leftChars="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1960" w:type="pct"/>
            <w:shd w:val="clear" w:color="000000" w:fill="FFFFFF"/>
            <w:vAlign w:val="center"/>
          </w:tcPr>
          <w:p>
            <w:pPr>
              <w:pageBreakBefore w:val="0"/>
              <w:widowControl/>
              <w:kinsoku/>
              <w:wordWrap/>
              <w:overflowPunct/>
              <w:topLinePunct w:val="0"/>
              <w:autoSpaceDE/>
              <w:autoSpaceDN/>
              <w:bidi w:val="0"/>
              <w:adjustRightInd/>
              <w:snapToGrid/>
              <w:spacing w:line="240" w:lineRule="auto"/>
              <w:ind w:left="0" w:leftChars="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514" w:type="pct"/>
            <w:gridSpan w:val="2"/>
            <w:shd w:val="clear" w:color="000000"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000000"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kern w:val="0"/>
                <w:sz w:val="18"/>
                <w:szCs w:val="18"/>
                <w:highlight w:val="none"/>
                <w:lang w:eastAsia="zh-CN"/>
              </w:rPr>
            </w:pPr>
            <w:r>
              <w:rPr>
                <w:rFonts w:hint="default" w:ascii="Times New Roman" w:hAnsi="Times New Roman"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80" w:hRule="atLeast"/>
          <w:jc w:val="center"/>
        </w:trPr>
        <w:tc>
          <w:tcPr>
            <w:tcW w:w="395" w:type="pct"/>
            <w:vMerge w:val="continue"/>
            <w:shd w:val="clear" w:color="auto" w:fill="FFFFFF"/>
            <w:vAlign w:val="center"/>
          </w:tcPr>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775" w:type="pc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1960" w:type="pc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514" w:type="pct"/>
            <w:gridSpan w:val="2"/>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5" w:type="pct"/>
            <w:vMerge w:val="continue"/>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775" w:type="pc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1960" w:type="pc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514" w:type="pct"/>
            <w:gridSpan w:val="2"/>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5" w:type="pct"/>
            <w:vMerge w:val="restart"/>
            <w:shd w:val="clear" w:color="auto" w:fill="FFFFFF"/>
            <w:vAlign w:val="center"/>
          </w:tcPr>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394" w:type="pct"/>
            <w:vMerge w:val="restar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775" w:type="pct"/>
            <w:shd w:val="clear" w:color="000000" w:fill="FFFFFF"/>
            <w:vAlign w:val="center"/>
          </w:tcPr>
          <w:p>
            <w:pPr>
              <w:pageBreakBefore w:val="0"/>
              <w:widowControl/>
              <w:kinsoku/>
              <w:wordWrap/>
              <w:overflowPunct/>
              <w:topLinePunct w:val="0"/>
              <w:autoSpaceDE/>
              <w:autoSpaceDN/>
              <w:bidi w:val="0"/>
              <w:adjustRightInd/>
              <w:snapToGrid/>
              <w:spacing w:line="240" w:lineRule="auto"/>
              <w:ind w:left="0" w:leftChars="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1960" w:type="pct"/>
            <w:shd w:val="clear" w:color="000000" w:fill="FFFFFF"/>
            <w:vAlign w:val="center"/>
          </w:tcPr>
          <w:p>
            <w:pPr>
              <w:pageBreakBefore w:val="0"/>
              <w:widowControl/>
              <w:kinsoku/>
              <w:wordWrap/>
              <w:overflowPunct/>
              <w:topLinePunct w:val="0"/>
              <w:autoSpaceDE/>
              <w:autoSpaceDN/>
              <w:bidi w:val="0"/>
              <w:adjustRightInd/>
              <w:snapToGrid/>
              <w:spacing w:line="240" w:lineRule="auto"/>
              <w:ind w:left="0" w:leftChars="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pPr>
              <w:pageBreakBefore w:val="0"/>
              <w:widowControl/>
              <w:kinsoku/>
              <w:wordWrap/>
              <w:overflowPunct/>
              <w:topLinePunct w:val="0"/>
              <w:autoSpaceDE/>
              <w:autoSpaceDN/>
              <w:bidi w:val="0"/>
              <w:adjustRightInd/>
              <w:snapToGrid/>
              <w:spacing w:line="240" w:lineRule="auto"/>
              <w:ind w:left="0" w:leftChars="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pPr>
              <w:pageBreakBefore w:val="0"/>
              <w:widowControl/>
              <w:kinsoku/>
              <w:wordWrap/>
              <w:overflowPunct/>
              <w:topLinePunct w:val="0"/>
              <w:autoSpaceDE/>
              <w:autoSpaceDN/>
              <w:bidi w:val="0"/>
              <w:adjustRightInd/>
              <w:snapToGrid/>
              <w:spacing w:line="240" w:lineRule="auto"/>
              <w:ind w:left="0" w:leftChars="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514" w:type="pct"/>
            <w:gridSpan w:val="2"/>
            <w:shd w:val="clear" w:color="000000"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5" w:type="pct"/>
            <w:vMerge w:val="continue"/>
            <w:shd w:val="clear" w:color="auto" w:fill="FFFFFF"/>
            <w:vAlign w:val="center"/>
          </w:tcPr>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775" w:type="pc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1960" w:type="pc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514" w:type="pct"/>
            <w:gridSpan w:val="2"/>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5" w:type="pct"/>
            <w:vMerge w:val="continue"/>
            <w:shd w:val="clear" w:color="auto" w:fill="FFFFFF"/>
            <w:vAlign w:val="center"/>
          </w:tcPr>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775" w:type="pct"/>
            <w:shd w:val="clear" w:color="000000" w:fill="FFFFFF"/>
            <w:vAlign w:val="center"/>
          </w:tcPr>
          <w:p>
            <w:pPr>
              <w:pageBreakBefore w:val="0"/>
              <w:widowControl/>
              <w:kinsoku/>
              <w:wordWrap/>
              <w:overflowPunct/>
              <w:topLinePunct w:val="0"/>
              <w:autoSpaceDE/>
              <w:autoSpaceDN/>
              <w:bidi w:val="0"/>
              <w:adjustRightInd/>
              <w:snapToGrid/>
              <w:spacing w:line="240" w:lineRule="auto"/>
              <w:ind w:left="0" w:leftChars="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1960" w:type="pct"/>
            <w:shd w:val="clear" w:color="000000" w:fill="FFFFFF"/>
            <w:vAlign w:val="center"/>
          </w:tcPr>
          <w:p>
            <w:pPr>
              <w:pageBreakBefore w:val="0"/>
              <w:widowControl/>
              <w:kinsoku/>
              <w:wordWrap/>
              <w:overflowPunct/>
              <w:topLinePunct w:val="0"/>
              <w:autoSpaceDE/>
              <w:autoSpaceDN/>
              <w:bidi w:val="0"/>
              <w:adjustRightInd/>
              <w:snapToGrid/>
              <w:spacing w:line="240" w:lineRule="auto"/>
              <w:ind w:left="0" w:leftChars="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514" w:type="pct"/>
            <w:gridSpan w:val="2"/>
            <w:shd w:val="clear" w:color="000000"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kern w:val="0"/>
                <w:sz w:val="18"/>
                <w:szCs w:val="18"/>
                <w:highlight w:val="none"/>
                <w:lang w:eastAsia="zh-CN"/>
              </w:rPr>
            </w:pPr>
            <w:r>
              <w:rPr>
                <w:rFonts w:hint="default" w:ascii="Times New Roman" w:hAnsi="Times New Roman"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5" w:type="pct"/>
            <w:vMerge w:val="continue"/>
            <w:shd w:val="clear" w:color="auto" w:fill="FFFFFF"/>
            <w:vAlign w:val="center"/>
          </w:tcPr>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775" w:type="pct"/>
            <w:shd w:val="clear" w:color="000000" w:fill="FFFFFF"/>
            <w:vAlign w:val="center"/>
          </w:tcPr>
          <w:p>
            <w:pPr>
              <w:pageBreakBefore w:val="0"/>
              <w:widowControl/>
              <w:kinsoku/>
              <w:wordWrap/>
              <w:overflowPunct/>
              <w:topLinePunct w:val="0"/>
              <w:autoSpaceDE/>
              <w:autoSpaceDN/>
              <w:bidi w:val="0"/>
              <w:adjustRightInd/>
              <w:snapToGrid/>
              <w:spacing w:line="240" w:lineRule="auto"/>
              <w:ind w:left="0" w:leftChars="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1960" w:type="pct"/>
            <w:shd w:val="clear" w:color="000000" w:fill="FFFFFF"/>
            <w:vAlign w:val="center"/>
          </w:tcPr>
          <w:p>
            <w:pPr>
              <w:pageBreakBefore w:val="0"/>
              <w:widowControl/>
              <w:kinsoku/>
              <w:wordWrap/>
              <w:overflowPunct/>
              <w:topLinePunct w:val="0"/>
              <w:autoSpaceDE/>
              <w:autoSpaceDN/>
              <w:bidi w:val="0"/>
              <w:adjustRightInd/>
              <w:snapToGrid/>
              <w:spacing w:line="240" w:lineRule="auto"/>
              <w:ind w:left="0" w:leftChars="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514" w:type="pct"/>
            <w:gridSpan w:val="2"/>
            <w:shd w:val="clear" w:color="000000"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kern w:val="0"/>
                <w:sz w:val="18"/>
                <w:szCs w:val="18"/>
                <w:highlight w:val="none"/>
                <w:lang w:eastAsia="zh-CN"/>
              </w:rPr>
            </w:pPr>
            <w:r>
              <w:rPr>
                <w:rFonts w:hint="default" w:ascii="Times New Roman" w:hAnsi="Times New Roman"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5" w:type="pct"/>
            <w:vMerge w:val="continue"/>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775" w:type="pct"/>
            <w:shd w:val="clear" w:color="000000" w:fill="FFFFFF"/>
            <w:vAlign w:val="center"/>
          </w:tcPr>
          <w:p>
            <w:pPr>
              <w:pageBreakBefore w:val="0"/>
              <w:widowControl/>
              <w:kinsoku/>
              <w:wordWrap/>
              <w:overflowPunct/>
              <w:topLinePunct w:val="0"/>
              <w:autoSpaceDE/>
              <w:autoSpaceDN/>
              <w:bidi w:val="0"/>
              <w:adjustRightInd/>
              <w:snapToGrid/>
              <w:spacing w:line="240" w:lineRule="auto"/>
              <w:ind w:left="0" w:leftChars="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1960" w:type="pct"/>
            <w:shd w:val="clear" w:color="000000" w:fill="FFFFFF"/>
            <w:vAlign w:val="center"/>
          </w:tcPr>
          <w:p>
            <w:pPr>
              <w:pageBreakBefore w:val="0"/>
              <w:widowControl/>
              <w:kinsoku/>
              <w:wordWrap/>
              <w:overflowPunct/>
              <w:topLinePunct w:val="0"/>
              <w:autoSpaceDE/>
              <w:autoSpaceDN/>
              <w:bidi w:val="0"/>
              <w:adjustRightInd/>
              <w:snapToGrid/>
              <w:spacing w:line="240" w:lineRule="auto"/>
              <w:ind w:left="0" w:leftChars="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514" w:type="pct"/>
            <w:gridSpan w:val="2"/>
            <w:shd w:val="clear" w:color="000000"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kern w:val="0"/>
                <w:sz w:val="18"/>
                <w:szCs w:val="18"/>
                <w:highlight w:val="none"/>
                <w:lang w:eastAsia="zh-CN"/>
              </w:rPr>
            </w:pPr>
            <w:r>
              <w:rPr>
                <w:rFonts w:hint="default" w:ascii="Times New Roman" w:hAnsi="Times New Roman"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53" w:hRule="atLeast"/>
          <w:jc w:val="center"/>
        </w:trPr>
        <w:tc>
          <w:tcPr>
            <w:tcW w:w="395" w:type="pct"/>
            <w:vMerge w:val="restar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394" w:type="pc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775" w:type="pct"/>
            <w:shd w:val="clear" w:color="000000" w:fill="FFFFFF"/>
            <w:vAlign w:val="center"/>
          </w:tcPr>
          <w:p>
            <w:pPr>
              <w:pageBreakBefore w:val="0"/>
              <w:widowControl/>
              <w:kinsoku/>
              <w:wordWrap/>
              <w:overflowPunct/>
              <w:topLinePunct w:val="0"/>
              <w:autoSpaceDE/>
              <w:autoSpaceDN/>
              <w:bidi w:val="0"/>
              <w:adjustRightInd/>
              <w:snapToGrid/>
              <w:spacing w:line="240" w:lineRule="auto"/>
              <w:ind w:left="0" w:leftChars="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1960" w:type="pct"/>
            <w:shd w:val="clear" w:color="000000" w:fill="FFFFFF"/>
            <w:vAlign w:val="center"/>
          </w:tcPr>
          <w:p>
            <w:pPr>
              <w:pageBreakBefore w:val="0"/>
              <w:widowControl/>
              <w:kinsoku/>
              <w:wordWrap/>
              <w:overflowPunct/>
              <w:topLinePunct w:val="0"/>
              <w:autoSpaceDE/>
              <w:autoSpaceDN/>
              <w:bidi w:val="0"/>
              <w:adjustRightInd/>
              <w:snapToGrid/>
              <w:spacing w:line="240" w:lineRule="auto"/>
              <w:ind w:left="0" w:leftChars="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514" w:type="pct"/>
            <w:gridSpan w:val="2"/>
            <w:shd w:val="clear" w:color="000000"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kern w:val="0"/>
                <w:sz w:val="18"/>
                <w:szCs w:val="18"/>
                <w:highlight w:val="none"/>
                <w:lang w:val="en-US" w:eastAsia="zh-CN"/>
              </w:rPr>
            </w:pPr>
            <w:r>
              <w:rPr>
                <w:rFonts w:hint="default" w:ascii="Times New Roman" w:hAnsi="Times New Roman"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3" w:hRule="atLeast"/>
          <w:jc w:val="center"/>
        </w:trPr>
        <w:tc>
          <w:tcPr>
            <w:tcW w:w="395" w:type="pct"/>
            <w:vMerge w:val="continue"/>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775" w:type="pct"/>
            <w:shd w:val="clear" w:color="000000" w:fill="FFFFFF"/>
            <w:vAlign w:val="center"/>
          </w:tcPr>
          <w:p>
            <w:pPr>
              <w:pageBreakBefore w:val="0"/>
              <w:widowControl/>
              <w:kinsoku/>
              <w:wordWrap/>
              <w:overflowPunct/>
              <w:topLinePunct w:val="0"/>
              <w:autoSpaceDE/>
              <w:autoSpaceDN/>
              <w:bidi w:val="0"/>
              <w:adjustRightInd/>
              <w:snapToGrid/>
              <w:spacing w:line="240" w:lineRule="auto"/>
              <w:ind w:left="0" w:leftChars="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1960" w:type="pct"/>
            <w:shd w:val="clear" w:color="000000" w:fill="FFFFFF"/>
            <w:vAlign w:val="center"/>
          </w:tcPr>
          <w:p>
            <w:pPr>
              <w:pageBreakBefore w:val="0"/>
              <w:widowControl/>
              <w:kinsoku/>
              <w:wordWrap/>
              <w:overflowPunct/>
              <w:topLinePunct w:val="0"/>
              <w:autoSpaceDE/>
              <w:autoSpaceDN/>
              <w:bidi w:val="0"/>
              <w:adjustRightInd/>
              <w:snapToGrid/>
              <w:spacing w:line="240" w:lineRule="auto"/>
              <w:ind w:left="0" w:leftChars="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pPr>
              <w:pageBreakBefore w:val="0"/>
              <w:widowControl/>
              <w:kinsoku/>
              <w:wordWrap/>
              <w:overflowPunct/>
              <w:topLinePunct w:val="0"/>
              <w:autoSpaceDE/>
              <w:autoSpaceDN/>
              <w:bidi w:val="0"/>
              <w:adjustRightInd/>
              <w:snapToGrid/>
              <w:spacing w:line="240" w:lineRule="auto"/>
              <w:ind w:left="0" w:leftChars="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4" w:type="pct"/>
            <w:gridSpan w:val="2"/>
            <w:shd w:val="clear" w:color="000000"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kern w:val="0"/>
                <w:sz w:val="18"/>
                <w:szCs w:val="18"/>
                <w:highlight w:val="none"/>
                <w:lang w:val="en-US" w:eastAsia="zh-CN"/>
              </w:rPr>
            </w:pPr>
            <w:r>
              <w:rPr>
                <w:rFonts w:hint="default" w:ascii="Times New Roman" w:hAnsi="Times New Roman"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5" w:type="pct"/>
            <w:vMerge w:val="continue"/>
            <w:shd w:val="clear" w:color="auto" w:fill="FFFFFF"/>
            <w:vAlign w:val="center"/>
          </w:tcPr>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pageBreakBefore w:val="0"/>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775" w:type="pct"/>
            <w:shd w:val="clear" w:color="000000" w:fill="FFFFFF"/>
            <w:vAlign w:val="center"/>
          </w:tcPr>
          <w:p>
            <w:pPr>
              <w:pageBreakBefore w:val="0"/>
              <w:widowControl/>
              <w:kinsoku/>
              <w:wordWrap/>
              <w:overflowPunct/>
              <w:topLinePunct w:val="0"/>
              <w:autoSpaceDE/>
              <w:autoSpaceDN/>
              <w:bidi w:val="0"/>
              <w:adjustRightInd/>
              <w:snapToGrid/>
              <w:spacing w:line="240" w:lineRule="auto"/>
              <w:ind w:left="0" w:leftChars="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1960" w:type="pct"/>
            <w:shd w:val="clear" w:color="000000" w:fill="FFFFFF"/>
            <w:vAlign w:val="center"/>
          </w:tcPr>
          <w:p>
            <w:pPr>
              <w:pageBreakBefore w:val="0"/>
              <w:widowControl/>
              <w:kinsoku/>
              <w:wordWrap/>
              <w:overflowPunct/>
              <w:topLinePunct w:val="0"/>
              <w:autoSpaceDE/>
              <w:autoSpaceDN/>
              <w:bidi w:val="0"/>
              <w:adjustRightInd/>
              <w:snapToGrid/>
              <w:spacing w:line="240" w:lineRule="auto"/>
              <w:ind w:left="0" w:leftChars="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514" w:type="pct"/>
            <w:gridSpan w:val="2"/>
            <w:shd w:val="clear" w:color="000000"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kern w:val="0"/>
                <w:sz w:val="18"/>
                <w:szCs w:val="18"/>
                <w:highlight w:val="none"/>
                <w:lang w:val="en-US" w:eastAsia="zh-CN"/>
              </w:rPr>
            </w:pPr>
            <w:r>
              <w:rPr>
                <w:rFonts w:hint="default" w:ascii="Times New Roman" w:hAnsi="Times New Roman"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5" w:type="pct"/>
            <w:vMerge w:val="continue"/>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775" w:type="pct"/>
            <w:shd w:val="clear" w:color="000000" w:fill="FFFFFF"/>
            <w:vAlign w:val="center"/>
          </w:tcPr>
          <w:p>
            <w:pPr>
              <w:pageBreakBefore w:val="0"/>
              <w:widowControl/>
              <w:kinsoku/>
              <w:wordWrap/>
              <w:overflowPunct/>
              <w:topLinePunct w:val="0"/>
              <w:autoSpaceDE/>
              <w:autoSpaceDN/>
              <w:bidi w:val="0"/>
              <w:adjustRightInd/>
              <w:snapToGrid/>
              <w:spacing w:line="240" w:lineRule="auto"/>
              <w:ind w:left="0" w:leftChars="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1960" w:type="pct"/>
            <w:shd w:val="clear" w:color="000000" w:fill="FFFFFF"/>
            <w:vAlign w:val="center"/>
          </w:tcPr>
          <w:p>
            <w:pPr>
              <w:pageBreakBefore w:val="0"/>
              <w:widowControl/>
              <w:kinsoku/>
              <w:wordWrap/>
              <w:overflowPunct/>
              <w:topLinePunct w:val="0"/>
              <w:autoSpaceDE/>
              <w:autoSpaceDN/>
              <w:bidi w:val="0"/>
              <w:adjustRightInd/>
              <w:snapToGrid/>
              <w:spacing w:line="240" w:lineRule="auto"/>
              <w:ind w:left="0" w:leftChars="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514" w:type="pct"/>
            <w:gridSpan w:val="2"/>
            <w:shd w:val="clear" w:color="000000"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kern w:val="0"/>
                <w:sz w:val="18"/>
                <w:szCs w:val="18"/>
                <w:highlight w:val="none"/>
                <w:lang w:val="en-US" w:eastAsia="zh-CN"/>
              </w:rPr>
            </w:pPr>
            <w:r>
              <w:rPr>
                <w:rFonts w:hint="default" w:ascii="Times New Roman" w:hAnsi="Times New Roman"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5" w:type="pct"/>
            <w:vMerge w:val="restar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394" w:type="pct"/>
            <w:vMerge w:val="restar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775" w:type="pc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1960" w:type="pc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514" w:type="pct"/>
            <w:gridSpan w:val="2"/>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kern w:val="0"/>
                <w:sz w:val="18"/>
                <w:szCs w:val="18"/>
                <w:highlight w:val="none"/>
                <w:lang w:val="en-US" w:eastAsia="zh-CN"/>
              </w:rPr>
            </w:pPr>
            <w:r>
              <w:rPr>
                <w:rFonts w:hint="default" w:ascii="Times New Roman" w:hAnsi="Times New Roman"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5" w:type="pct"/>
            <w:vMerge w:val="continue"/>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775" w:type="pct"/>
            <w:shd w:val="clear" w:color="000000" w:fill="FFFFFF"/>
            <w:vAlign w:val="center"/>
          </w:tcPr>
          <w:p>
            <w:pPr>
              <w:pageBreakBefore w:val="0"/>
              <w:widowControl/>
              <w:kinsoku/>
              <w:wordWrap/>
              <w:overflowPunct/>
              <w:topLinePunct w:val="0"/>
              <w:autoSpaceDE/>
              <w:autoSpaceDN/>
              <w:bidi w:val="0"/>
              <w:adjustRightInd/>
              <w:snapToGrid/>
              <w:spacing w:line="240" w:lineRule="auto"/>
              <w:ind w:left="0" w:leftChars="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1960" w:type="pct"/>
            <w:shd w:val="clear" w:color="000000" w:fill="FFFFFF"/>
            <w:vAlign w:val="center"/>
          </w:tcPr>
          <w:p>
            <w:pPr>
              <w:pageBreakBefore w:val="0"/>
              <w:widowControl/>
              <w:kinsoku/>
              <w:wordWrap/>
              <w:overflowPunct/>
              <w:topLinePunct w:val="0"/>
              <w:autoSpaceDE/>
              <w:autoSpaceDN/>
              <w:bidi w:val="0"/>
              <w:adjustRightInd/>
              <w:snapToGrid/>
              <w:spacing w:line="240" w:lineRule="auto"/>
              <w:ind w:left="0" w:leftChars="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514" w:type="pct"/>
            <w:gridSpan w:val="2"/>
            <w:shd w:val="clear" w:color="000000"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kern w:val="0"/>
                <w:sz w:val="18"/>
                <w:szCs w:val="18"/>
                <w:highlight w:val="none"/>
                <w:lang w:val="en-US" w:eastAsia="zh-CN"/>
              </w:rPr>
            </w:pPr>
            <w:r>
              <w:rPr>
                <w:rFonts w:hint="default" w:ascii="Times New Roman" w:hAnsi="Times New Roman"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3" w:hRule="atLeast"/>
          <w:jc w:val="center"/>
        </w:trPr>
        <w:tc>
          <w:tcPr>
            <w:tcW w:w="3949" w:type="pct"/>
            <w:gridSpan w:val="6"/>
            <w:shd w:val="clear" w:color="auto"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kern w:val="0"/>
                <w:sz w:val="18"/>
                <w:szCs w:val="18"/>
                <w:highlight w:val="none"/>
                <w:lang w:val="en-US" w:eastAsia="zh-CN"/>
              </w:rPr>
            </w:pPr>
            <w:r>
              <w:rPr>
                <w:rFonts w:hint="default" w:ascii="Times New Roman" w:hAnsi="Times New Roman" w:eastAsia="仿宋_GB2312" w:cs="Times New Roman"/>
                <w:b/>
                <w:bCs/>
                <w:color w:val="000000"/>
                <w:kern w:val="0"/>
                <w:sz w:val="18"/>
                <w:szCs w:val="18"/>
                <w:highlight w:val="none"/>
                <w:lang w:val="en-US" w:eastAsia="zh-CN"/>
              </w:rPr>
              <w:t>合计</w:t>
            </w:r>
          </w:p>
        </w:tc>
        <w:tc>
          <w:tcPr>
            <w:tcW w:w="512" w:type="pct"/>
            <w:shd w:val="clear" w:color="000000"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fldChar w:fldCharType="begin"/>
            </w:r>
            <w:r>
              <w:rPr>
                <w:rFonts w:hint="default" w:ascii="Times New Roman" w:hAnsi="Times New Roman" w:eastAsia="仿宋_GB2312" w:cs="Times New Roman"/>
                <w:b/>
                <w:bCs/>
                <w:color w:val="000000"/>
                <w:kern w:val="0"/>
                <w:sz w:val="18"/>
                <w:szCs w:val="18"/>
                <w:highlight w:val="none"/>
              </w:rPr>
              <w:instrText xml:space="preserve"> = sum(F2:F18) \* MERGEFORMAT </w:instrText>
            </w:r>
            <w:r>
              <w:rPr>
                <w:rFonts w:hint="default" w:ascii="Times New Roman" w:hAnsi="Times New Roman" w:eastAsia="仿宋_GB2312" w:cs="Times New Roman"/>
                <w:b/>
                <w:bCs/>
                <w:color w:val="000000"/>
                <w:kern w:val="0"/>
                <w:sz w:val="18"/>
                <w:szCs w:val="18"/>
                <w:highlight w:val="none"/>
              </w:rPr>
              <w:fldChar w:fldCharType="separate"/>
            </w:r>
            <w:r>
              <w:rPr>
                <w:rFonts w:hint="default" w:ascii="Times New Roman" w:hAnsi="Times New Roman" w:eastAsia="仿宋_GB2312" w:cs="Times New Roman"/>
                <w:b/>
                <w:bCs/>
                <w:color w:val="000000"/>
                <w:kern w:val="0"/>
                <w:sz w:val="18"/>
                <w:szCs w:val="18"/>
                <w:highlight w:val="none"/>
              </w:rPr>
              <w:t>100</w:t>
            </w:r>
            <w:r>
              <w:rPr>
                <w:rFonts w:hint="default" w:ascii="Times New Roman" w:hAnsi="Times New Roman" w:eastAsia="仿宋_GB2312" w:cs="Times New Roman"/>
                <w:b/>
                <w:bCs/>
                <w:color w:val="000000"/>
                <w:kern w:val="0"/>
                <w:sz w:val="18"/>
                <w:szCs w:val="18"/>
                <w:highlight w:val="none"/>
              </w:rPr>
              <w:fldChar w:fldCharType="end"/>
            </w:r>
          </w:p>
        </w:tc>
        <w:tc>
          <w:tcPr>
            <w:tcW w:w="538" w:type="pct"/>
            <w:shd w:val="clear" w:color="000000" w:fill="FFFFFF"/>
            <w:vAlign w:val="center"/>
          </w:tcPr>
          <w:p>
            <w:pPr>
              <w:pageBreakBefore w:val="0"/>
              <w:widowControl/>
              <w:kinsoku/>
              <w:wordWrap/>
              <w:overflowPunct/>
              <w:topLinePunct w:val="0"/>
              <w:autoSpaceDE/>
              <w:autoSpaceDN/>
              <w:bidi w:val="0"/>
              <w:adjustRightInd/>
              <w:snapToGrid/>
              <w:spacing w:line="240" w:lineRule="auto"/>
              <w:ind w:left="0" w:leftChars="0"/>
              <w:jc w:val="center"/>
              <w:rPr>
                <w:rFonts w:hint="default" w:ascii="Times New Roman" w:hAnsi="Times New Roman" w:eastAsia="仿宋_GB2312" w:cs="Times New Roman"/>
                <w:b/>
                <w:bCs/>
                <w:color w:val="000000"/>
                <w:kern w:val="0"/>
                <w:sz w:val="18"/>
                <w:szCs w:val="18"/>
                <w:highlight w:val="none"/>
                <w:lang w:val="en-US" w:eastAsia="zh-CN"/>
              </w:rPr>
            </w:pPr>
            <w:r>
              <w:rPr>
                <w:rFonts w:hint="default" w:ascii="Times New Roman" w:hAnsi="Times New Roman" w:eastAsia="仿宋_GB2312" w:cs="Times New Roman"/>
                <w:b/>
                <w:bCs/>
                <w:color w:val="000000"/>
                <w:kern w:val="0"/>
                <w:sz w:val="18"/>
                <w:szCs w:val="18"/>
                <w:highlight w:val="none"/>
                <w:lang w:val="en-US" w:eastAsia="zh-CN"/>
              </w:rPr>
              <w:t>100</w:t>
            </w:r>
          </w:p>
        </w:tc>
      </w:tr>
    </w:tbl>
    <w:p>
      <w:pPr>
        <w:pageBreakBefore w:val="0"/>
        <w:kinsoku/>
        <w:wordWrap/>
        <w:overflowPunct/>
        <w:topLinePunct w:val="0"/>
        <w:autoSpaceDE/>
        <w:autoSpaceDN/>
        <w:bidi w:val="0"/>
        <w:adjustRightInd/>
        <w:snapToGrid/>
        <w:spacing w:line="240" w:lineRule="auto"/>
        <w:ind w:left="0" w:leftChars="0"/>
        <w:rPr>
          <w:rFonts w:hint="default" w:ascii="Times New Roman" w:hAnsi="Times New Roman" w:cs="Times New Roman"/>
          <w:highlight w:val="none"/>
        </w:rPr>
        <w:sectPr>
          <w:pgSz w:w="16838" w:h="11906" w:orient="landscape"/>
          <w:pgMar w:top="1800" w:right="1440" w:bottom="1558" w:left="1440" w:header="851" w:footer="992" w:gutter="0"/>
          <w:cols w:space="425" w:num="1"/>
          <w:docGrid w:type="lines" w:linePitch="312" w:charSpace="0"/>
        </w:sectPr>
      </w:pPr>
    </w:p>
    <w:p>
      <w:pPr>
        <w:pageBreakBefore w:val="0"/>
        <w:kinsoku/>
        <w:wordWrap/>
        <w:overflowPunct/>
        <w:topLinePunct w:val="0"/>
        <w:autoSpaceDE/>
        <w:autoSpaceDN/>
        <w:bidi w:val="0"/>
        <w:adjustRightInd/>
        <w:snapToGrid/>
        <w:spacing w:line="240" w:lineRule="auto"/>
        <w:ind w:left="0" w:leftChars="0"/>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附件2</w:t>
      </w:r>
    </w:p>
    <w:tbl>
      <w:tblPr>
        <w:tblStyle w:val="15"/>
        <w:tblW w:w="1407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43"/>
        <w:gridCol w:w="587"/>
        <w:gridCol w:w="1167"/>
        <w:gridCol w:w="1459"/>
        <w:gridCol w:w="1200"/>
        <w:gridCol w:w="792"/>
        <w:gridCol w:w="653"/>
        <w:gridCol w:w="684"/>
        <w:gridCol w:w="984"/>
        <w:gridCol w:w="960"/>
        <w:gridCol w:w="984"/>
        <w:gridCol w:w="1068"/>
        <w:gridCol w:w="1140"/>
        <w:gridCol w:w="16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4077"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default" w:ascii="Times New Roman" w:hAnsi="Times New Roman" w:eastAsia="华文中宋" w:cs="Times New Roman"/>
                <w:b/>
                <w:bCs/>
                <w:i w:val="0"/>
                <w:iCs w:val="0"/>
                <w:color w:val="000000"/>
                <w:sz w:val="40"/>
                <w:szCs w:val="40"/>
                <w:highlight w:val="none"/>
                <w:u w:val="none"/>
              </w:rPr>
            </w:pPr>
            <w:r>
              <w:rPr>
                <w:rFonts w:hint="default" w:ascii="Times New Roman" w:hAnsi="Times New Roman" w:eastAsia="华文中宋" w:cs="Times New Roman"/>
                <w:b/>
                <w:bCs/>
                <w:i w:val="0"/>
                <w:iCs w:val="0"/>
                <w:color w:val="000000"/>
                <w:kern w:val="0"/>
                <w:sz w:val="40"/>
                <w:szCs w:val="40"/>
                <w:highlight w:val="none"/>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 w:hRule="atLeast"/>
        </w:trPr>
        <w:tc>
          <w:tcPr>
            <w:tcW w:w="14077"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default" w:ascii="Times New Roman" w:hAnsi="Times New Roman" w:eastAsia="宋体" w:cs="Times New Roman"/>
                <w:b/>
                <w:bCs/>
                <w:i w:val="0"/>
                <w:iCs w:val="0"/>
                <w:color w:val="000000"/>
                <w:sz w:val="22"/>
                <w:szCs w:val="22"/>
                <w:highlight w:val="none"/>
                <w:u w:val="none"/>
              </w:rPr>
            </w:pPr>
            <w:r>
              <w:rPr>
                <w:rFonts w:hint="default" w:ascii="Times New Roman" w:hAnsi="Times New Roman" w:eastAsia="宋体" w:cs="Times New Roman"/>
                <w:b/>
                <w:bCs/>
                <w:i w:val="0"/>
                <w:iCs w:val="0"/>
                <w:color w:val="000000"/>
                <w:kern w:val="0"/>
                <w:sz w:val="22"/>
                <w:szCs w:val="22"/>
                <w:highlight w:val="none"/>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3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项目名称</w:t>
            </w:r>
          </w:p>
        </w:tc>
        <w:tc>
          <w:tcPr>
            <w:tcW w:w="12747"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巴财农【2024】13号关于下达2024年中央耕地建设与利用资金预算的通知582.4万（化肥减量7.4万，三次土壤普查75万）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3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主管部门</w:t>
            </w:r>
          </w:p>
        </w:tc>
        <w:tc>
          <w:tcPr>
            <w:tcW w:w="527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库尔勒市农业技术推广中心</w:t>
            </w:r>
          </w:p>
        </w:tc>
        <w:tc>
          <w:tcPr>
            <w:tcW w:w="16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实施单位</w:t>
            </w:r>
          </w:p>
        </w:tc>
        <w:tc>
          <w:tcPr>
            <w:tcW w:w="58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库尔勒市农业技术推广中心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8" w:hRule="atLeast"/>
        </w:trPr>
        <w:tc>
          <w:tcPr>
            <w:tcW w:w="133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项目资金</w:t>
            </w:r>
            <w:r>
              <w:rPr>
                <w:rFonts w:hint="default" w:ascii="Times New Roman" w:hAnsi="Times New Roman" w:eastAsia="宋体" w:cs="Times New Roman"/>
                <w:i w:val="0"/>
                <w:iCs w:val="0"/>
                <w:color w:val="000000"/>
                <w:kern w:val="0"/>
                <w:sz w:val="18"/>
                <w:szCs w:val="18"/>
                <w:highlight w:val="none"/>
                <w:u w:val="none"/>
                <w:lang w:val="en-US" w:eastAsia="zh-CN" w:bidi="ar"/>
              </w:rPr>
              <w:br w:type="textWrapping"/>
            </w:r>
            <w:r>
              <w:rPr>
                <w:rFonts w:hint="default" w:ascii="Times New Roman" w:hAnsi="Times New Roman" w:eastAsia="宋体" w:cs="Times New Roman"/>
                <w:i w:val="0"/>
                <w:iCs w:val="0"/>
                <w:color w:val="000000"/>
                <w:kern w:val="0"/>
                <w:sz w:val="18"/>
                <w:szCs w:val="18"/>
                <w:highlight w:val="none"/>
                <w:u w:val="none"/>
                <w:lang w:val="en-US" w:eastAsia="zh-CN" w:bidi="ar"/>
              </w:rPr>
              <w:t>（万元）</w:t>
            </w:r>
          </w:p>
        </w:tc>
        <w:tc>
          <w:tcPr>
            <w:tcW w:w="26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资金来源</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年初预算数</w:t>
            </w:r>
          </w:p>
        </w:tc>
        <w:tc>
          <w:tcPr>
            <w:tcW w:w="14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全年预算数</w:t>
            </w:r>
          </w:p>
        </w:tc>
        <w:tc>
          <w:tcPr>
            <w:tcW w:w="16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全年执行数</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分值权重</w:t>
            </w:r>
          </w:p>
        </w:tc>
        <w:tc>
          <w:tcPr>
            <w:tcW w:w="22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执行率</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13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before="0" w:after="0" w:line="240" w:lineRule="auto"/>
              <w:ind w:left="0" w:leftChars="0"/>
              <w:jc w:val="center"/>
              <w:rPr>
                <w:rFonts w:hint="default" w:ascii="Times New Roman" w:hAnsi="Times New Roman" w:eastAsia="宋体" w:cs="Times New Roman"/>
                <w:i w:val="0"/>
                <w:iCs w:val="0"/>
                <w:color w:val="000000"/>
                <w:sz w:val="18"/>
                <w:szCs w:val="18"/>
                <w:highlight w:val="none"/>
                <w:u w:val="none"/>
              </w:rPr>
            </w:pPr>
          </w:p>
        </w:tc>
        <w:tc>
          <w:tcPr>
            <w:tcW w:w="26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年度资金总额</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82.40</w:t>
            </w:r>
          </w:p>
        </w:tc>
        <w:tc>
          <w:tcPr>
            <w:tcW w:w="14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82.40</w:t>
            </w:r>
          </w:p>
        </w:tc>
        <w:tc>
          <w:tcPr>
            <w:tcW w:w="16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82.40</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10</w:t>
            </w:r>
          </w:p>
        </w:tc>
        <w:tc>
          <w:tcPr>
            <w:tcW w:w="22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100.00%</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trPr>
        <w:tc>
          <w:tcPr>
            <w:tcW w:w="13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before="0" w:after="0" w:line="240" w:lineRule="auto"/>
              <w:ind w:left="0" w:leftChars="0"/>
              <w:jc w:val="center"/>
              <w:rPr>
                <w:rFonts w:hint="default" w:ascii="Times New Roman" w:hAnsi="Times New Roman" w:eastAsia="宋体" w:cs="Times New Roman"/>
                <w:i w:val="0"/>
                <w:iCs w:val="0"/>
                <w:color w:val="000000"/>
                <w:sz w:val="18"/>
                <w:szCs w:val="18"/>
                <w:highlight w:val="none"/>
                <w:u w:val="none"/>
              </w:rPr>
            </w:pPr>
          </w:p>
        </w:tc>
        <w:tc>
          <w:tcPr>
            <w:tcW w:w="26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其中：当年财政拨款</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82.4</w:t>
            </w:r>
          </w:p>
        </w:tc>
        <w:tc>
          <w:tcPr>
            <w:tcW w:w="14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82.4</w:t>
            </w:r>
          </w:p>
        </w:tc>
        <w:tc>
          <w:tcPr>
            <w:tcW w:w="16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82.4</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w:t>
            </w:r>
          </w:p>
        </w:tc>
        <w:tc>
          <w:tcPr>
            <w:tcW w:w="22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2" w:hRule="atLeast"/>
        </w:trPr>
        <w:tc>
          <w:tcPr>
            <w:tcW w:w="13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before="0" w:after="0" w:line="240" w:lineRule="auto"/>
              <w:ind w:left="0" w:leftChars="0"/>
              <w:jc w:val="center"/>
              <w:rPr>
                <w:rFonts w:hint="default" w:ascii="Times New Roman" w:hAnsi="Times New Roman" w:eastAsia="宋体" w:cs="Times New Roman"/>
                <w:i w:val="0"/>
                <w:iCs w:val="0"/>
                <w:color w:val="000000"/>
                <w:sz w:val="18"/>
                <w:szCs w:val="18"/>
                <w:highlight w:val="none"/>
                <w:u w:val="none"/>
              </w:rPr>
            </w:pPr>
          </w:p>
        </w:tc>
        <w:tc>
          <w:tcPr>
            <w:tcW w:w="26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其他资金</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0</w:t>
            </w:r>
          </w:p>
        </w:tc>
        <w:tc>
          <w:tcPr>
            <w:tcW w:w="14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0</w:t>
            </w:r>
          </w:p>
        </w:tc>
        <w:tc>
          <w:tcPr>
            <w:tcW w:w="16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before="0" w:after="0" w:line="240" w:lineRule="auto"/>
              <w:ind w:left="0" w:leftChars="0"/>
              <w:jc w:val="center"/>
              <w:rPr>
                <w:rFonts w:hint="default" w:ascii="Times New Roman" w:hAnsi="Times New Roman" w:eastAsia="宋体" w:cs="Times New Roman"/>
                <w:i w:val="0"/>
                <w:iCs w:val="0"/>
                <w:color w:val="000000"/>
                <w:sz w:val="18"/>
                <w:szCs w:val="18"/>
                <w:highlight w:val="none"/>
                <w:u w:val="none"/>
              </w:rPr>
            </w:pP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w:t>
            </w:r>
          </w:p>
        </w:tc>
        <w:tc>
          <w:tcPr>
            <w:tcW w:w="22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4" w:hRule="atLeast"/>
        </w:trPr>
        <w:tc>
          <w:tcPr>
            <w:tcW w:w="7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年度总体目标</w:t>
            </w:r>
          </w:p>
        </w:tc>
        <w:tc>
          <w:tcPr>
            <w:tcW w:w="752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总体目标</w:t>
            </w:r>
          </w:p>
        </w:tc>
        <w:tc>
          <w:tcPr>
            <w:tcW w:w="58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60" w:hRule="atLeast"/>
        </w:trPr>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before="0" w:after="0" w:line="240" w:lineRule="auto"/>
              <w:ind w:left="0" w:leftChars="0"/>
              <w:jc w:val="center"/>
              <w:rPr>
                <w:rFonts w:hint="default" w:ascii="Times New Roman" w:hAnsi="Times New Roman" w:eastAsia="宋体" w:cs="Times New Roman"/>
                <w:i w:val="0"/>
                <w:iCs w:val="0"/>
                <w:color w:val="000000"/>
                <w:sz w:val="18"/>
                <w:szCs w:val="18"/>
                <w:highlight w:val="none"/>
                <w:u w:val="none"/>
              </w:rPr>
            </w:pPr>
          </w:p>
        </w:tc>
        <w:tc>
          <w:tcPr>
            <w:tcW w:w="752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 xml:space="preserve">目标1.用于完成850个点位的外业调查采样的内业测试化验，切实摸清我市土壤质量家底，守住耕地红线保护生态环境，优化农业生产布局，推进农业高质量发展。根据库尔勒市的实际，综合考虑农作物的种植面积及分布、种植制度、地力水平等因素，选取有代表性的田块，完成完成田间肥料试验3个。在综合考虑种植制度、施肥主体等因素，以种植大户、家庭农场、合作社等为主，兼顾小农户等种植主体，开展农户施肥情况调查185户。          </w:t>
            </w:r>
            <w:r>
              <w:rPr>
                <w:rFonts w:hint="default" w:ascii="Times New Roman" w:hAnsi="Times New Roman" w:eastAsia="宋体" w:cs="Times New Roman"/>
                <w:i w:val="0"/>
                <w:iCs w:val="0"/>
                <w:color w:val="000000"/>
                <w:kern w:val="0"/>
                <w:sz w:val="18"/>
                <w:szCs w:val="18"/>
                <w:highlight w:val="none"/>
                <w:u w:val="none"/>
                <w:lang w:val="en-US" w:eastAsia="zh-CN" w:bidi="ar"/>
              </w:rPr>
              <w:br w:type="textWrapping"/>
            </w:r>
            <w:r>
              <w:rPr>
                <w:rFonts w:hint="default" w:ascii="Times New Roman" w:hAnsi="Times New Roman" w:eastAsia="宋体" w:cs="Times New Roman"/>
                <w:i w:val="0"/>
                <w:iCs w:val="0"/>
                <w:color w:val="000000"/>
                <w:kern w:val="0"/>
                <w:sz w:val="18"/>
                <w:szCs w:val="18"/>
                <w:highlight w:val="none"/>
                <w:u w:val="none"/>
                <w:lang w:val="en-US" w:eastAsia="zh-CN" w:bidi="ar"/>
              </w:rPr>
              <w:t>目标2.11个乡镇实现科学施肥增效，巩固拓展测土配方施肥基础工作，集成推广科学施肥高效模式，促进耕地质量提升和资源可持续利用，推动农业可持续发展。</w:t>
            </w:r>
          </w:p>
        </w:tc>
        <w:tc>
          <w:tcPr>
            <w:tcW w:w="58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2024年通过项目的实施，完成850个点位的外业调查采样的内业测试化验，为切实摸清我市土壤质量家底，奠定理论基础。根据库尔勒市的种植结构，完成棉花、加工辣椒新型肥料田间试验3个，为优化施肥方案，实现化肥减量提供理论依据。在全市范围内，以种植大户、家庭农场、合作社及小农户等为主，完成农户施肥情况调查185户。在11个乡镇推广测土配方施肥施肥、水肥一体化等科学施肥技术，促进耕地质量提升和资源可持续利用，推动农业可持续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4" w:hRule="atLeast"/>
        </w:trPr>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一级指标</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二级指标</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三级指标</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指标值</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指标值设置依据</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上年完成值</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指标分值权重</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指标赋分规则</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佐证资料</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指标实际完成值</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完成率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指标得分</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4" w:hRule="atLeast"/>
        </w:trPr>
        <w:tc>
          <w:tcPr>
            <w:tcW w:w="7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年度绩效指标完成情况</w:t>
            </w:r>
          </w:p>
        </w:tc>
        <w:tc>
          <w:tcPr>
            <w:tcW w:w="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产出指标</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数量指标</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外业采样点位的内业化验个数</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&gt;=850个</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计划标准</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10</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按照正常比例赋分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工作资料</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=850个</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100%</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10</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c>
          <w:tcPr>
            <w:tcW w:w="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数量指标</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田间肥料试验个数</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=3个</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计划标准</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10</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按照正常比例赋分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工作资料</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=3个</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100%</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10</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2" w:hRule="atLeast"/>
        </w:trPr>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c>
          <w:tcPr>
            <w:tcW w:w="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数量指标</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农户施肥调查户数</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=185户</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计划标准</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10</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按照正常比例赋分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工作资料</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=185户</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100%</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10</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2" w:hRule="atLeast"/>
        </w:trPr>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c>
          <w:tcPr>
            <w:tcW w:w="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质量指标</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资金支付合格率</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=100%</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计划标准</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5</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按照正常比例赋分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工作资料</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=100%</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100%</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5</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 w:hRule="atLeast"/>
        </w:trPr>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c>
          <w:tcPr>
            <w:tcW w:w="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时效指标</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资金支付及时率</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=100%</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计划标准</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5</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按照正常比例赋分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工作资料</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=100%</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100%</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5</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6" w:hRule="atLeast"/>
        </w:trPr>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c>
          <w:tcPr>
            <w:tcW w:w="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成本指标</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经济成本指标</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本次外业采样点位的内业检测成本</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&lt;=75万元</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计划标准</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10</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按照正常比例赋分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原始凭证</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=75万元</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100%</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10</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atLeast"/>
        </w:trPr>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c>
          <w:tcPr>
            <w:tcW w:w="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经济成本指标</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田间试验和耕地质量调查评价成本</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&lt;=7.40万元</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计划标准</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10</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按照正常比例赋分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原始凭证</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=7.4万元</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100%</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10</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8" w:hRule="atLeast"/>
        </w:trPr>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c>
          <w:tcPr>
            <w:tcW w:w="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社会成本指标</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rPr>
                <w:rFonts w:hint="default" w:ascii="Times New Roman" w:hAnsi="Times New Roman" w:eastAsia="宋体" w:cs="Times New Roman"/>
                <w:i w:val="0"/>
                <w:iCs w:val="0"/>
                <w:color w:val="000000"/>
                <w:sz w:val="18"/>
                <w:szCs w:val="18"/>
                <w:highlight w:val="none"/>
                <w:u w:val="none"/>
              </w:rPr>
            </w:pP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rPr>
                <w:rFonts w:hint="default" w:ascii="Times New Roman" w:hAnsi="Times New Roman" w:eastAsia="宋体" w:cs="Times New Roman"/>
                <w:i w:val="0"/>
                <w:iCs w:val="0"/>
                <w:color w:val="000000"/>
                <w:sz w:val="18"/>
                <w:szCs w:val="18"/>
                <w:highlight w:val="none"/>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rPr>
                <w:rFonts w:hint="default" w:ascii="Times New Roman" w:hAnsi="Times New Roman" w:eastAsia="宋体" w:cs="Times New Roman"/>
                <w:i w:val="0"/>
                <w:iCs w:val="0"/>
                <w:color w:val="000000"/>
                <w:sz w:val="18"/>
                <w:szCs w:val="18"/>
                <w:highlight w:val="none"/>
                <w:u w:val="none"/>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rPr>
                <w:rFonts w:hint="default" w:ascii="Times New Roman" w:hAnsi="Times New Roman" w:eastAsia="宋体" w:cs="Times New Roman"/>
                <w:i w:val="0"/>
                <w:iCs w:val="0"/>
                <w:color w:val="000000"/>
                <w:sz w:val="18"/>
                <w:szCs w:val="18"/>
                <w:highlight w:val="none"/>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rPr>
                <w:rFonts w:hint="default" w:ascii="Times New Roman" w:hAnsi="Times New Roman" w:eastAsia="宋体" w:cs="Times New Roman"/>
                <w:i w:val="0"/>
                <w:iCs w:val="0"/>
                <w:color w:val="000000"/>
                <w:sz w:val="18"/>
                <w:szCs w:val="18"/>
                <w:highlight w:val="none"/>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rPr>
                <w:rFonts w:hint="default" w:ascii="Times New Roman" w:hAnsi="Times New Roman" w:eastAsia="宋体" w:cs="Times New Roman"/>
                <w:i w:val="0"/>
                <w:iCs w:val="0"/>
                <w:color w:val="000000"/>
                <w:sz w:val="18"/>
                <w:szCs w:val="18"/>
                <w:highlight w:val="none"/>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c>
          <w:tcPr>
            <w:tcW w:w="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生态环境成本指标</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rPr>
                <w:rFonts w:hint="default" w:ascii="Times New Roman" w:hAnsi="Times New Roman" w:eastAsia="宋体" w:cs="Times New Roman"/>
                <w:i w:val="0"/>
                <w:iCs w:val="0"/>
                <w:color w:val="000000"/>
                <w:sz w:val="18"/>
                <w:szCs w:val="18"/>
                <w:highlight w:val="none"/>
                <w:u w:val="none"/>
              </w:rPr>
            </w:pP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rPr>
                <w:rFonts w:hint="default" w:ascii="Times New Roman" w:hAnsi="Times New Roman" w:eastAsia="宋体" w:cs="Times New Roman"/>
                <w:i w:val="0"/>
                <w:iCs w:val="0"/>
                <w:color w:val="000000"/>
                <w:sz w:val="18"/>
                <w:szCs w:val="18"/>
                <w:highlight w:val="none"/>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rPr>
                <w:rFonts w:hint="default" w:ascii="Times New Roman" w:hAnsi="Times New Roman" w:eastAsia="宋体" w:cs="Times New Roman"/>
                <w:i w:val="0"/>
                <w:iCs w:val="0"/>
                <w:color w:val="000000"/>
                <w:sz w:val="18"/>
                <w:szCs w:val="18"/>
                <w:highlight w:val="none"/>
                <w:u w:val="none"/>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rPr>
                <w:rFonts w:hint="default" w:ascii="Times New Roman" w:hAnsi="Times New Roman" w:eastAsia="宋体" w:cs="Times New Roman"/>
                <w:i w:val="0"/>
                <w:iCs w:val="0"/>
                <w:color w:val="000000"/>
                <w:sz w:val="18"/>
                <w:szCs w:val="18"/>
                <w:highlight w:val="none"/>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rPr>
                <w:rFonts w:hint="default" w:ascii="Times New Roman" w:hAnsi="Times New Roman" w:eastAsia="宋体" w:cs="Times New Roman"/>
                <w:i w:val="0"/>
                <w:iCs w:val="0"/>
                <w:color w:val="000000"/>
                <w:sz w:val="18"/>
                <w:szCs w:val="18"/>
                <w:highlight w:val="none"/>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rPr>
                <w:rFonts w:hint="default" w:ascii="Times New Roman" w:hAnsi="Times New Roman" w:eastAsia="宋体" w:cs="Times New Roman"/>
                <w:i w:val="0"/>
                <w:iCs w:val="0"/>
                <w:color w:val="000000"/>
                <w:sz w:val="18"/>
                <w:szCs w:val="18"/>
                <w:highlight w:val="none"/>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2" w:hRule="atLeast"/>
        </w:trPr>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c>
          <w:tcPr>
            <w:tcW w:w="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效益指标</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经济效益指标</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rPr>
                <w:rFonts w:hint="default" w:ascii="Times New Roman" w:hAnsi="Times New Roman" w:eastAsia="宋体" w:cs="Times New Roman"/>
                <w:i w:val="0"/>
                <w:iCs w:val="0"/>
                <w:color w:val="000000"/>
                <w:sz w:val="18"/>
                <w:szCs w:val="18"/>
                <w:highlight w:val="none"/>
                <w:u w:val="none"/>
              </w:rPr>
            </w:pP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rPr>
                <w:rFonts w:hint="default" w:ascii="Times New Roman" w:hAnsi="Times New Roman" w:eastAsia="宋体" w:cs="Times New Roman"/>
                <w:i w:val="0"/>
                <w:iCs w:val="0"/>
                <w:color w:val="000000"/>
                <w:sz w:val="18"/>
                <w:szCs w:val="18"/>
                <w:highlight w:val="none"/>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rPr>
                <w:rFonts w:hint="default" w:ascii="Times New Roman" w:hAnsi="Times New Roman" w:eastAsia="宋体" w:cs="Times New Roman"/>
                <w:i w:val="0"/>
                <w:iCs w:val="0"/>
                <w:color w:val="000000"/>
                <w:sz w:val="18"/>
                <w:szCs w:val="18"/>
                <w:highlight w:val="none"/>
                <w:u w:val="none"/>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rPr>
                <w:rFonts w:hint="default" w:ascii="Times New Roman" w:hAnsi="Times New Roman" w:eastAsia="宋体" w:cs="Times New Roman"/>
                <w:i w:val="0"/>
                <w:iCs w:val="0"/>
                <w:color w:val="000000"/>
                <w:sz w:val="18"/>
                <w:szCs w:val="18"/>
                <w:highlight w:val="none"/>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rPr>
                <w:rFonts w:hint="default" w:ascii="Times New Roman" w:hAnsi="Times New Roman" w:eastAsia="宋体" w:cs="Times New Roman"/>
                <w:i w:val="0"/>
                <w:iCs w:val="0"/>
                <w:color w:val="000000"/>
                <w:sz w:val="18"/>
                <w:szCs w:val="18"/>
                <w:highlight w:val="none"/>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rPr>
                <w:rFonts w:hint="default" w:ascii="Times New Roman" w:hAnsi="Times New Roman" w:eastAsia="宋体" w:cs="Times New Roman"/>
                <w:i w:val="0"/>
                <w:iCs w:val="0"/>
                <w:color w:val="000000"/>
                <w:sz w:val="18"/>
                <w:szCs w:val="18"/>
                <w:highlight w:val="none"/>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c>
          <w:tcPr>
            <w:tcW w:w="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社会效益指标</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项目受益乡镇数量</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=11个</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计划标准</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20</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按照正常比例赋分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工作资料</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=11个</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100%</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20</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c>
          <w:tcPr>
            <w:tcW w:w="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生态效益指标</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rPr>
                <w:rFonts w:hint="default" w:ascii="Times New Roman" w:hAnsi="Times New Roman" w:eastAsia="宋体" w:cs="Times New Roman"/>
                <w:i w:val="0"/>
                <w:iCs w:val="0"/>
                <w:color w:val="000000"/>
                <w:sz w:val="18"/>
                <w:szCs w:val="18"/>
                <w:highlight w:val="none"/>
                <w:u w:val="none"/>
              </w:rPr>
            </w:pP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rPr>
                <w:rFonts w:hint="default" w:ascii="Times New Roman" w:hAnsi="Times New Roman" w:eastAsia="宋体" w:cs="Times New Roman"/>
                <w:i w:val="0"/>
                <w:iCs w:val="0"/>
                <w:color w:val="000000"/>
                <w:sz w:val="18"/>
                <w:szCs w:val="18"/>
                <w:highlight w:val="none"/>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rPr>
                <w:rFonts w:hint="default" w:ascii="Times New Roman" w:hAnsi="Times New Roman" w:eastAsia="宋体" w:cs="Times New Roman"/>
                <w:i w:val="0"/>
                <w:iCs w:val="0"/>
                <w:color w:val="000000"/>
                <w:sz w:val="18"/>
                <w:szCs w:val="18"/>
                <w:highlight w:val="none"/>
                <w:u w:val="none"/>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rPr>
                <w:rFonts w:hint="default" w:ascii="Times New Roman" w:hAnsi="Times New Roman" w:eastAsia="宋体" w:cs="Times New Roman"/>
                <w:i w:val="0"/>
                <w:iCs w:val="0"/>
                <w:color w:val="000000"/>
                <w:sz w:val="18"/>
                <w:szCs w:val="18"/>
                <w:highlight w:val="none"/>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rPr>
                <w:rFonts w:hint="default" w:ascii="Times New Roman" w:hAnsi="Times New Roman" w:eastAsia="宋体" w:cs="Times New Roman"/>
                <w:i w:val="0"/>
                <w:iCs w:val="0"/>
                <w:color w:val="000000"/>
                <w:sz w:val="18"/>
                <w:szCs w:val="18"/>
                <w:highlight w:val="none"/>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rPr>
                <w:rFonts w:hint="default" w:ascii="Times New Roman" w:hAnsi="Times New Roman" w:eastAsia="宋体" w:cs="Times New Roman"/>
                <w:i w:val="0"/>
                <w:iCs w:val="0"/>
                <w:color w:val="000000"/>
                <w:sz w:val="18"/>
                <w:szCs w:val="18"/>
                <w:highlight w:val="none"/>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满意度指标</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满意度指标</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受益农户满意度</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&gt;=95%</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计划标准</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10</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满意度赋分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工作资料</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=95%</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left"/>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100%</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10</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395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总分</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rPr>
                <w:rFonts w:hint="default" w:ascii="Times New Roman" w:hAnsi="Times New Roman" w:eastAsia="宋体" w:cs="Times New Roman"/>
                <w:b/>
                <w:bCs/>
                <w:i w:val="0"/>
                <w:iCs w:val="0"/>
                <w:color w:val="000000"/>
                <w:sz w:val="18"/>
                <w:szCs w:val="18"/>
                <w:highlight w:val="none"/>
                <w:u w:val="none"/>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jc w:val="center"/>
              <w:rPr>
                <w:rFonts w:hint="default" w:ascii="Times New Roman" w:hAnsi="Times New Roman" w:eastAsia="宋体" w:cs="Times New Roman"/>
                <w:i w:val="0"/>
                <w:iCs w:val="0"/>
                <w:color w:val="000000"/>
                <w:sz w:val="18"/>
                <w:szCs w:val="18"/>
                <w:highlight w:val="none"/>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rPr>
                <w:rFonts w:hint="default" w:ascii="Times New Roman" w:hAnsi="Times New Roman" w:eastAsia="宋体" w:cs="Times New Roman"/>
                <w:i w:val="0"/>
                <w:iCs w:val="0"/>
                <w:color w:val="000000"/>
                <w:sz w:val="18"/>
                <w:szCs w:val="18"/>
                <w:highlight w:val="none"/>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rPr>
                <w:rFonts w:hint="default" w:ascii="Times New Roman" w:hAnsi="Times New Roman" w:eastAsia="宋体" w:cs="Times New Roman"/>
                <w:i w:val="0"/>
                <w:iCs w:val="0"/>
                <w:color w:val="000000"/>
                <w:sz w:val="18"/>
                <w:szCs w:val="18"/>
                <w:highlight w:val="none"/>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rPr>
                <w:rFonts w:hint="default" w:ascii="Times New Roman" w:hAnsi="Times New Roman" w:eastAsia="宋体" w:cs="Times New Roman"/>
                <w:i w:val="0"/>
                <w:iCs w:val="0"/>
                <w:color w:val="000000"/>
                <w:sz w:val="18"/>
                <w:szCs w:val="18"/>
                <w:highlight w:val="none"/>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jc w:val="center"/>
              <w:textAlignment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100.00分</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before="0" w:after="0" w:line="240" w:lineRule="exact"/>
              <w:ind w:left="0" w:leftChars="0"/>
              <w:rPr>
                <w:rFonts w:hint="default" w:ascii="Times New Roman" w:hAnsi="Times New Roman" w:eastAsia="宋体" w:cs="Times New Roman"/>
                <w:i w:val="0"/>
                <w:iCs w:val="0"/>
                <w:color w:val="000000"/>
                <w:sz w:val="18"/>
                <w:szCs w:val="18"/>
                <w:highlight w:val="none"/>
                <w:u w:val="none"/>
              </w:rPr>
            </w:pPr>
          </w:p>
        </w:tc>
      </w:tr>
    </w:tbl>
    <w:p>
      <w:pPr>
        <w:pageBreakBefore w:val="0"/>
        <w:kinsoku/>
        <w:wordWrap/>
        <w:overflowPunct/>
        <w:topLinePunct w:val="0"/>
        <w:autoSpaceDE/>
        <w:autoSpaceDN/>
        <w:bidi w:val="0"/>
        <w:adjustRightInd/>
        <w:snapToGrid/>
        <w:spacing w:line="240" w:lineRule="auto"/>
        <w:ind w:left="0" w:leftChars="0"/>
        <w:rPr>
          <w:rFonts w:hint="default" w:ascii="Times New Roman" w:hAnsi="Times New Roman" w:cs="Times New Roman"/>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67876E"/>
    <w:multiLevelType w:val="singleLevel"/>
    <w:tmpl w:val="B767876E"/>
    <w:lvl w:ilvl="0" w:tentative="0">
      <w:start w:val="1"/>
      <w:numFmt w:val="decimal"/>
      <w:pStyle w:val="9"/>
      <w:lvlText w:val="%1."/>
      <w:lvlJc w:val="left"/>
      <w:pPr>
        <w:tabs>
          <w:tab w:val="left" w:pos="2040"/>
        </w:tabs>
        <w:ind w:left="2040" w:hanging="360"/>
      </w:pPr>
    </w:lvl>
  </w:abstractNum>
  <w:abstractNum w:abstractNumId="1">
    <w:nsid w:val="F4CD2B0F"/>
    <w:multiLevelType w:val="singleLevel"/>
    <w:tmpl w:val="F4CD2B0F"/>
    <w:lvl w:ilvl="0" w:tentative="0">
      <w:start w:val="1"/>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1"/>
  </w:num>
  <w:num w:numId="3">
    <w:abstractNumId w:val="4"/>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017E2E"/>
    <w:rsid w:val="02080261"/>
    <w:rsid w:val="02510197"/>
    <w:rsid w:val="02EF28D7"/>
    <w:rsid w:val="03416B9B"/>
    <w:rsid w:val="03EC461B"/>
    <w:rsid w:val="043D72C1"/>
    <w:rsid w:val="05F114DF"/>
    <w:rsid w:val="069030A2"/>
    <w:rsid w:val="07397B77"/>
    <w:rsid w:val="0747026A"/>
    <w:rsid w:val="08D23FB9"/>
    <w:rsid w:val="0AD007F3"/>
    <w:rsid w:val="0B5D71AA"/>
    <w:rsid w:val="0B776CC6"/>
    <w:rsid w:val="0BB4337C"/>
    <w:rsid w:val="0C8D64FF"/>
    <w:rsid w:val="0E3C619F"/>
    <w:rsid w:val="0EDE0304"/>
    <w:rsid w:val="0F6273CA"/>
    <w:rsid w:val="100F38EC"/>
    <w:rsid w:val="10744520"/>
    <w:rsid w:val="10B37AD2"/>
    <w:rsid w:val="11170296"/>
    <w:rsid w:val="12C66037"/>
    <w:rsid w:val="12CD1ABC"/>
    <w:rsid w:val="12F36B3B"/>
    <w:rsid w:val="13471461"/>
    <w:rsid w:val="13B90F01"/>
    <w:rsid w:val="13DE35D4"/>
    <w:rsid w:val="14263C95"/>
    <w:rsid w:val="155E4C4D"/>
    <w:rsid w:val="17105FB3"/>
    <w:rsid w:val="181066D2"/>
    <w:rsid w:val="19866520"/>
    <w:rsid w:val="1A400DC5"/>
    <w:rsid w:val="1AA75C9E"/>
    <w:rsid w:val="1C671E73"/>
    <w:rsid w:val="1C7A6660"/>
    <w:rsid w:val="1D322C47"/>
    <w:rsid w:val="1D3E261B"/>
    <w:rsid w:val="233F782E"/>
    <w:rsid w:val="23616034"/>
    <w:rsid w:val="23696C97"/>
    <w:rsid w:val="24480FA2"/>
    <w:rsid w:val="244B3F80"/>
    <w:rsid w:val="24C256EC"/>
    <w:rsid w:val="25227A45"/>
    <w:rsid w:val="25AC2973"/>
    <w:rsid w:val="26AC3A6A"/>
    <w:rsid w:val="28D30316"/>
    <w:rsid w:val="28FD690B"/>
    <w:rsid w:val="2AA00FC4"/>
    <w:rsid w:val="2ADE46BC"/>
    <w:rsid w:val="2B4F27CF"/>
    <w:rsid w:val="2B9D7E25"/>
    <w:rsid w:val="2C712AC6"/>
    <w:rsid w:val="2C7C7A3B"/>
    <w:rsid w:val="2D2E5942"/>
    <w:rsid w:val="2D9B65E7"/>
    <w:rsid w:val="2E19342C"/>
    <w:rsid w:val="2F11037D"/>
    <w:rsid w:val="2F364819"/>
    <w:rsid w:val="2FD63906"/>
    <w:rsid w:val="300D1E18"/>
    <w:rsid w:val="31286BC2"/>
    <w:rsid w:val="37215DAE"/>
    <w:rsid w:val="373321BA"/>
    <w:rsid w:val="37C329C2"/>
    <w:rsid w:val="388C5F50"/>
    <w:rsid w:val="38CA40DD"/>
    <w:rsid w:val="395F2B56"/>
    <w:rsid w:val="39C3057C"/>
    <w:rsid w:val="3B431F50"/>
    <w:rsid w:val="3B482032"/>
    <w:rsid w:val="3B7B3925"/>
    <w:rsid w:val="3BBA0580"/>
    <w:rsid w:val="3BECE841"/>
    <w:rsid w:val="3CDE204C"/>
    <w:rsid w:val="3D363C36"/>
    <w:rsid w:val="3E9C3F6D"/>
    <w:rsid w:val="3ECF084A"/>
    <w:rsid w:val="3FF7797D"/>
    <w:rsid w:val="40510038"/>
    <w:rsid w:val="410034A7"/>
    <w:rsid w:val="41245DEE"/>
    <w:rsid w:val="416B66BC"/>
    <w:rsid w:val="41F724FF"/>
    <w:rsid w:val="438705D4"/>
    <w:rsid w:val="462E2EB6"/>
    <w:rsid w:val="46690BD8"/>
    <w:rsid w:val="47780FB2"/>
    <w:rsid w:val="492920C2"/>
    <w:rsid w:val="49F70BF1"/>
    <w:rsid w:val="4A86717C"/>
    <w:rsid w:val="4AF170AB"/>
    <w:rsid w:val="4B4340EE"/>
    <w:rsid w:val="4C3E1504"/>
    <w:rsid w:val="4C6A7B7B"/>
    <w:rsid w:val="4D3E207B"/>
    <w:rsid w:val="4E18205B"/>
    <w:rsid w:val="4E4D39E3"/>
    <w:rsid w:val="4F545FA9"/>
    <w:rsid w:val="50070D86"/>
    <w:rsid w:val="503D507A"/>
    <w:rsid w:val="51A50323"/>
    <w:rsid w:val="51E231DA"/>
    <w:rsid w:val="51FA74D0"/>
    <w:rsid w:val="52AA4A52"/>
    <w:rsid w:val="536E5A80"/>
    <w:rsid w:val="539D3AD1"/>
    <w:rsid w:val="542829C5"/>
    <w:rsid w:val="56814415"/>
    <w:rsid w:val="586F2077"/>
    <w:rsid w:val="591960B3"/>
    <w:rsid w:val="59943D66"/>
    <w:rsid w:val="59E051FD"/>
    <w:rsid w:val="59E6355E"/>
    <w:rsid w:val="5B821531"/>
    <w:rsid w:val="5BFF6039"/>
    <w:rsid w:val="5D76A616"/>
    <w:rsid w:val="5D7F20B9"/>
    <w:rsid w:val="5DAC7D0E"/>
    <w:rsid w:val="5DC7731B"/>
    <w:rsid w:val="5E216B61"/>
    <w:rsid w:val="5F98B5AF"/>
    <w:rsid w:val="5FB8266D"/>
    <w:rsid w:val="5FFE8511"/>
    <w:rsid w:val="5FFEACE2"/>
    <w:rsid w:val="6058058B"/>
    <w:rsid w:val="60645A72"/>
    <w:rsid w:val="609D5BF6"/>
    <w:rsid w:val="60AC7602"/>
    <w:rsid w:val="60C500F3"/>
    <w:rsid w:val="61073070"/>
    <w:rsid w:val="61B9080E"/>
    <w:rsid w:val="61DF3FED"/>
    <w:rsid w:val="62606CE8"/>
    <w:rsid w:val="633241D2"/>
    <w:rsid w:val="638E5BFC"/>
    <w:rsid w:val="642B176B"/>
    <w:rsid w:val="643EE26D"/>
    <w:rsid w:val="656019A0"/>
    <w:rsid w:val="65F242EE"/>
    <w:rsid w:val="666D7E19"/>
    <w:rsid w:val="68376930"/>
    <w:rsid w:val="68F91E38"/>
    <w:rsid w:val="6A17215B"/>
    <w:rsid w:val="6B3158B9"/>
    <w:rsid w:val="6B4B024C"/>
    <w:rsid w:val="6B594967"/>
    <w:rsid w:val="6BA02A3F"/>
    <w:rsid w:val="6C105349"/>
    <w:rsid w:val="6C1E5A53"/>
    <w:rsid w:val="6D7B5D31"/>
    <w:rsid w:val="6D8A6CAA"/>
    <w:rsid w:val="6F0443E0"/>
    <w:rsid w:val="6F4F27B2"/>
    <w:rsid w:val="6F5C41AC"/>
    <w:rsid w:val="6F7264A0"/>
    <w:rsid w:val="6FAF6C78"/>
    <w:rsid w:val="6FFF2A6C"/>
    <w:rsid w:val="715D0617"/>
    <w:rsid w:val="715F64EF"/>
    <w:rsid w:val="716167CC"/>
    <w:rsid w:val="718A7AD1"/>
    <w:rsid w:val="72A44BC2"/>
    <w:rsid w:val="72D4654D"/>
    <w:rsid w:val="7317C656"/>
    <w:rsid w:val="734ED73F"/>
    <w:rsid w:val="73C82B32"/>
    <w:rsid w:val="73F94DAE"/>
    <w:rsid w:val="74220495"/>
    <w:rsid w:val="747D1B6F"/>
    <w:rsid w:val="749E5641"/>
    <w:rsid w:val="74DB07D3"/>
    <w:rsid w:val="76271066"/>
    <w:rsid w:val="77C81353"/>
    <w:rsid w:val="77FD8BE9"/>
    <w:rsid w:val="78000AED"/>
    <w:rsid w:val="78036054"/>
    <w:rsid w:val="78BD57B2"/>
    <w:rsid w:val="794F192C"/>
    <w:rsid w:val="79A9BD3F"/>
    <w:rsid w:val="7AC5270E"/>
    <w:rsid w:val="7B776F12"/>
    <w:rsid w:val="7BFFFDD0"/>
    <w:rsid w:val="7C336E5F"/>
    <w:rsid w:val="7C8D4919"/>
    <w:rsid w:val="7D7A5F86"/>
    <w:rsid w:val="7DBA4CD5"/>
    <w:rsid w:val="7DC972F2"/>
    <w:rsid w:val="7E4B683A"/>
    <w:rsid w:val="7E5E656D"/>
    <w:rsid w:val="7E8F2BCB"/>
    <w:rsid w:val="7EA47007"/>
    <w:rsid w:val="7F37BB4E"/>
    <w:rsid w:val="7F7B56BF"/>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qFormat="1"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4">
    <w:name w:val="annotation text"/>
    <w:basedOn w:val="1"/>
    <w:link w:val="23"/>
    <w:qFormat/>
    <w:uiPriority w:val="0"/>
    <w:pPr>
      <w:jc w:val="left"/>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1"/>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9">
    <w:name w:val="List Number 5"/>
    <w:basedOn w:val="1"/>
    <w:qFormat/>
    <w:uiPriority w:val="0"/>
    <w:pPr>
      <w:numPr>
        <w:ilvl w:val="0"/>
        <w:numId w:val="1"/>
      </w:numPr>
    </w:p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subject"/>
    <w:basedOn w:val="4"/>
    <w:next w:val="4"/>
    <w:link w:val="24"/>
    <w:qFormat/>
    <w:uiPriority w:val="0"/>
    <w:rPr>
      <w:b/>
      <w:bCs/>
    </w:rPr>
  </w:style>
  <w:style w:type="paragraph" w:styleId="13">
    <w:name w:val="Body Text First Indent"/>
    <w:basedOn w:val="2"/>
    <w:qFormat/>
    <w:uiPriority w:val="0"/>
    <w:pPr>
      <w:spacing w:after="0"/>
      <w:ind w:firstLine="200" w:firstLineChars="200"/>
    </w:pPr>
  </w:style>
  <w:style w:type="paragraph" w:styleId="14">
    <w:name w:val="Body Text First Indent 2"/>
    <w:basedOn w:val="5"/>
    <w:qFormat/>
    <w:uiPriority w:val="0"/>
    <w:pPr>
      <w:ind w:firstLine="420" w:firstLineChars="200"/>
    </w:pPr>
  </w:style>
  <w:style w:type="character" w:styleId="17">
    <w:name w:val="Strong"/>
    <w:basedOn w:val="16"/>
    <w:qFormat/>
    <w:uiPriority w:val="0"/>
    <w:rPr>
      <w:b/>
      <w:bCs/>
    </w:rPr>
  </w:style>
  <w:style w:type="character" w:styleId="18">
    <w:name w:val="annotation reference"/>
    <w:basedOn w:val="16"/>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6"/>
    <w:link w:val="6"/>
    <w:qFormat/>
    <w:uiPriority w:val="0"/>
    <w:rPr>
      <w:rFonts w:ascii="Times New Roman" w:hAnsi="Times New Roman" w:eastAsia="宋体" w:cs="Times New Roman"/>
      <w:kern w:val="2"/>
      <w:sz w:val="18"/>
      <w:szCs w:val="18"/>
    </w:rPr>
  </w:style>
  <w:style w:type="character" w:customStyle="1" w:styleId="22">
    <w:name w:val="页眉 字符"/>
    <w:basedOn w:val="16"/>
    <w:link w:val="8"/>
    <w:qFormat/>
    <w:uiPriority w:val="0"/>
    <w:rPr>
      <w:rFonts w:ascii="Times New Roman" w:hAnsi="Times New Roman" w:eastAsia="宋体" w:cs="Times New Roman"/>
      <w:kern w:val="2"/>
      <w:sz w:val="18"/>
      <w:szCs w:val="18"/>
    </w:rPr>
  </w:style>
  <w:style w:type="character" w:customStyle="1" w:styleId="23">
    <w:name w:val="批注文字 字符"/>
    <w:basedOn w:val="16"/>
    <w:link w:val="4"/>
    <w:qFormat/>
    <w:uiPriority w:val="0"/>
    <w:rPr>
      <w:rFonts w:ascii="Times New Roman" w:hAnsi="Times New Roman" w:eastAsia="宋体" w:cs="Times New Roman"/>
      <w:kern w:val="2"/>
      <w:sz w:val="21"/>
      <w:szCs w:val="24"/>
    </w:rPr>
  </w:style>
  <w:style w:type="character" w:customStyle="1" w:styleId="24">
    <w:name w:val="批注主题 字符"/>
    <w:basedOn w:val="23"/>
    <w:link w:val="12"/>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28</Pages>
  <Words>3027</Words>
  <Characters>3113</Characters>
  <Lines>58</Lines>
  <Paragraphs>16</Paragraphs>
  <TotalTime>6</TotalTime>
  <ScaleCrop>false</ScaleCrop>
  <LinksUpToDate>false</LinksUpToDate>
  <CharactersWithSpaces>3113</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土肥zhan</cp:lastModifiedBy>
  <cp:lastPrinted>2025-05-23T11:26:03Z</cp:lastPrinted>
  <dcterms:modified xsi:type="dcterms:W3CDTF">2025-05-23T11:26:09Z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A075C2AEC1C54D1693797747003CB0A9_13</vt:lpwstr>
  </property>
  <property fmtid="{D5CDD505-2E9C-101B-9397-08002B2CF9AE}" pid="4" name="KSOTemplateDocerSaveRecord">
    <vt:lpwstr>eyJoZGlkIjoiN2YzNjBkOTgyNWQ1YTMxYzM3MzMwNWFiODNmOWIzYWMifQ==</vt:lpwstr>
  </property>
</Properties>
</file>