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B2E24" w:rsidRDefault="00BB2E24">
      <w:pPr>
        <w:spacing w:line="240" w:lineRule="auto"/>
        <w:rPr>
          <w:rFonts w:ascii="宋体" w:eastAsia="宋体"/>
          <w:sz w:val="32"/>
          <w:szCs w:val="32"/>
        </w:rPr>
      </w:pPr>
    </w:p>
    <w:p w:rsidR="00BB2E24" w:rsidRDefault="00BB2E24">
      <w:pPr>
        <w:spacing w:line="240" w:lineRule="auto"/>
        <w:rPr>
          <w:rFonts w:ascii="宋体" w:eastAsia="宋体"/>
          <w:sz w:val="44"/>
          <w:szCs w:val="44"/>
        </w:rPr>
      </w:pPr>
    </w:p>
    <w:p w:rsidR="00BB2E24" w:rsidRDefault="00BB2E24">
      <w:pPr>
        <w:spacing w:line="240" w:lineRule="auto"/>
        <w:rPr>
          <w:rFonts w:ascii="宋体" w:eastAsia="宋体"/>
          <w:sz w:val="44"/>
          <w:szCs w:val="44"/>
        </w:rPr>
      </w:pPr>
    </w:p>
    <w:p w:rsidR="00BB2E24" w:rsidRDefault="00BB2E24">
      <w:pPr>
        <w:spacing w:line="240" w:lineRule="auto"/>
        <w:rPr>
          <w:rFonts w:ascii="宋体" w:eastAsia="宋体"/>
          <w:sz w:val="44"/>
          <w:szCs w:val="44"/>
        </w:rPr>
      </w:pPr>
    </w:p>
    <w:p w:rsidR="00BB2E24" w:rsidRDefault="008C34CA">
      <w:pPr>
        <w:spacing w:line="240" w:lineRule="auto"/>
        <w:jc w:val="center"/>
        <w:outlineLvl w:val="0"/>
        <w:rPr>
          <w:rFonts w:ascii="宋体" w:eastAsia="黑体"/>
          <w:sz w:val="44"/>
          <w:szCs w:val="44"/>
          <w:lang w:eastAsia="zh-CN"/>
        </w:rPr>
      </w:pPr>
      <w:r>
        <w:rPr>
          <w:rFonts w:ascii="宋体" w:eastAsia="黑体"/>
          <w:sz w:val="44"/>
          <w:szCs w:val="44"/>
          <w:lang w:eastAsia="zh-CN"/>
        </w:rPr>
        <w:t>库尔勒市农业技术推广中心</w:t>
      </w:r>
    </w:p>
    <w:p w:rsidR="00BB2E24" w:rsidRDefault="008C34CA">
      <w:pPr>
        <w:spacing w:line="240" w:lineRule="auto"/>
        <w:jc w:val="center"/>
        <w:outlineLvl w:val="0"/>
        <w:rPr>
          <w:rFonts w:ascii="黑体" w:eastAsia="黑体"/>
          <w:sz w:val="44"/>
          <w:szCs w:val="44"/>
          <w:lang w:eastAsia="zh-CN"/>
        </w:rPr>
      </w:pPr>
      <w:r>
        <w:rPr>
          <w:rFonts w:ascii="黑体" w:eastAsia="黑体"/>
          <w:sz w:val="44"/>
          <w:szCs w:val="44"/>
          <w:lang w:eastAsia="zh-CN"/>
        </w:rPr>
        <w:t>2024年度部门决算公开说明</w:t>
      </w:r>
    </w:p>
    <w:p w:rsidR="00BB2E24" w:rsidRDefault="008C34CA">
      <w:pPr>
        <w:rPr>
          <w:lang w:eastAsia="zh-CN"/>
        </w:rPr>
      </w:pPr>
      <w:r>
        <w:rPr>
          <w:sz w:val="0"/>
          <w:szCs w:val="0"/>
          <w:lang w:eastAsia="zh-CN"/>
        </w:rPr>
        <w:br w:type="page"/>
      </w:r>
    </w:p>
    <w:p w:rsidR="00BB2E24" w:rsidRDefault="008C34CA">
      <w:pPr>
        <w:spacing w:line="240" w:lineRule="auto"/>
        <w:jc w:val="center"/>
        <w:rPr>
          <w:rFonts w:ascii="黑体" w:eastAsia="黑体"/>
          <w:sz w:val="32"/>
          <w:szCs w:val="32"/>
          <w:lang w:eastAsia="zh-CN"/>
        </w:rPr>
      </w:pPr>
      <w:r>
        <w:rPr>
          <w:rFonts w:ascii="黑体" w:eastAsia="黑体"/>
          <w:b/>
          <w:sz w:val="32"/>
          <w:szCs w:val="32"/>
          <w:lang w:eastAsia="zh-CN"/>
        </w:rPr>
        <w:lastRenderedPageBreak/>
        <w:t>目录</w:t>
      </w:r>
    </w:p>
    <w:p w:rsidR="00BB2E24" w:rsidRDefault="008C34CA">
      <w:pPr>
        <w:spacing w:line="240" w:lineRule="auto"/>
        <w:rPr>
          <w:rFonts w:ascii="仿宋_GB2312" w:eastAsia="仿宋_GB2312"/>
          <w:sz w:val="32"/>
          <w:szCs w:val="32"/>
          <w:lang w:eastAsia="zh-CN"/>
        </w:rPr>
      </w:pPr>
      <w:r>
        <w:rPr>
          <w:rFonts w:ascii="仿宋_GB2312" w:eastAsia="仿宋_GB2312"/>
          <w:b/>
          <w:sz w:val="32"/>
          <w:szCs w:val="32"/>
          <w:lang w:eastAsia="zh-CN"/>
        </w:rPr>
        <w:t>第一部分单位概况</w:t>
      </w:r>
    </w:p>
    <w:p w:rsidR="00BB2E24" w:rsidRDefault="008C34CA">
      <w:pPr>
        <w:spacing w:line="240" w:lineRule="auto"/>
        <w:rPr>
          <w:rFonts w:ascii="仿宋_GB2312" w:eastAsia="仿宋_GB2312"/>
          <w:sz w:val="32"/>
          <w:szCs w:val="32"/>
          <w:lang w:eastAsia="zh-CN"/>
        </w:rPr>
      </w:pPr>
      <w:r>
        <w:rPr>
          <w:rFonts w:ascii="仿宋_GB2312" w:eastAsia="仿宋_GB2312"/>
          <w:sz w:val="32"/>
          <w:szCs w:val="32"/>
          <w:lang w:eastAsia="zh-CN"/>
        </w:rPr>
        <w:t>一、主要职能</w:t>
      </w:r>
    </w:p>
    <w:p w:rsidR="00BB2E24" w:rsidRDefault="008C34CA">
      <w:pPr>
        <w:spacing w:line="240" w:lineRule="auto"/>
        <w:rPr>
          <w:rFonts w:ascii="仿宋_GB2312" w:eastAsia="仿宋_GB2312"/>
          <w:sz w:val="32"/>
          <w:szCs w:val="32"/>
          <w:lang w:eastAsia="zh-CN"/>
        </w:rPr>
      </w:pPr>
      <w:r>
        <w:rPr>
          <w:rFonts w:ascii="仿宋_GB2312" w:eastAsia="仿宋_GB2312"/>
          <w:sz w:val="32"/>
          <w:szCs w:val="32"/>
          <w:lang w:eastAsia="zh-CN"/>
        </w:rPr>
        <w:t>二、机构设置及人员情况</w:t>
      </w:r>
    </w:p>
    <w:p w:rsidR="00BB2E24" w:rsidRDefault="008C34CA">
      <w:pPr>
        <w:spacing w:line="240" w:lineRule="auto"/>
        <w:rPr>
          <w:rFonts w:ascii="仿宋_GB2312" w:eastAsia="仿宋_GB2312"/>
          <w:sz w:val="32"/>
          <w:szCs w:val="32"/>
          <w:lang w:eastAsia="zh-CN"/>
        </w:rPr>
      </w:pPr>
      <w:r>
        <w:rPr>
          <w:rFonts w:ascii="仿宋_GB2312" w:eastAsia="仿宋_GB2312"/>
          <w:b/>
          <w:sz w:val="32"/>
          <w:szCs w:val="32"/>
          <w:lang w:eastAsia="zh-CN"/>
        </w:rPr>
        <w:t>第二部分部门决算情况说明</w:t>
      </w:r>
    </w:p>
    <w:p w:rsidR="00BB2E24" w:rsidRDefault="008C34CA">
      <w:pPr>
        <w:spacing w:line="240" w:lineRule="auto"/>
        <w:rPr>
          <w:rFonts w:ascii="仿宋_GB2312" w:eastAsia="仿宋_GB2312"/>
          <w:sz w:val="32"/>
          <w:szCs w:val="32"/>
          <w:lang w:eastAsia="zh-CN"/>
        </w:rPr>
      </w:pPr>
      <w:r>
        <w:rPr>
          <w:rFonts w:ascii="仿宋_GB2312" w:eastAsia="仿宋_GB2312"/>
          <w:sz w:val="32"/>
          <w:szCs w:val="32"/>
          <w:lang w:eastAsia="zh-CN"/>
        </w:rPr>
        <w:t>一、收入支出决算总体情况说明</w:t>
      </w:r>
    </w:p>
    <w:p w:rsidR="00BB2E24" w:rsidRDefault="008C34CA">
      <w:pPr>
        <w:spacing w:line="240" w:lineRule="auto"/>
        <w:rPr>
          <w:rFonts w:ascii="仿宋_GB2312" w:eastAsia="仿宋_GB2312"/>
          <w:sz w:val="32"/>
          <w:szCs w:val="32"/>
          <w:lang w:eastAsia="zh-CN"/>
        </w:rPr>
      </w:pPr>
      <w:r>
        <w:rPr>
          <w:rFonts w:ascii="仿宋_GB2312" w:eastAsia="仿宋_GB2312"/>
          <w:sz w:val="32"/>
          <w:szCs w:val="32"/>
          <w:lang w:eastAsia="zh-CN"/>
        </w:rPr>
        <w:t>二、收入决算情况说明</w:t>
      </w:r>
    </w:p>
    <w:p w:rsidR="00BB2E24" w:rsidRDefault="008C34CA">
      <w:pPr>
        <w:spacing w:line="240" w:lineRule="auto"/>
        <w:rPr>
          <w:rFonts w:ascii="仿宋_GB2312" w:eastAsia="仿宋_GB2312"/>
          <w:sz w:val="32"/>
          <w:szCs w:val="32"/>
          <w:lang w:eastAsia="zh-CN"/>
        </w:rPr>
      </w:pPr>
      <w:r>
        <w:rPr>
          <w:rFonts w:ascii="仿宋_GB2312" w:eastAsia="仿宋_GB2312"/>
          <w:sz w:val="32"/>
          <w:szCs w:val="32"/>
          <w:lang w:eastAsia="zh-CN"/>
        </w:rPr>
        <w:t>三、支出决算情况说明</w:t>
      </w:r>
    </w:p>
    <w:p w:rsidR="00BB2E24" w:rsidRDefault="008C34CA">
      <w:pPr>
        <w:spacing w:line="240" w:lineRule="auto"/>
        <w:rPr>
          <w:rFonts w:ascii="仿宋_GB2312" w:eastAsia="仿宋_GB2312"/>
          <w:sz w:val="32"/>
          <w:szCs w:val="32"/>
          <w:lang w:eastAsia="zh-CN"/>
        </w:rPr>
      </w:pPr>
      <w:r>
        <w:rPr>
          <w:rFonts w:ascii="仿宋_GB2312" w:eastAsia="仿宋_GB2312"/>
          <w:sz w:val="32"/>
          <w:szCs w:val="32"/>
          <w:lang w:eastAsia="zh-CN"/>
        </w:rPr>
        <w:t>四、财政拨款收入支出决算总体情况说明</w:t>
      </w:r>
    </w:p>
    <w:p w:rsidR="00BB2E24" w:rsidRDefault="008C34CA">
      <w:pPr>
        <w:spacing w:line="240" w:lineRule="auto"/>
        <w:rPr>
          <w:rFonts w:ascii="仿宋_GB2312" w:eastAsia="仿宋_GB2312"/>
          <w:sz w:val="32"/>
          <w:szCs w:val="32"/>
          <w:lang w:eastAsia="zh-CN"/>
        </w:rPr>
      </w:pPr>
      <w:r>
        <w:rPr>
          <w:rFonts w:ascii="仿宋_GB2312" w:eastAsia="仿宋_GB2312"/>
          <w:sz w:val="32"/>
          <w:szCs w:val="32"/>
          <w:lang w:eastAsia="zh-CN"/>
        </w:rPr>
        <w:t>五、一般公共预算财政拨款支出决算情况说明</w:t>
      </w:r>
    </w:p>
    <w:p w:rsidR="00BB2E24" w:rsidRDefault="008C34CA">
      <w:pPr>
        <w:spacing w:line="240" w:lineRule="auto"/>
        <w:rPr>
          <w:rFonts w:ascii="仿宋_GB2312" w:eastAsia="仿宋_GB2312"/>
          <w:sz w:val="32"/>
          <w:szCs w:val="32"/>
          <w:lang w:eastAsia="zh-CN"/>
        </w:rPr>
      </w:pPr>
      <w:r>
        <w:rPr>
          <w:rFonts w:ascii="仿宋_GB2312" w:eastAsia="仿宋_GB2312"/>
          <w:sz w:val="32"/>
          <w:szCs w:val="32"/>
          <w:lang w:eastAsia="zh-CN"/>
        </w:rPr>
        <w:t>（一）一般公共预算财政拨款支出决算总体情况</w:t>
      </w:r>
    </w:p>
    <w:p w:rsidR="00BB2E24" w:rsidRDefault="008C34CA">
      <w:pPr>
        <w:spacing w:line="240" w:lineRule="auto"/>
        <w:rPr>
          <w:rFonts w:ascii="仿宋_GB2312" w:eastAsia="仿宋_GB2312"/>
          <w:sz w:val="32"/>
          <w:szCs w:val="32"/>
          <w:lang w:eastAsia="zh-CN"/>
        </w:rPr>
      </w:pPr>
      <w:r>
        <w:rPr>
          <w:rFonts w:ascii="仿宋_GB2312" w:eastAsia="仿宋_GB2312"/>
          <w:sz w:val="32"/>
          <w:szCs w:val="32"/>
          <w:lang w:eastAsia="zh-CN"/>
        </w:rPr>
        <w:t>（二）一般公共预算财政拨款支出决算结构情况</w:t>
      </w:r>
    </w:p>
    <w:p w:rsidR="00BB2E24" w:rsidRDefault="008C34CA">
      <w:pPr>
        <w:spacing w:line="240" w:lineRule="auto"/>
        <w:rPr>
          <w:rFonts w:ascii="仿宋_GB2312" w:eastAsia="仿宋_GB2312"/>
          <w:sz w:val="32"/>
          <w:szCs w:val="32"/>
          <w:lang w:eastAsia="zh-CN"/>
        </w:rPr>
      </w:pPr>
      <w:r>
        <w:rPr>
          <w:rFonts w:ascii="仿宋_GB2312" w:eastAsia="仿宋_GB2312"/>
          <w:sz w:val="32"/>
          <w:szCs w:val="32"/>
          <w:lang w:eastAsia="zh-CN"/>
        </w:rPr>
        <w:t>（三）一般公共预算财政拨款支出决算具体情况</w:t>
      </w:r>
    </w:p>
    <w:p w:rsidR="00BB2E24" w:rsidRDefault="008C34CA">
      <w:pPr>
        <w:spacing w:line="240" w:lineRule="auto"/>
        <w:rPr>
          <w:rFonts w:ascii="仿宋_GB2312" w:eastAsia="仿宋_GB2312"/>
          <w:sz w:val="32"/>
          <w:szCs w:val="32"/>
          <w:lang w:eastAsia="zh-CN"/>
        </w:rPr>
      </w:pPr>
      <w:r>
        <w:rPr>
          <w:rFonts w:ascii="仿宋_GB2312" w:eastAsia="仿宋_GB2312"/>
          <w:sz w:val="32"/>
          <w:szCs w:val="32"/>
          <w:lang w:eastAsia="zh-CN"/>
        </w:rPr>
        <w:t>六、一般公共预算财政拨款基本支出决算情况说明</w:t>
      </w:r>
    </w:p>
    <w:p w:rsidR="00BB2E24" w:rsidRDefault="008C34CA">
      <w:pPr>
        <w:spacing w:line="240" w:lineRule="auto"/>
        <w:rPr>
          <w:rFonts w:ascii="仿宋_GB2312" w:eastAsia="仿宋_GB2312"/>
          <w:sz w:val="32"/>
          <w:szCs w:val="32"/>
          <w:lang w:eastAsia="zh-CN"/>
        </w:rPr>
      </w:pPr>
      <w:r>
        <w:rPr>
          <w:rFonts w:ascii="仿宋_GB2312" w:eastAsia="仿宋_GB2312"/>
          <w:sz w:val="32"/>
          <w:szCs w:val="32"/>
          <w:lang w:eastAsia="zh-CN"/>
        </w:rPr>
        <w:t>七、政府性基金预算财政拨款收入支出决算情况说明</w:t>
      </w:r>
    </w:p>
    <w:p w:rsidR="00BB2E24" w:rsidRDefault="008C34CA">
      <w:pPr>
        <w:spacing w:line="240" w:lineRule="auto"/>
        <w:rPr>
          <w:rFonts w:ascii="仿宋_GB2312" w:eastAsia="仿宋_GB2312"/>
          <w:sz w:val="32"/>
          <w:szCs w:val="32"/>
          <w:lang w:eastAsia="zh-CN"/>
        </w:rPr>
      </w:pPr>
      <w:r>
        <w:rPr>
          <w:rFonts w:ascii="仿宋_GB2312" w:eastAsia="仿宋_GB2312"/>
          <w:sz w:val="32"/>
          <w:szCs w:val="32"/>
          <w:lang w:eastAsia="zh-CN"/>
        </w:rPr>
        <w:t>八、国有资本经营预算财政拨款收入支出决算情况说明</w:t>
      </w:r>
    </w:p>
    <w:p w:rsidR="00BB2E24" w:rsidRDefault="008C34CA">
      <w:pPr>
        <w:spacing w:line="240" w:lineRule="auto"/>
        <w:rPr>
          <w:rFonts w:ascii="仿宋_GB2312" w:eastAsia="仿宋_GB2312"/>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经费支出决算情况说明</w:t>
      </w:r>
    </w:p>
    <w:p w:rsidR="00BB2E24" w:rsidRDefault="008C34CA">
      <w:pPr>
        <w:spacing w:line="240" w:lineRule="auto"/>
        <w:rPr>
          <w:rFonts w:ascii="仿宋_GB2312" w:eastAsia="仿宋_GB2312"/>
          <w:sz w:val="32"/>
          <w:szCs w:val="32"/>
          <w:lang w:eastAsia="zh-CN"/>
        </w:rPr>
      </w:pPr>
      <w:r>
        <w:rPr>
          <w:rFonts w:ascii="仿宋_GB2312" w:eastAsia="仿宋_GB2312"/>
          <w:sz w:val="32"/>
          <w:szCs w:val="32"/>
          <w:lang w:eastAsia="zh-CN"/>
        </w:rPr>
        <w:t>十、其他重要事项的情况说明</w:t>
      </w:r>
    </w:p>
    <w:p w:rsidR="00BB2E24" w:rsidRDefault="008C34CA">
      <w:pPr>
        <w:spacing w:line="240" w:lineRule="auto"/>
        <w:rPr>
          <w:rFonts w:ascii="仿宋_GB2312" w:eastAsia="仿宋_GB2312"/>
          <w:sz w:val="32"/>
          <w:szCs w:val="32"/>
          <w:lang w:eastAsia="zh-CN"/>
        </w:rPr>
      </w:pPr>
      <w:r>
        <w:rPr>
          <w:rFonts w:ascii="仿宋_GB2312" w:eastAsia="仿宋_GB2312"/>
          <w:sz w:val="32"/>
          <w:szCs w:val="32"/>
          <w:lang w:eastAsia="zh-CN"/>
        </w:rPr>
        <w:t>（一）机关运行经费及公用经费支出情况</w:t>
      </w:r>
    </w:p>
    <w:p w:rsidR="00BB2E24" w:rsidRDefault="008C34CA">
      <w:pPr>
        <w:spacing w:line="240" w:lineRule="auto"/>
        <w:rPr>
          <w:rFonts w:ascii="仿宋_GB2312" w:eastAsia="仿宋_GB2312"/>
          <w:sz w:val="32"/>
          <w:szCs w:val="32"/>
          <w:lang w:eastAsia="zh-CN"/>
        </w:rPr>
      </w:pPr>
      <w:r>
        <w:rPr>
          <w:rFonts w:ascii="仿宋_GB2312" w:eastAsia="仿宋_GB2312"/>
          <w:sz w:val="32"/>
          <w:szCs w:val="32"/>
          <w:lang w:eastAsia="zh-CN"/>
        </w:rPr>
        <w:t>（二）政府采购情况</w:t>
      </w:r>
    </w:p>
    <w:p w:rsidR="00BB2E24" w:rsidRDefault="008C34CA">
      <w:pPr>
        <w:spacing w:line="240" w:lineRule="auto"/>
        <w:rPr>
          <w:rFonts w:ascii="仿宋_GB2312" w:eastAsia="仿宋_GB2312"/>
          <w:sz w:val="32"/>
          <w:szCs w:val="32"/>
          <w:lang w:eastAsia="zh-CN"/>
        </w:rPr>
      </w:pPr>
      <w:r>
        <w:rPr>
          <w:rFonts w:ascii="仿宋_GB2312" w:eastAsia="仿宋_GB2312"/>
          <w:sz w:val="32"/>
          <w:szCs w:val="32"/>
          <w:lang w:eastAsia="zh-CN"/>
        </w:rPr>
        <w:t>（三）国有资产占用情况说明</w:t>
      </w:r>
    </w:p>
    <w:p w:rsidR="00BB2E24" w:rsidRDefault="008C34CA">
      <w:pPr>
        <w:spacing w:line="240" w:lineRule="auto"/>
        <w:rPr>
          <w:rFonts w:ascii="仿宋_GB2312" w:eastAsia="仿宋_GB2312"/>
          <w:sz w:val="32"/>
          <w:szCs w:val="32"/>
          <w:lang w:eastAsia="zh-CN"/>
        </w:rPr>
      </w:pPr>
      <w:r>
        <w:rPr>
          <w:rFonts w:ascii="仿宋_GB2312" w:eastAsia="仿宋_GB2312"/>
          <w:sz w:val="32"/>
          <w:szCs w:val="32"/>
          <w:lang w:eastAsia="zh-CN"/>
        </w:rPr>
        <w:lastRenderedPageBreak/>
        <w:t>十一、预算绩效的情况说明</w:t>
      </w:r>
    </w:p>
    <w:p w:rsidR="00BB2E24" w:rsidRDefault="008C34CA">
      <w:pPr>
        <w:spacing w:line="240" w:lineRule="auto"/>
        <w:rPr>
          <w:rFonts w:ascii="仿宋_GB2312" w:eastAsia="仿宋_GB2312"/>
          <w:sz w:val="32"/>
          <w:szCs w:val="32"/>
          <w:lang w:eastAsia="zh-CN"/>
        </w:rPr>
      </w:pPr>
      <w:r>
        <w:rPr>
          <w:rFonts w:ascii="仿宋_GB2312" w:eastAsia="仿宋_GB2312"/>
          <w:sz w:val="32"/>
          <w:szCs w:val="32"/>
          <w:lang w:eastAsia="zh-CN"/>
        </w:rPr>
        <w:t>十二、其他需说明的事项</w:t>
      </w:r>
    </w:p>
    <w:p w:rsidR="00BB2E24" w:rsidRDefault="008C34CA">
      <w:pPr>
        <w:spacing w:line="240" w:lineRule="auto"/>
        <w:rPr>
          <w:rFonts w:ascii="仿宋_GB2312" w:eastAsia="仿宋_GB2312"/>
          <w:sz w:val="32"/>
          <w:szCs w:val="32"/>
          <w:lang w:eastAsia="zh-CN"/>
        </w:rPr>
      </w:pPr>
      <w:r>
        <w:rPr>
          <w:rFonts w:ascii="仿宋_GB2312" w:eastAsia="仿宋_GB2312"/>
          <w:b/>
          <w:sz w:val="32"/>
          <w:szCs w:val="32"/>
          <w:lang w:eastAsia="zh-CN"/>
        </w:rPr>
        <w:t>第三部分专业名词解释</w:t>
      </w:r>
    </w:p>
    <w:p w:rsidR="00BB2E24" w:rsidRDefault="008C34CA">
      <w:pPr>
        <w:spacing w:line="240" w:lineRule="auto"/>
        <w:rPr>
          <w:rFonts w:ascii="仿宋_GB2312" w:eastAsia="仿宋_GB2312"/>
          <w:sz w:val="32"/>
          <w:szCs w:val="32"/>
          <w:lang w:eastAsia="zh-CN"/>
        </w:rPr>
      </w:pPr>
      <w:r>
        <w:rPr>
          <w:rFonts w:ascii="仿宋_GB2312" w:eastAsia="仿宋_GB2312"/>
          <w:b/>
          <w:sz w:val="32"/>
          <w:szCs w:val="32"/>
          <w:lang w:eastAsia="zh-CN"/>
        </w:rPr>
        <w:t>第四部分部门决算报表（见附表）</w:t>
      </w:r>
    </w:p>
    <w:p w:rsidR="00BB2E24" w:rsidRDefault="008C34CA">
      <w:pPr>
        <w:spacing w:line="240" w:lineRule="auto"/>
        <w:rPr>
          <w:rFonts w:ascii="仿宋_GB2312" w:eastAsia="仿宋_GB2312"/>
          <w:sz w:val="32"/>
          <w:szCs w:val="32"/>
          <w:lang w:eastAsia="zh-CN"/>
        </w:rPr>
      </w:pPr>
      <w:r>
        <w:rPr>
          <w:rFonts w:ascii="仿宋_GB2312" w:eastAsia="仿宋_GB2312"/>
          <w:sz w:val="32"/>
          <w:szCs w:val="32"/>
          <w:lang w:eastAsia="zh-CN"/>
        </w:rPr>
        <w:t>一、《收入支出决算总表》</w:t>
      </w:r>
    </w:p>
    <w:p w:rsidR="00BB2E24" w:rsidRDefault="008C34CA">
      <w:pPr>
        <w:spacing w:line="240" w:lineRule="auto"/>
        <w:rPr>
          <w:rFonts w:ascii="仿宋_GB2312" w:eastAsia="仿宋_GB2312"/>
          <w:sz w:val="32"/>
          <w:szCs w:val="32"/>
          <w:lang w:eastAsia="zh-CN"/>
        </w:rPr>
      </w:pPr>
      <w:r>
        <w:rPr>
          <w:rFonts w:ascii="仿宋_GB2312" w:eastAsia="仿宋_GB2312"/>
          <w:sz w:val="32"/>
          <w:szCs w:val="32"/>
          <w:lang w:eastAsia="zh-CN"/>
        </w:rPr>
        <w:t>二、《收入决算表》</w:t>
      </w:r>
    </w:p>
    <w:p w:rsidR="00BB2E24" w:rsidRDefault="008C34CA">
      <w:pPr>
        <w:spacing w:line="240" w:lineRule="auto"/>
        <w:rPr>
          <w:rFonts w:ascii="仿宋_GB2312" w:eastAsia="仿宋_GB2312"/>
          <w:sz w:val="32"/>
          <w:szCs w:val="32"/>
          <w:lang w:eastAsia="zh-CN"/>
        </w:rPr>
      </w:pPr>
      <w:r>
        <w:rPr>
          <w:rFonts w:ascii="仿宋_GB2312" w:eastAsia="仿宋_GB2312"/>
          <w:sz w:val="32"/>
          <w:szCs w:val="32"/>
          <w:lang w:eastAsia="zh-CN"/>
        </w:rPr>
        <w:t>三、《支出决算表》</w:t>
      </w:r>
    </w:p>
    <w:p w:rsidR="00BB2E24" w:rsidRDefault="008C34CA">
      <w:pPr>
        <w:spacing w:line="240" w:lineRule="auto"/>
        <w:rPr>
          <w:rFonts w:ascii="仿宋_GB2312" w:eastAsia="仿宋_GB2312"/>
          <w:sz w:val="32"/>
          <w:szCs w:val="32"/>
          <w:lang w:eastAsia="zh-CN"/>
        </w:rPr>
      </w:pPr>
      <w:r>
        <w:rPr>
          <w:rFonts w:ascii="仿宋_GB2312" w:eastAsia="仿宋_GB2312"/>
          <w:sz w:val="32"/>
          <w:szCs w:val="32"/>
          <w:lang w:eastAsia="zh-CN"/>
        </w:rPr>
        <w:t>四、《财政拨款收入支出决算总表》</w:t>
      </w:r>
    </w:p>
    <w:p w:rsidR="00BB2E24" w:rsidRDefault="008C34CA">
      <w:pPr>
        <w:spacing w:line="240" w:lineRule="auto"/>
        <w:rPr>
          <w:rFonts w:ascii="仿宋_GB2312" w:eastAsia="仿宋_GB2312"/>
          <w:sz w:val="32"/>
          <w:szCs w:val="32"/>
          <w:lang w:eastAsia="zh-CN"/>
        </w:rPr>
      </w:pPr>
      <w:r>
        <w:rPr>
          <w:rFonts w:ascii="仿宋_GB2312" w:eastAsia="仿宋_GB2312"/>
          <w:sz w:val="32"/>
          <w:szCs w:val="32"/>
          <w:lang w:eastAsia="zh-CN"/>
        </w:rPr>
        <w:t>五、《一般公共预算财政拨款支出决算表》</w:t>
      </w:r>
    </w:p>
    <w:p w:rsidR="00BB2E24" w:rsidRDefault="008C34CA">
      <w:pPr>
        <w:spacing w:line="240" w:lineRule="auto"/>
        <w:rPr>
          <w:rFonts w:ascii="仿宋_GB2312" w:eastAsia="仿宋_GB2312"/>
          <w:sz w:val="32"/>
          <w:szCs w:val="32"/>
          <w:lang w:eastAsia="zh-CN"/>
        </w:rPr>
      </w:pPr>
      <w:r>
        <w:rPr>
          <w:rFonts w:ascii="仿宋_GB2312" w:eastAsia="仿宋_GB2312"/>
          <w:sz w:val="32"/>
          <w:szCs w:val="32"/>
          <w:lang w:eastAsia="zh-CN"/>
        </w:rPr>
        <w:t>六、《一般公共预算财政拨款基本支出决算表》</w:t>
      </w:r>
    </w:p>
    <w:p w:rsidR="00BB2E24" w:rsidRDefault="008C34CA">
      <w:pPr>
        <w:spacing w:line="240" w:lineRule="auto"/>
        <w:rPr>
          <w:rFonts w:ascii="仿宋_GB2312" w:eastAsia="仿宋_GB2312"/>
          <w:sz w:val="32"/>
          <w:szCs w:val="32"/>
          <w:lang w:eastAsia="zh-CN"/>
        </w:rPr>
      </w:pPr>
      <w:r>
        <w:rPr>
          <w:rFonts w:ascii="仿宋_GB2312" w:eastAsia="仿宋_GB2312"/>
          <w:sz w:val="32"/>
          <w:szCs w:val="32"/>
          <w:lang w:eastAsia="zh-CN"/>
        </w:rPr>
        <w:t>七、《政府性基金预算财政拨款收入支出决算表》</w:t>
      </w:r>
    </w:p>
    <w:p w:rsidR="00BB2E24" w:rsidRDefault="008C34CA">
      <w:pPr>
        <w:spacing w:line="240" w:lineRule="auto"/>
        <w:rPr>
          <w:rFonts w:ascii="仿宋_GB2312" w:eastAsia="仿宋_GB2312"/>
          <w:sz w:val="32"/>
          <w:szCs w:val="32"/>
          <w:lang w:eastAsia="zh-CN"/>
        </w:rPr>
      </w:pPr>
      <w:r>
        <w:rPr>
          <w:rFonts w:ascii="仿宋_GB2312" w:eastAsia="仿宋_GB2312"/>
          <w:sz w:val="32"/>
          <w:szCs w:val="32"/>
          <w:lang w:eastAsia="zh-CN"/>
        </w:rPr>
        <w:t>八、《国有资本经营预算财政拨款收入支出决算表》</w:t>
      </w:r>
    </w:p>
    <w:p w:rsidR="00BB2E24" w:rsidRDefault="008C34CA">
      <w:pPr>
        <w:spacing w:line="240" w:lineRule="auto"/>
        <w:rPr>
          <w:rFonts w:ascii="仿宋_GB2312" w:eastAsia="仿宋_GB2312"/>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经费支出决算表》</w:t>
      </w:r>
    </w:p>
    <w:p w:rsidR="00BB2E24" w:rsidRDefault="008C34CA">
      <w:pPr>
        <w:rPr>
          <w:lang w:eastAsia="zh-CN"/>
        </w:rPr>
      </w:pPr>
      <w:r>
        <w:rPr>
          <w:sz w:val="0"/>
          <w:szCs w:val="0"/>
          <w:lang w:eastAsia="zh-CN"/>
        </w:rPr>
        <w:br w:type="page"/>
      </w:r>
    </w:p>
    <w:p w:rsidR="00BB2E24" w:rsidRDefault="008C34CA">
      <w:pPr>
        <w:spacing w:line="240" w:lineRule="auto"/>
        <w:jc w:val="center"/>
        <w:outlineLvl w:val="0"/>
        <w:rPr>
          <w:rFonts w:ascii="黑体" w:eastAsia="黑体"/>
          <w:sz w:val="32"/>
          <w:szCs w:val="32"/>
          <w:lang w:eastAsia="zh-CN"/>
        </w:rPr>
      </w:pPr>
      <w:r>
        <w:rPr>
          <w:rFonts w:ascii="黑体" w:eastAsia="黑体"/>
          <w:sz w:val="32"/>
          <w:szCs w:val="32"/>
          <w:lang w:eastAsia="zh-CN"/>
        </w:rPr>
        <w:lastRenderedPageBreak/>
        <w:t>第一部分单位概况</w:t>
      </w:r>
    </w:p>
    <w:p w:rsidR="00BB2E24" w:rsidRDefault="008C34CA">
      <w:pPr>
        <w:spacing w:line="240" w:lineRule="auto"/>
        <w:ind w:firstLineChars="200" w:firstLine="640"/>
        <w:outlineLvl w:val="1"/>
        <w:rPr>
          <w:rFonts w:ascii="黑体" w:eastAsia="黑体"/>
          <w:sz w:val="32"/>
          <w:szCs w:val="32"/>
          <w:lang w:eastAsia="zh-CN"/>
        </w:rPr>
      </w:pPr>
      <w:r>
        <w:rPr>
          <w:rFonts w:ascii="黑体" w:eastAsia="黑体"/>
          <w:sz w:val="32"/>
          <w:szCs w:val="32"/>
          <w:lang w:eastAsia="zh-CN"/>
        </w:rPr>
        <w:t>一、主要职能</w:t>
      </w:r>
    </w:p>
    <w:p w:rsidR="00BB2E24" w:rsidRDefault="008C34CA">
      <w:pPr>
        <w:ind w:firstLineChars="200" w:firstLine="640"/>
        <w:outlineLvl w:val="1"/>
        <w:rPr>
          <w:rFonts w:ascii="仿宋_GB2312" w:eastAsia="仿宋_GB2312" w:hAnsi="仿宋"/>
          <w:sz w:val="32"/>
          <w:szCs w:val="32"/>
          <w:lang w:eastAsia="zh-CN"/>
        </w:rPr>
      </w:pPr>
      <w:r>
        <w:rPr>
          <w:rFonts w:ascii="仿宋_GB2312" w:eastAsia="仿宋_GB2312" w:hAnsi="仿宋" w:hint="eastAsia"/>
          <w:sz w:val="32"/>
          <w:szCs w:val="32"/>
          <w:lang w:eastAsia="zh-CN"/>
        </w:rPr>
        <w:t>库尔勒市农业技术推广中心成立于</w:t>
      </w:r>
      <w:r>
        <w:rPr>
          <w:rFonts w:ascii="仿宋_GB2312" w:eastAsia="仿宋_GB2312" w:hAnsi="仿宋"/>
          <w:sz w:val="32"/>
          <w:szCs w:val="32"/>
          <w:lang w:eastAsia="zh-CN"/>
        </w:rPr>
        <w:t>1953</w:t>
      </w:r>
      <w:r>
        <w:rPr>
          <w:rFonts w:ascii="仿宋_GB2312" w:eastAsia="仿宋_GB2312" w:hAnsi="仿宋" w:hint="eastAsia"/>
          <w:sz w:val="32"/>
          <w:szCs w:val="32"/>
          <w:lang w:eastAsia="zh-CN"/>
        </w:rPr>
        <w:t>年，是库尔勒市农业局所属的由市财政全额拨款的正科级公益性事业单位（正科级）。库尔勒市农业技术推广中心承担着全市农作物新品种的引进、试验、示范；病虫害的预测、预报；农业技术的推广、应用，农民实用技术的培训；科技项目实施等多项工作，农技推广服务体系已成为农业生产与农业科技结合的主要载体。</w:t>
      </w:r>
    </w:p>
    <w:p w:rsidR="00BB2E24" w:rsidRDefault="008C34CA">
      <w:pPr>
        <w:spacing w:line="240" w:lineRule="auto"/>
        <w:ind w:firstLineChars="200" w:firstLine="640"/>
        <w:outlineLvl w:val="1"/>
        <w:rPr>
          <w:rFonts w:ascii="黑体" w:eastAsia="黑体"/>
          <w:sz w:val="32"/>
          <w:szCs w:val="32"/>
          <w:lang w:eastAsia="zh-CN"/>
        </w:rPr>
      </w:pPr>
      <w:r>
        <w:rPr>
          <w:rFonts w:ascii="黑体" w:eastAsia="黑体"/>
          <w:sz w:val="32"/>
          <w:szCs w:val="32"/>
          <w:lang w:eastAsia="zh-CN"/>
        </w:rPr>
        <w:t>二、机构设置及人员情况</w:t>
      </w:r>
    </w:p>
    <w:p w:rsidR="00BB2E24" w:rsidRDefault="008C34CA">
      <w:pPr>
        <w:spacing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库尔勒市农业技术推广中心2024年度，实有人数82人，其中：在职人员36人，增加3人；离休人员0人，较上年无变化；退休人员46人，增加1人。</w:t>
      </w:r>
    </w:p>
    <w:p w:rsidR="00BB2E24" w:rsidRDefault="008C34CA">
      <w:pPr>
        <w:spacing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库尔勒市农业技术推广中心无下属预算单位，下设</w:t>
      </w:r>
      <w:r>
        <w:rPr>
          <w:rFonts w:ascii="仿宋_GB2312" w:eastAsia="仿宋_GB2312" w:hint="eastAsia"/>
          <w:sz w:val="32"/>
          <w:szCs w:val="32"/>
          <w:lang w:eastAsia="zh-CN"/>
        </w:rPr>
        <w:t>4</w:t>
      </w:r>
      <w:r>
        <w:rPr>
          <w:rFonts w:ascii="仿宋_GB2312" w:eastAsia="仿宋_GB2312"/>
          <w:sz w:val="32"/>
          <w:szCs w:val="32"/>
          <w:lang w:eastAsia="zh-CN"/>
        </w:rPr>
        <w:t>个</w:t>
      </w:r>
      <w:r>
        <w:rPr>
          <w:rFonts w:ascii="仿宋_GB2312" w:eastAsia="仿宋_GB2312" w:hAnsi="黑体" w:cs="宋体" w:hint="eastAsia"/>
          <w:bCs/>
          <w:sz w:val="32"/>
          <w:szCs w:val="32"/>
          <w:lang w:eastAsia="zh-CN"/>
        </w:rPr>
        <w:t>科室(科室)</w:t>
      </w:r>
      <w:r>
        <w:rPr>
          <w:rFonts w:ascii="仿宋_GB2312" w:eastAsia="仿宋_GB2312"/>
          <w:sz w:val="32"/>
          <w:szCs w:val="32"/>
          <w:lang w:eastAsia="zh-CN"/>
        </w:rPr>
        <w:t>，分别是：</w:t>
      </w:r>
      <w:r>
        <w:rPr>
          <w:rFonts w:ascii="仿宋_GB2312" w:eastAsia="仿宋_GB2312" w:hAnsi="仿宋" w:hint="eastAsia"/>
          <w:sz w:val="32"/>
          <w:szCs w:val="32"/>
          <w:lang w:eastAsia="zh-CN"/>
        </w:rPr>
        <w:t>作物栽培站、植保（植物检疫）站、土壤肥料站、办公室四个专业站（室）</w:t>
      </w:r>
      <w:r>
        <w:rPr>
          <w:rFonts w:ascii="仿宋_GB2312" w:eastAsia="仿宋_GB2312"/>
          <w:sz w:val="32"/>
          <w:szCs w:val="32"/>
          <w:lang w:eastAsia="zh-CN"/>
        </w:rPr>
        <w:t>。</w:t>
      </w:r>
    </w:p>
    <w:p w:rsidR="00BB2E24" w:rsidRDefault="008C34CA">
      <w:pPr>
        <w:rPr>
          <w:lang w:eastAsia="zh-CN"/>
        </w:rPr>
      </w:pPr>
      <w:r>
        <w:rPr>
          <w:sz w:val="0"/>
          <w:szCs w:val="0"/>
          <w:lang w:eastAsia="zh-CN"/>
        </w:rPr>
        <w:br w:type="page"/>
      </w:r>
    </w:p>
    <w:p w:rsidR="00BB2E24" w:rsidRDefault="008C34CA">
      <w:pPr>
        <w:spacing w:line="240" w:lineRule="auto"/>
        <w:jc w:val="center"/>
        <w:outlineLvl w:val="0"/>
        <w:rPr>
          <w:rFonts w:ascii="黑体" w:eastAsia="黑体"/>
          <w:sz w:val="32"/>
          <w:szCs w:val="32"/>
          <w:lang w:eastAsia="zh-CN"/>
        </w:rPr>
      </w:pPr>
      <w:r>
        <w:rPr>
          <w:rFonts w:ascii="黑体" w:eastAsia="黑体"/>
          <w:sz w:val="32"/>
          <w:szCs w:val="32"/>
          <w:lang w:eastAsia="zh-CN"/>
        </w:rPr>
        <w:lastRenderedPageBreak/>
        <w:t>第二部分部门决算情况说明</w:t>
      </w:r>
    </w:p>
    <w:p w:rsidR="00BB2E24" w:rsidRDefault="008C34CA">
      <w:pPr>
        <w:spacing w:line="240" w:lineRule="auto"/>
        <w:ind w:firstLineChars="200" w:firstLine="640"/>
        <w:outlineLvl w:val="1"/>
        <w:rPr>
          <w:rFonts w:ascii="黑体" w:eastAsia="黑体"/>
          <w:sz w:val="32"/>
          <w:szCs w:val="32"/>
          <w:lang w:eastAsia="zh-CN"/>
        </w:rPr>
      </w:pPr>
      <w:r>
        <w:rPr>
          <w:rFonts w:ascii="黑体" w:eastAsia="黑体"/>
          <w:sz w:val="32"/>
          <w:szCs w:val="32"/>
          <w:lang w:eastAsia="zh-CN"/>
        </w:rPr>
        <w:t>一、收入支出决算总体情况说明</w:t>
      </w:r>
    </w:p>
    <w:p w:rsidR="00BB2E24" w:rsidRDefault="008C34CA">
      <w:pPr>
        <w:spacing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2024年度收入总计1,175.46万元，其中：本年收入合计1,175.46万元，使用非财政拨款结余（含专用结余）0.00万元，年初结转和结余0.00万元。</w:t>
      </w:r>
    </w:p>
    <w:p w:rsidR="00BB2E24" w:rsidRDefault="008C34CA">
      <w:pPr>
        <w:spacing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2024年度支出总计1,175.46万元，其中：本年支出合计1,175.46万元，结余分配0.00万元，年末结转和结余0.00万元。</w:t>
      </w:r>
    </w:p>
    <w:p w:rsidR="00BB2E24" w:rsidRPr="004648B4" w:rsidRDefault="008C34CA">
      <w:pPr>
        <w:spacing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收入支出总体与上年相比，增加365.15万元，增长45.06%，主要原因是</w:t>
      </w:r>
      <w:r>
        <w:rPr>
          <w:rFonts w:ascii="仿宋_GB2312" w:eastAsia="仿宋_GB2312" w:hint="eastAsia"/>
          <w:sz w:val="32"/>
          <w:szCs w:val="32"/>
          <w:lang w:eastAsia="zh-CN"/>
        </w:rPr>
        <w:t>：</w:t>
      </w:r>
      <w:r w:rsidRPr="004648B4">
        <w:rPr>
          <w:rFonts w:ascii="仿宋_GB2312" w:eastAsia="仿宋_GB2312" w:hint="eastAsia"/>
          <w:sz w:val="32"/>
          <w:szCs w:val="32"/>
          <w:lang w:eastAsia="zh-CN"/>
        </w:rPr>
        <w:t>项目资金增加、新增外单位调入、研究生人才引进等3人导致收入支出总体增加。</w:t>
      </w:r>
    </w:p>
    <w:p w:rsidR="00BB2E24" w:rsidRDefault="008C34CA">
      <w:pPr>
        <w:spacing w:line="240" w:lineRule="auto"/>
        <w:ind w:firstLineChars="200" w:firstLine="640"/>
        <w:outlineLvl w:val="1"/>
        <w:rPr>
          <w:rFonts w:ascii="黑体" w:eastAsia="黑体"/>
          <w:sz w:val="32"/>
          <w:szCs w:val="32"/>
          <w:lang w:eastAsia="zh-CN"/>
        </w:rPr>
      </w:pPr>
      <w:r>
        <w:rPr>
          <w:rFonts w:ascii="黑体" w:eastAsia="黑体"/>
          <w:sz w:val="32"/>
          <w:szCs w:val="32"/>
          <w:lang w:eastAsia="zh-CN"/>
        </w:rPr>
        <w:t>二、收入决算情况说明</w:t>
      </w:r>
    </w:p>
    <w:p w:rsidR="00BB2E24" w:rsidRDefault="008C34CA">
      <w:pPr>
        <w:spacing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本年收入1,175.46万元，其中：财政拨款收入1,175.46万元,占100.00%；上级补助收入0.00万元,占0.00%；事业收入0.00万元，占0.00%；经营收入0.00万元,占0.00%；附属单位上缴收入0.00万元，占0.00%；其他收入0.00万元，占0.00%。</w:t>
      </w:r>
    </w:p>
    <w:p w:rsidR="00BB2E24" w:rsidRDefault="008C34CA">
      <w:pPr>
        <w:spacing w:line="240" w:lineRule="auto"/>
        <w:ind w:firstLineChars="200" w:firstLine="640"/>
        <w:outlineLvl w:val="1"/>
        <w:rPr>
          <w:rFonts w:ascii="黑体" w:eastAsia="黑体"/>
          <w:sz w:val="32"/>
          <w:szCs w:val="32"/>
          <w:lang w:eastAsia="zh-CN"/>
        </w:rPr>
      </w:pPr>
      <w:r>
        <w:rPr>
          <w:rFonts w:ascii="黑体" w:eastAsia="黑体"/>
          <w:sz w:val="32"/>
          <w:szCs w:val="32"/>
          <w:lang w:eastAsia="zh-CN"/>
        </w:rPr>
        <w:t>三、支出决算情况说明</w:t>
      </w:r>
    </w:p>
    <w:p w:rsidR="00BB2E24" w:rsidRDefault="008C34CA">
      <w:pPr>
        <w:spacing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本年支出1,175.46万元，其中：基本支出633.25万元，占53.87%；项目支出542.21万元，占46.13%；上缴上级支出0.00万元，占0.00%；经营支出0.00万元，占0.00%；对附属单位补助支出0.00万元，占0.00%。</w:t>
      </w:r>
    </w:p>
    <w:p w:rsidR="00BB2E24" w:rsidRDefault="008C34CA">
      <w:pPr>
        <w:spacing w:line="240" w:lineRule="auto"/>
        <w:ind w:firstLineChars="200" w:firstLine="640"/>
        <w:outlineLvl w:val="1"/>
        <w:rPr>
          <w:rFonts w:ascii="黑体" w:eastAsia="黑体"/>
          <w:sz w:val="32"/>
          <w:szCs w:val="32"/>
          <w:lang w:eastAsia="zh-CN"/>
        </w:rPr>
      </w:pPr>
      <w:r>
        <w:rPr>
          <w:rFonts w:ascii="黑体" w:eastAsia="黑体"/>
          <w:sz w:val="32"/>
          <w:szCs w:val="32"/>
          <w:lang w:eastAsia="zh-CN"/>
        </w:rPr>
        <w:t>四、财政拨款收入支出决算总体情况说明</w:t>
      </w:r>
    </w:p>
    <w:p w:rsidR="00BB2E24" w:rsidRDefault="008C34CA">
      <w:pPr>
        <w:spacing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2024年度财政拨款收入总计1,175.46万元，其中：年初财政拨款结转和结余0.00万元，本年财政拨款收入1,175.46</w:t>
      </w:r>
      <w:r>
        <w:rPr>
          <w:rFonts w:ascii="仿宋_GB2312" w:eastAsia="仿宋_GB2312"/>
          <w:sz w:val="32"/>
          <w:szCs w:val="32"/>
          <w:lang w:eastAsia="zh-CN"/>
        </w:rPr>
        <w:lastRenderedPageBreak/>
        <w:t>万元。财政拨款支出总计1,175.46万元，其中：年末财政拨款结转和结余0.00万元，本年财政拨款支出1,175.46万元。</w:t>
      </w:r>
    </w:p>
    <w:p w:rsidR="00BB2E24" w:rsidRDefault="008C34CA">
      <w:pPr>
        <w:spacing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财政拨款收入支出总体与上年相比，增加365.15万元，增长45.06%，主要原因是：</w:t>
      </w:r>
      <w:r w:rsidRPr="004648B4">
        <w:rPr>
          <w:rFonts w:ascii="仿宋_GB2312" w:eastAsia="仿宋_GB2312" w:hint="eastAsia"/>
          <w:sz w:val="32"/>
          <w:szCs w:val="32"/>
          <w:lang w:eastAsia="zh-CN"/>
        </w:rPr>
        <w:t>项目资金增加、新增外单位调入、研究生人才引进等3人导致收入支出总体增加。</w:t>
      </w:r>
      <w:r>
        <w:rPr>
          <w:rFonts w:ascii="仿宋_GB2312" w:eastAsia="仿宋_GB2312"/>
          <w:sz w:val="32"/>
          <w:szCs w:val="32"/>
          <w:lang w:eastAsia="zh-CN"/>
        </w:rPr>
        <w:t>与年初预算相比，年初预算数845.45万元，决算数1,175.46万元，预决算差异率39.03%，主要原因是：</w:t>
      </w:r>
      <w:r w:rsidRPr="004648B4">
        <w:rPr>
          <w:rFonts w:ascii="仿宋_GB2312" w:eastAsia="仿宋_GB2312" w:hint="eastAsia"/>
          <w:sz w:val="32"/>
          <w:szCs w:val="32"/>
          <w:lang w:eastAsia="zh-CN"/>
        </w:rPr>
        <w:t>新增项目按照实施方案稳步支出导致比预算数增加</w:t>
      </w:r>
      <w:r>
        <w:rPr>
          <w:rFonts w:ascii="仿宋_GB2312" w:eastAsia="仿宋_GB2312"/>
          <w:sz w:val="32"/>
          <w:szCs w:val="32"/>
          <w:lang w:eastAsia="zh-CN"/>
        </w:rPr>
        <w:t>。</w:t>
      </w:r>
    </w:p>
    <w:p w:rsidR="00BB2E24" w:rsidRDefault="008C34CA">
      <w:pPr>
        <w:spacing w:line="240" w:lineRule="auto"/>
        <w:ind w:firstLineChars="200" w:firstLine="640"/>
        <w:outlineLvl w:val="1"/>
        <w:rPr>
          <w:rFonts w:ascii="黑体" w:eastAsia="黑体"/>
          <w:sz w:val="32"/>
          <w:szCs w:val="32"/>
          <w:lang w:eastAsia="zh-CN"/>
        </w:rPr>
      </w:pPr>
      <w:r>
        <w:rPr>
          <w:rFonts w:ascii="黑体" w:eastAsia="黑体"/>
          <w:sz w:val="32"/>
          <w:szCs w:val="32"/>
          <w:lang w:eastAsia="zh-CN"/>
        </w:rPr>
        <w:t>五、一般公共预算财政拨款支出决算情况说明</w:t>
      </w:r>
    </w:p>
    <w:p w:rsidR="00BB2E24" w:rsidRDefault="008C34CA">
      <w:pPr>
        <w:spacing w:line="240" w:lineRule="auto"/>
        <w:ind w:firstLineChars="200" w:firstLine="643"/>
        <w:outlineLvl w:val="2"/>
        <w:rPr>
          <w:rFonts w:ascii="仿宋_GB2312" w:eastAsia="仿宋_GB2312"/>
          <w:sz w:val="32"/>
          <w:szCs w:val="32"/>
          <w:lang w:eastAsia="zh-CN"/>
        </w:rPr>
      </w:pPr>
      <w:r>
        <w:rPr>
          <w:rFonts w:ascii="仿宋_GB2312" w:eastAsia="仿宋_GB2312"/>
          <w:b/>
          <w:sz w:val="32"/>
          <w:szCs w:val="32"/>
          <w:lang w:eastAsia="zh-CN"/>
        </w:rPr>
        <w:t>（一）一般公共预算财政拨款支出决算总体情况</w:t>
      </w:r>
    </w:p>
    <w:p w:rsidR="00BB2E24" w:rsidRDefault="008C34CA">
      <w:pPr>
        <w:spacing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2024年度一般公共预算财政拨款支出1,175.46万元，占本年支出合计的100.00%。与上年相比，增加390.39万元，增长49.73%，主要原因是：</w:t>
      </w:r>
      <w:r w:rsidRPr="004648B4">
        <w:rPr>
          <w:rFonts w:ascii="仿宋_GB2312" w:eastAsia="仿宋_GB2312" w:hint="eastAsia"/>
          <w:sz w:val="32"/>
          <w:szCs w:val="32"/>
          <w:lang w:eastAsia="zh-CN"/>
        </w:rPr>
        <w:t>项目资金支出增加、新增外单位调入、研究生人才引进等3人导致支出总体增加</w:t>
      </w:r>
      <w:r>
        <w:rPr>
          <w:rFonts w:ascii="仿宋_GB2312" w:eastAsia="仿宋_GB2312"/>
          <w:sz w:val="32"/>
          <w:szCs w:val="32"/>
          <w:lang w:eastAsia="zh-CN"/>
        </w:rPr>
        <w:t>。与年初预算相比，年初预算数845.45万元，决算数1,175.46万元，预决算差异率39.03%，主要原因是：</w:t>
      </w:r>
      <w:r w:rsidRPr="004648B4">
        <w:rPr>
          <w:rFonts w:ascii="仿宋_GB2312" w:eastAsia="仿宋_GB2312" w:hint="eastAsia"/>
          <w:sz w:val="32"/>
          <w:szCs w:val="32"/>
          <w:lang w:eastAsia="zh-CN"/>
        </w:rPr>
        <w:t>新增项目按照实施方案稳步支出导致比预算数增加</w:t>
      </w:r>
      <w:r>
        <w:rPr>
          <w:rFonts w:ascii="仿宋_GB2312" w:eastAsia="仿宋_GB2312"/>
          <w:sz w:val="32"/>
          <w:szCs w:val="32"/>
          <w:lang w:eastAsia="zh-CN"/>
        </w:rPr>
        <w:t>。</w:t>
      </w:r>
    </w:p>
    <w:p w:rsidR="00BB2E24" w:rsidRDefault="008C34CA">
      <w:pPr>
        <w:spacing w:line="240" w:lineRule="auto"/>
        <w:ind w:firstLineChars="200" w:firstLine="643"/>
        <w:outlineLvl w:val="2"/>
        <w:rPr>
          <w:rFonts w:ascii="仿宋_GB2312" w:eastAsia="仿宋_GB2312"/>
          <w:sz w:val="32"/>
          <w:szCs w:val="32"/>
          <w:lang w:eastAsia="zh-CN"/>
        </w:rPr>
      </w:pPr>
      <w:r>
        <w:rPr>
          <w:rFonts w:ascii="仿宋_GB2312" w:eastAsia="仿宋_GB2312"/>
          <w:b/>
          <w:sz w:val="32"/>
          <w:szCs w:val="32"/>
          <w:lang w:eastAsia="zh-CN"/>
        </w:rPr>
        <w:t>（二）一般公共预算财政拨款支出决算结构情况</w:t>
      </w:r>
    </w:p>
    <w:p w:rsidR="00BB2E24" w:rsidRDefault="008C34CA">
      <w:pPr>
        <w:spacing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农林水支出（类）1,160.46万元，占98.72%。</w:t>
      </w:r>
    </w:p>
    <w:p w:rsidR="00BB2E24" w:rsidRDefault="008C34CA">
      <w:pPr>
        <w:spacing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其他支出（类）15.00万元，占1.28%。</w:t>
      </w:r>
    </w:p>
    <w:p w:rsidR="00BB2E24" w:rsidRDefault="008C34CA">
      <w:pPr>
        <w:spacing w:line="240" w:lineRule="auto"/>
        <w:ind w:firstLineChars="200" w:firstLine="643"/>
        <w:outlineLvl w:val="2"/>
        <w:rPr>
          <w:rFonts w:ascii="仿宋_GB2312" w:eastAsia="仿宋_GB2312"/>
          <w:sz w:val="32"/>
          <w:szCs w:val="32"/>
          <w:lang w:eastAsia="zh-CN"/>
        </w:rPr>
      </w:pPr>
      <w:r>
        <w:rPr>
          <w:rFonts w:ascii="仿宋_GB2312" w:eastAsia="仿宋_GB2312"/>
          <w:b/>
          <w:sz w:val="32"/>
          <w:szCs w:val="32"/>
          <w:lang w:eastAsia="zh-CN"/>
        </w:rPr>
        <w:t>（三）一般公共预算财政拨款支出决算具体情况</w:t>
      </w:r>
    </w:p>
    <w:p w:rsidR="00BB2E24" w:rsidRDefault="008C34CA">
      <w:pPr>
        <w:numPr>
          <w:ilvl w:val="0"/>
          <w:numId w:val="1"/>
        </w:numPr>
        <w:rPr>
          <w:rFonts w:ascii="仿宋_GB2312" w:eastAsia="仿宋_GB2312"/>
          <w:sz w:val="32"/>
          <w:szCs w:val="32"/>
          <w:lang w:eastAsia="zh-CN"/>
        </w:rPr>
      </w:pPr>
      <w:r>
        <w:rPr>
          <w:rFonts w:ascii="仿宋_GB2312" w:eastAsia="仿宋_GB2312"/>
          <w:sz w:val="32"/>
          <w:szCs w:val="32"/>
          <w:lang w:eastAsia="zh-CN"/>
        </w:rPr>
        <w:t>教育支出（类）进修及培训（款）培训支出（项）：支出决算数为0.00万元，比上年决算减少3.01万元，下降100.00%，主要原因是：</w:t>
      </w:r>
      <w:r w:rsidRPr="004648B4">
        <w:rPr>
          <w:rFonts w:ascii="仿宋_GB2312" w:eastAsia="仿宋_GB2312" w:hint="eastAsia"/>
          <w:sz w:val="32"/>
          <w:szCs w:val="32"/>
          <w:lang w:eastAsia="zh-CN"/>
        </w:rPr>
        <w:t>本年度教育支出（类）进修及培训（款）培训支出（项）并入农林水支出（类）农业农村（款）事业运行（项）导致培训费比上年支出减少。</w:t>
      </w:r>
    </w:p>
    <w:p w:rsidR="00BB2E24" w:rsidRDefault="008C34CA">
      <w:pPr>
        <w:numPr>
          <w:ilvl w:val="0"/>
          <w:numId w:val="1"/>
        </w:numPr>
        <w:rPr>
          <w:rFonts w:ascii="仿宋_GB2312" w:eastAsia="仿宋_GB2312"/>
          <w:sz w:val="32"/>
          <w:szCs w:val="32"/>
          <w:lang w:eastAsia="zh-CN"/>
        </w:rPr>
      </w:pPr>
      <w:r>
        <w:rPr>
          <w:rFonts w:ascii="仿宋_GB2312" w:eastAsia="仿宋_GB2312"/>
          <w:sz w:val="32"/>
          <w:szCs w:val="32"/>
          <w:lang w:eastAsia="zh-CN"/>
        </w:rPr>
        <w:lastRenderedPageBreak/>
        <w:t>社会保障和就业支出（类）行政事业单位养老支出（款）事业单位离退休（项）：支出决算数为0.00万元，比上年决算减少11.57万元，下降100.00%，主要原因是：</w:t>
      </w:r>
      <w:r w:rsidRPr="004648B4">
        <w:rPr>
          <w:rFonts w:ascii="仿宋_GB2312" w:eastAsia="仿宋_GB2312" w:hint="eastAsia"/>
          <w:sz w:val="32"/>
          <w:szCs w:val="32"/>
          <w:lang w:eastAsia="zh-CN"/>
        </w:rPr>
        <w:t>本年度社会保障和就业支出（类）行政事业单位养老支出（款）事业单位离退休（项）并入农林水支出（类）农业农村（款）事业运行（项）导致导致事业离退休比上年支出减少。</w:t>
      </w:r>
    </w:p>
    <w:p w:rsidR="00BB2E24" w:rsidRDefault="008C34CA">
      <w:pPr>
        <w:numPr>
          <w:ilvl w:val="0"/>
          <w:numId w:val="1"/>
        </w:numPr>
        <w:rPr>
          <w:rFonts w:ascii="仿宋_GB2312" w:eastAsia="仿宋_GB2312"/>
          <w:sz w:val="32"/>
          <w:szCs w:val="32"/>
          <w:lang w:eastAsia="zh-CN"/>
        </w:rPr>
      </w:pPr>
      <w:r>
        <w:rPr>
          <w:rFonts w:ascii="仿宋_GB2312" w:eastAsia="仿宋_GB2312"/>
          <w:sz w:val="32"/>
          <w:szCs w:val="32"/>
          <w:lang w:eastAsia="zh-CN"/>
        </w:rPr>
        <w:t>农林水支出（类）农业农村（款）事业运行（项）：支出决算数为633.25万元，比上年决算减少8.32万元，下降1.30%，主要原因是：</w:t>
      </w:r>
      <w:r w:rsidRPr="004648B4">
        <w:rPr>
          <w:rFonts w:ascii="仿宋_GB2312" w:eastAsia="仿宋_GB2312" w:hint="eastAsia"/>
          <w:sz w:val="32"/>
          <w:szCs w:val="32"/>
          <w:lang w:eastAsia="zh-CN"/>
        </w:rPr>
        <w:t>2023年，因单位有人员去世，根据相关规定发放了抚恤金，这部分支出计入了当年决算。而2024年度，单位未发生人员去世情况，没有抚恤金相关支出，因此相较于2023年，2024年决算金额减少导致支出减少。</w:t>
      </w:r>
    </w:p>
    <w:p w:rsidR="00BB2E24" w:rsidRDefault="008C34CA">
      <w:pPr>
        <w:numPr>
          <w:ilvl w:val="0"/>
          <w:numId w:val="1"/>
        </w:numPr>
        <w:rPr>
          <w:rFonts w:ascii="仿宋_GB2312" w:eastAsia="仿宋_GB2312"/>
          <w:sz w:val="32"/>
          <w:szCs w:val="32"/>
          <w:lang w:eastAsia="zh-CN"/>
        </w:rPr>
      </w:pPr>
      <w:r>
        <w:rPr>
          <w:rFonts w:ascii="仿宋_GB2312" w:eastAsia="仿宋_GB2312"/>
          <w:sz w:val="32"/>
          <w:szCs w:val="32"/>
          <w:lang w:eastAsia="zh-CN"/>
        </w:rPr>
        <w:t>农林水支出（类）农业农村（款）病虫害控制（项）：支出决算数为0.00万元，比上年决算减少26.88万元，下降100.00%，主要原因是：</w:t>
      </w:r>
      <w:r w:rsidRPr="004648B4">
        <w:rPr>
          <w:rFonts w:ascii="仿宋_GB2312" w:eastAsia="仿宋_GB2312" w:hint="eastAsia"/>
          <w:sz w:val="32"/>
          <w:szCs w:val="32"/>
          <w:lang w:eastAsia="zh-CN"/>
        </w:rPr>
        <w:t>本年度病虫害控制“一喷三防”专项项目在农业局实施，本单位此项目减少导致支出减少。</w:t>
      </w:r>
    </w:p>
    <w:p w:rsidR="00BB2E24" w:rsidRDefault="008C34CA">
      <w:pPr>
        <w:ind w:firstLineChars="200" w:firstLine="640"/>
        <w:rPr>
          <w:rFonts w:ascii="仿宋_GB2312" w:eastAsia="仿宋_GB2312"/>
          <w:sz w:val="32"/>
          <w:szCs w:val="32"/>
          <w:lang w:eastAsia="zh-CN"/>
        </w:rPr>
      </w:pPr>
      <w:r>
        <w:rPr>
          <w:rFonts w:ascii="仿宋_GB2312" w:eastAsia="仿宋_GB2312"/>
          <w:sz w:val="32"/>
          <w:szCs w:val="32"/>
          <w:lang w:eastAsia="zh-CN"/>
        </w:rPr>
        <w:t>农林水支出（类）农业农村（款）农业生产发展（项）：支出决算数为95.99万元，比上年决算减少6.05万元，下降5.93%，主要原因是：</w:t>
      </w:r>
      <w:r w:rsidRPr="004648B4">
        <w:rPr>
          <w:rFonts w:ascii="仿宋_GB2312" w:eastAsia="仿宋_GB2312" w:hint="eastAsia"/>
          <w:sz w:val="32"/>
          <w:szCs w:val="32"/>
          <w:lang w:eastAsia="zh-CN"/>
        </w:rPr>
        <w:t>农技推广体系项目经费支付缓慢导致经费支出减少。</w:t>
      </w:r>
    </w:p>
    <w:p w:rsidR="00BB2E24" w:rsidRDefault="008C34CA">
      <w:pPr>
        <w:numPr>
          <w:ilvl w:val="0"/>
          <w:numId w:val="1"/>
        </w:numPr>
        <w:rPr>
          <w:rFonts w:ascii="仿宋_GB2312" w:eastAsia="仿宋_GB2312"/>
          <w:sz w:val="32"/>
          <w:szCs w:val="32"/>
          <w:lang w:eastAsia="zh-CN"/>
        </w:rPr>
      </w:pPr>
      <w:r>
        <w:rPr>
          <w:rFonts w:ascii="仿宋_GB2312" w:eastAsia="仿宋_GB2312"/>
          <w:sz w:val="32"/>
          <w:szCs w:val="32"/>
          <w:lang w:eastAsia="zh-CN"/>
        </w:rPr>
        <w:t>农林水支出（类）农业农村（款）农村合作经济（项）：支出决算数为67.72万元，比上年决算增加67.72万元，增长100.00%，主要原因是：</w:t>
      </w:r>
      <w:r w:rsidRPr="004648B4">
        <w:rPr>
          <w:rFonts w:ascii="仿宋_GB2312" w:eastAsia="仿宋_GB2312" w:hint="eastAsia"/>
          <w:sz w:val="32"/>
          <w:szCs w:val="32"/>
          <w:lang w:eastAsia="zh-CN"/>
        </w:rPr>
        <w:t>新增2024年中央农业经营主体能力提升项目导致支出增加。</w:t>
      </w:r>
    </w:p>
    <w:p w:rsidR="00BB2E24" w:rsidRDefault="008C34CA">
      <w:pPr>
        <w:numPr>
          <w:ilvl w:val="0"/>
          <w:numId w:val="1"/>
        </w:numPr>
        <w:rPr>
          <w:rFonts w:ascii="仿宋_GB2312" w:eastAsia="仿宋_GB2312"/>
          <w:sz w:val="32"/>
          <w:szCs w:val="32"/>
          <w:lang w:eastAsia="zh-CN"/>
        </w:rPr>
      </w:pPr>
      <w:r>
        <w:rPr>
          <w:rFonts w:ascii="仿宋_GB2312" w:eastAsia="仿宋_GB2312"/>
          <w:sz w:val="32"/>
          <w:szCs w:val="32"/>
          <w:lang w:eastAsia="zh-CN"/>
        </w:rPr>
        <w:t>农林水支出（类）农业农村（款）农业生态资源保护（项）：支出决算数为281.10万元，比上年决算增加281.10万元，增长100.00%，主要原因是：</w:t>
      </w:r>
      <w:r w:rsidRPr="004648B4">
        <w:rPr>
          <w:rFonts w:ascii="仿宋_GB2312" w:eastAsia="仿宋_GB2312" w:hint="eastAsia"/>
          <w:sz w:val="32"/>
          <w:szCs w:val="32"/>
          <w:lang w:eastAsia="zh-CN"/>
        </w:rPr>
        <w:t>新增2024年库尔勒市第三次全国土壤普查工作市级配套资金导致支出增加。</w:t>
      </w:r>
    </w:p>
    <w:p w:rsidR="00BB2E24" w:rsidRDefault="008C34CA">
      <w:pPr>
        <w:numPr>
          <w:ilvl w:val="0"/>
          <w:numId w:val="1"/>
        </w:numPr>
        <w:rPr>
          <w:rFonts w:ascii="仿宋_GB2312" w:eastAsia="仿宋_GB2312"/>
          <w:sz w:val="32"/>
          <w:szCs w:val="32"/>
          <w:lang w:eastAsia="zh-CN"/>
        </w:rPr>
      </w:pPr>
      <w:r>
        <w:rPr>
          <w:rFonts w:ascii="仿宋_GB2312" w:eastAsia="仿宋_GB2312"/>
          <w:sz w:val="32"/>
          <w:szCs w:val="32"/>
          <w:lang w:eastAsia="zh-CN"/>
        </w:rPr>
        <w:lastRenderedPageBreak/>
        <w:t>农林水支出（类）农业农村（款）耕地建设与利用（项）：支出决算数为82.40万元，比上年决算增加82.40万元，增长100.00%，主要原因是：</w:t>
      </w:r>
      <w:r w:rsidRPr="004648B4">
        <w:rPr>
          <w:rFonts w:ascii="仿宋_GB2312" w:eastAsia="仿宋_GB2312" w:hint="eastAsia"/>
          <w:sz w:val="32"/>
          <w:szCs w:val="32"/>
          <w:lang w:eastAsia="zh-CN"/>
        </w:rPr>
        <w:t>新增2024年中央耕地建设与利用（化肥减量、第三次土壤普查）资金导致支出增加。</w:t>
      </w:r>
    </w:p>
    <w:p w:rsidR="00BB2E24" w:rsidRDefault="008C34CA">
      <w:pPr>
        <w:numPr>
          <w:ilvl w:val="0"/>
          <w:numId w:val="1"/>
        </w:numPr>
        <w:rPr>
          <w:rFonts w:ascii="仿宋_GB2312" w:eastAsia="仿宋_GB2312"/>
          <w:sz w:val="32"/>
          <w:szCs w:val="32"/>
          <w:lang w:eastAsia="zh-CN"/>
        </w:rPr>
      </w:pPr>
      <w:r>
        <w:rPr>
          <w:rFonts w:ascii="仿宋_GB2312" w:eastAsia="仿宋_GB2312"/>
          <w:sz w:val="32"/>
          <w:szCs w:val="32"/>
          <w:lang w:eastAsia="zh-CN"/>
        </w:rPr>
        <w:t>其他支出（类）其他支出（款）其他支出（项）：支出决算数为15.00万元，比上年决算增加15.00万元，增长100.00%，主要原因是：</w:t>
      </w:r>
      <w:r w:rsidRPr="004648B4">
        <w:rPr>
          <w:rFonts w:ascii="仿宋_GB2312" w:eastAsia="仿宋_GB2312" w:hint="eastAsia"/>
          <w:sz w:val="32"/>
          <w:szCs w:val="32"/>
          <w:lang w:eastAsia="zh-CN"/>
        </w:rPr>
        <w:t>2024年工作组经费从农林水支出（类）农业农村（款）事业运行（项）剥离，重新列支导致支出增加。</w:t>
      </w:r>
    </w:p>
    <w:p w:rsidR="00BB2E24" w:rsidRDefault="008C34CA">
      <w:pPr>
        <w:spacing w:line="240" w:lineRule="auto"/>
        <w:ind w:firstLineChars="200" w:firstLine="640"/>
        <w:outlineLvl w:val="1"/>
        <w:rPr>
          <w:rFonts w:ascii="黑体" w:eastAsia="黑体"/>
          <w:sz w:val="32"/>
          <w:szCs w:val="32"/>
          <w:lang w:eastAsia="zh-CN"/>
        </w:rPr>
      </w:pPr>
      <w:r>
        <w:rPr>
          <w:rFonts w:ascii="黑体" w:eastAsia="黑体"/>
          <w:sz w:val="32"/>
          <w:szCs w:val="32"/>
          <w:lang w:eastAsia="zh-CN"/>
        </w:rPr>
        <w:t>六、一般公共预算财政拨款基本支出决算情况说明</w:t>
      </w:r>
    </w:p>
    <w:p w:rsidR="00BB2E24" w:rsidRDefault="008C34CA">
      <w:pPr>
        <w:spacing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年度一般公共预算财政拨款基本支出633.25万元，其中：人员经费598.79万元，包括：基本工资、津贴补贴、奖金、绩效工资、机关事业单位基本养老保险缴费、职业年金缴费、职工基本医疗保险缴费、其他社会保障缴费、住房公积金、其他工资福利支出、退休费、生活补助和奖励金。</w:t>
      </w:r>
    </w:p>
    <w:p w:rsidR="00BB2E24" w:rsidRDefault="008C34CA">
      <w:pPr>
        <w:spacing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公用经费34.45万元，包括：办公费、电费、邮电费、取暖费、物业管理费、差旅费、维修（护）费、培训费、专用材料费、工会经费、福利费和公务用车运行维护费。</w:t>
      </w:r>
    </w:p>
    <w:p w:rsidR="00BB2E24" w:rsidRDefault="008C34CA">
      <w:pPr>
        <w:spacing w:line="240" w:lineRule="auto"/>
        <w:ind w:firstLineChars="200" w:firstLine="640"/>
        <w:outlineLvl w:val="1"/>
        <w:rPr>
          <w:rFonts w:ascii="黑体" w:eastAsia="黑体"/>
          <w:sz w:val="32"/>
          <w:szCs w:val="32"/>
          <w:lang w:eastAsia="zh-CN"/>
        </w:rPr>
      </w:pPr>
      <w:r>
        <w:rPr>
          <w:rFonts w:ascii="黑体" w:eastAsia="黑体"/>
          <w:sz w:val="32"/>
          <w:szCs w:val="32"/>
          <w:lang w:eastAsia="zh-CN"/>
        </w:rPr>
        <w:t>七、政府性基金预算财政拨款收入支出决算情况说明</w:t>
      </w:r>
    </w:p>
    <w:p w:rsidR="00BB2E24" w:rsidRDefault="008C34CA">
      <w:pPr>
        <w:spacing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本单位本年度无政府性基金预算财政拨款收入支出及结转和结余政府性基金预算财政拨款收入支出决算表为空表。</w:t>
      </w:r>
    </w:p>
    <w:p w:rsidR="00BB2E24" w:rsidRDefault="008C34CA">
      <w:pPr>
        <w:spacing w:line="240" w:lineRule="auto"/>
        <w:ind w:firstLineChars="200" w:firstLine="640"/>
        <w:outlineLvl w:val="1"/>
        <w:rPr>
          <w:rFonts w:ascii="黑体" w:eastAsia="黑体"/>
          <w:sz w:val="32"/>
          <w:szCs w:val="32"/>
          <w:lang w:eastAsia="zh-CN"/>
        </w:rPr>
      </w:pPr>
      <w:r>
        <w:rPr>
          <w:rFonts w:ascii="黑体" w:eastAsia="黑体"/>
          <w:sz w:val="32"/>
          <w:szCs w:val="32"/>
          <w:lang w:eastAsia="zh-CN"/>
        </w:rPr>
        <w:t>八、国有资本经营预算财政拨款收入支出决算情况说明</w:t>
      </w:r>
    </w:p>
    <w:p w:rsidR="00BB2E24" w:rsidRDefault="008C34CA">
      <w:pPr>
        <w:spacing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本单位本年度无国有资本经营预算财政拨款收入、支出及结转和结余，国有资本经营预算财政拨款收入支出决算表为空表。</w:t>
      </w:r>
    </w:p>
    <w:p w:rsidR="00BB2E24" w:rsidRDefault="008C34CA">
      <w:pPr>
        <w:spacing w:line="240" w:lineRule="auto"/>
        <w:ind w:firstLineChars="200" w:firstLine="640"/>
        <w:outlineLvl w:val="1"/>
        <w:rPr>
          <w:rFonts w:ascii="黑体" w:eastAsia="黑体"/>
          <w:sz w:val="32"/>
          <w:szCs w:val="32"/>
          <w:lang w:eastAsia="zh-CN"/>
        </w:rPr>
      </w:pPr>
      <w:r>
        <w:rPr>
          <w:rFonts w:ascii="黑体" w:eastAsia="黑体"/>
          <w:sz w:val="32"/>
          <w:szCs w:val="32"/>
          <w:lang w:eastAsia="zh-CN"/>
        </w:rPr>
        <w:t>九、财政拨款</w:t>
      </w:r>
      <w:r>
        <w:rPr>
          <w:rFonts w:ascii="黑体" w:eastAsia="黑体"/>
          <w:sz w:val="32"/>
          <w:szCs w:val="32"/>
          <w:lang w:eastAsia="zh-CN"/>
        </w:rPr>
        <w:t>“</w:t>
      </w:r>
      <w:r>
        <w:rPr>
          <w:rFonts w:ascii="黑体" w:eastAsia="黑体"/>
          <w:sz w:val="32"/>
          <w:szCs w:val="32"/>
          <w:lang w:eastAsia="zh-CN"/>
        </w:rPr>
        <w:t>三公</w:t>
      </w:r>
      <w:r>
        <w:rPr>
          <w:rFonts w:ascii="黑体" w:eastAsia="黑体"/>
          <w:sz w:val="32"/>
          <w:szCs w:val="32"/>
          <w:lang w:eastAsia="zh-CN"/>
        </w:rPr>
        <w:t>”</w:t>
      </w:r>
      <w:r>
        <w:rPr>
          <w:rFonts w:ascii="黑体" w:eastAsia="黑体"/>
          <w:sz w:val="32"/>
          <w:szCs w:val="32"/>
          <w:lang w:eastAsia="zh-CN"/>
        </w:rPr>
        <w:t>经费支出决算情况说明</w:t>
      </w:r>
    </w:p>
    <w:p w:rsidR="00BB2E24" w:rsidRDefault="008C34CA">
      <w:pPr>
        <w:spacing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lastRenderedPageBreak/>
        <w:t>2024年度财政拨款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经费支出5.70万元，与上年相比无变化，主要原因是：</w:t>
      </w:r>
      <w:r w:rsidRPr="004648B4">
        <w:rPr>
          <w:rFonts w:ascii="仿宋_GB2312" w:eastAsia="仿宋_GB2312" w:hint="eastAsia"/>
          <w:sz w:val="32"/>
          <w:szCs w:val="32"/>
          <w:lang w:eastAsia="zh-CN"/>
        </w:rPr>
        <w:t>与上年基本持平</w:t>
      </w:r>
      <w:r>
        <w:rPr>
          <w:rFonts w:ascii="仿宋_GB2312" w:eastAsia="仿宋_GB2312"/>
          <w:sz w:val="32"/>
          <w:szCs w:val="32"/>
          <w:lang w:eastAsia="zh-CN"/>
        </w:rPr>
        <w:t>。其中：因公出国（境）费支出0.00万元,占0.00%，与上年相比无变化，主要原因是：</w:t>
      </w:r>
      <w:r w:rsidRPr="004648B4">
        <w:rPr>
          <w:rFonts w:ascii="仿宋_GB2312" w:eastAsia="仿宋_GB2312" w:hint="eastAsia"/>
          <w:sz w:val="32"/>
          <w:szCs w:val="32"/>
          <w:lang w:eastAsia="zh-CN"/>
        </w:rPr>
        <w:t>单位无因公出国（境）人员</w:t>
      </w:r>
      <w:r>
        <w:rPr>
          <w:rFonts w:ascii="仿宋_GB2312" w:eastAsia="仿宋_GB2312"/>
          <w:sz w:val="32"/>
          <w:szCs w:val="32"/>
          <w:lang w:eastAsia="zh-CN"/>
        </w:rPr>
        <w:t>；公务用车购置及运行维护费支出5.70万元，占100.00%，与上年相比无变化，主要原因是：</w:t>
      </w:r>
      <w:r w:rsidRPr="004648B4">
        <w:rPr>
          <w:rFonts w:ascii="仿宋_GB2312" w:eastAsia="仿宋_GB2312" w:hint="eastAsia"/>
          <w:sz w:val="32"/>
          <w:szCs w:val="32"/>
          <w:lang w:eastAsia="zh-CN"/>
        </w:rPr>
        <w:t>与上年公务用车运行维护基本持平</w:t>
      </w:r>
      <w:r>
        <w:rPr>
          <w:rFonts w:ascii="仿宋_GB2312" w:eastAsia="仿宋_GB2312"/>
          <w:sz w:val="32"/>
          <w:szCs w:val="32"/>
          <w:lang w:eastAsia="zh-CN"/>
        </w:rPr>
        <w:t>；公务接待费支出0.00万元，占0.00%，与上年相比无变化，主要原因是：</w:t>
      </w:r>
      <w:r w:rsidRPr="004648B4">
        <w:rPr>
          <w:rFonts w:ascii="仿宋_GB2312" w:eastAsia="仿宋_GB2312" w:hint="eastAsia"/>
          <w:sz w:val="32"/>
          <w:szCs w:val="32"/>
          <w:lang w:eastAsia="zh-CN"/>
        </w:rPr>
        <w:t>单位无公务接待费</w:t>
      </w:r>
      <w:r>
        <w:rPr>
          <w:rFonts w:ascii="仿宋_GB2312" w:eastAsia="仿宋_GB2312"/>
          <w:sz w:val="32"/>
          <w:szCs w:val="32"/>
          <w:lang w:eastAsia="zh-CN"/>
        </w:rPr>
        <w:t>。</w:t>
      </w:r>
    </w:p>
    <w:p w:rsidR="00BB2E24" w:rsidRDefault="008C34CA">
      <w:pPr>
        <w:spacing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具体情况如下：</w:t>
      </w:r>
    </w:p>
    <w:p w:rsidR="00BB2E24" w:rsidRDefault="008C34CA">
      <w:pPr>
        <w:spacing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因公出国（境）费支出0.00万元，开支内容包括</w:t>
      </w:r>
      <w:r w:rsidRPr="004648B4">
        <w:rPr>
          <w:rFonts w:ascii="仿宋_GB2312" w:eastAsia="仿宋_GB2312" w:hint="eastAsia"/>
          <w:sz w:val="32"/>
          <w:szCs w:val="32"/>
          <w:lang w:eastAsia="zh-CN"/>
        </w:rPr>
        <w:t>无开支内容</w:t>
      </w:r>
      <w:r>
        <w:rPr>
          <w:rFonts w:ascii="仿宋_GB2312" w:eastAsia="仿宋_GB2312"/>
          <w:sz w:val="32"/>
          <w:szCs w:val="32"/>
          <w:lang w:eastAsia="zh-CN"/>
        </w:rPr>
        <w:t>。单位全年安排的因公出国（境）团组0个，因公出国（境）0人次。</w:t>
      </w:r>
    </w:p>
    <w:p w:rsidR="00BB2E24" w:rsidRDefault="008C34CA">
      <w:pPr>
        <w:spacing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公务用车购置及运行维护费5.70万元，其中：公务用车购置费0.00万元，公务用车运行维护费5.70万元。公务用车运行维护费开支内容包括</w:t>
      </w:r>
      <w:r w:rsidRPr="004648B4">
        <w:rPr>
          <w:rFonts w:ascii="仿宋_GB2312" w:eastAsia="仿宋_GB2312" w:hint="eastAsia"/>
          <w:sz w:val="32"/>
          <w:szCs w:val="32"/>
          <w:lang w:eastAsia="zh-CN"/>
        </w:rPr>
        <w:t>包括车辆保险费，车辆维修费以及车辆油料费</w:t>
      </w:r>
      <w:r>
        <w:rPr>
          <w:rFonts w:ascii="仿宋_GB2312" w:eastAsia="仿宋_GB2312"/>
          <w:sz w:val="32"/>
          <w:szCs w:val="32"/>
          <w:lang w:eastAsia="zh-CN"/>
        </w:rPr>
        <w:t>。公务用车购置数0辆，公务用车保有量3辆。国有资产占用情况中固定资产车辆3辆，与公务用车保有量差异原因是：</w:t>
      </w:r>
      <w:r w:rsidRPr="004648B4">
        <w:rPr>
          <w:rFonts w:ascii="仿宋_GB2312" w:eastAsia="仿宋_GB2312" w:hint="eastAsia"/>
          <w:sz w:val="32"/>
          <w:szCs w:val="32"/>
          <w:lang w:eastAsia="zh-CN"/>
        </w:rPr>
        <w:t>无差异</w:t>
      </w:r>
      <w:r w:rsidRPr="004648B4">
        <w:rPr>
          <w:rFonts w:ascii="仿宋_GB2312" w:eastAsia="仿宋_GB2312"/>
          <w:sz w:val="32"/>
          <w:szCs w:val="32"/>
          <w:lang w:eastAsia="zh-CN"/>
        </w:rPr>
        <w:t>。</w:t>
      </w:r>
    </w:p>
    <w:p w:rsidR="00BB2E24" w:rsidRDefault="008C34CA">
      <w:pPr>
        <w:spacing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公务接待费0.00万元，开支内容包括</w:t>
      </w:r>
      <w:r w:rsidRPr="004648B4">
        <w:rPr>
          <w:rFonts w:ascii="仿宋_GB2312" w:eastAsia="仿宋_GB2312" w:hint="eastAsia"/>
          <w:sz w:val="32"/>
          <w:szCs w:val="32"/>
          <w:lang w:eastAsia="zh-CN"/>
        </w:rPr>
        <w:t>单位无公务接待费</w:t>
      </w:r>
      <w:r>
        <w:rPr>
          <w:rFonts w:ascii="仿宋_GB2312" w:eastAsia="仿宋_GB2312"/>
          <w:sz w:val="32"/>
          <w:szCs w:val="32"/>
          <w:lang w:eastAsia="zh-CN"/>
        </w:rPr>
        <w:t>。单位全年安排的国内公务接待0批次，0人次。</w:t>
      </w:r>
    </w:p>
    <w:p w:rsidR="00BB2E24" w:rsidRDefault="008C34CA">
      <w:pPr>
        <w:spacing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与全年预算相比，财政拨款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经费支出全年预算数7.20万元，决算数5.70万元，预决算差异率-20.83%，主要原因是：</w:t>
      </w:r>
      <w:r w:rsidRPr="004648B4">
        <w:rPr>
          <w:rFonts w:ascii="仿宋_GB2312" w:eastAsia="仿宋_GB2312" w:hint="eastAsia"/>
          <w:sz w:val="32"/>
          <w:szCs w:val="32"/>
          <w:lang w:eastAsia="zh-CN"/>
        </w:rPr>
        <w:t>压缩公务用车使用次数减少不必要开支</w:t>
      </w:r>
      <w:r>
        <w:rPr>
          <w:rFonts w:ascii="仿宋_GB2312" w:eastAsia="仿宋_GB2312"/>
          <w:sz w:val="32"/>
          <w:szCs w:val="32"/>
          <w:lang w:eastAsia="zh-CN"/>
        </w:rPr>
        <w:t>。其中：因公出国（境）费全年预算数0.00万元，决算数0.00万元，预决算差异率0.00%，主要原因是：</w:t>
      </w:r>
      <w:r w:rsidRPr="004648B4">
        <w:rPr>
          <w:rFonts w:ascii="仿宋_GB2312" w:eastAsia="仿宋_GB2312" w:hint="eastAsia"/>
          <w:sz w:val="32"/>
          <w:szCs w:val="32"/>
          <w:lang w:eastAsia="zh-CN"/>
        </w:rPr>
        <w:t>单位无因公出国（境）人员</w:t>
      </w:r>
      <w:r>
        <w:rPr>
          <w:rFonts w:ascii="仿宋_GB2312" w:eastAsia="仿宋_GB2312"/>
          <w:sz w:val="32"/>
          <w:szCs w:val="32"/>
          <w:lang w:eastAsia="zh-CN"/>
        </w:rPr>
        <w:t>。公务用车购置费全年预算数0.00万元，决算数0.00万元，预决算差异率0.00%，主要原因是：</w:t>
      </w:r>
      <w:r w:rsidRPr="004648B4">
        <w:rPr>
          <w:rFonts w:ascii="仿宋_GB2312" w:eastAsia="仿宋_GB2312" w:hint="eastAsia"/>
          <w:sz w:val="32"/>
          <w:szCs w:val="32"/>
          <w:lang w:eastAsia="zh-CN"/>
        </w:rPr>
        <w:t>单位无公务用车购置</w:t>
      </w:r>
      <w:r>
        <w:rPr>
          <w:rFonts w:ascii="仿宋_GB2312" w:eastAsia="仿宋_GB2312"/>
          <w:sz w:val="32"/>
          <w:szCs w:val="32"/>
          <w:lang w:eastAsia="zh-CN"/>
        </w:rPr>
        <w:t>。公务用车运行维护费全年预算数7.20万元，决算数5.70万元，预</w:t>
      </w:r>
      <w:r>
        <w:rPr>
          <w:rFonts w:ascii="仿宋_GB2312" w:eastAsia="仿宋_GB2312"/>
          <w:sz w:val="32"/>
          <w:szCs w:val="32"/>
          <w:lang w:eastAsia="zh-CN"/>
        </w:rPr>
        <w:lastRenderedPageBreak/>
        <w:t>决算差异率-20.83%，主要原因是：</w:t>
      </w:r>
      <w:r w:rsidRPr="004648B4">
        <w:rPr>
          <w:rFonts w:ascii="仿宋_GB2312" w:eastAsia="仿宋_GB2312" w:hint="eastAsia"/>
          <w:sz w:val="32"/>
          <w:szCs w:val="32"/>
          <w:lang w:eastAsia="zh-CN"/>
        </w:rPr>
        <w:t>压缩公务用车使用次数减少不必要开支</w:t>
      </w:r>
      <w:r>
        <w:rPr>
          <w:rFonts w:ascii="仿宋_GB2312" w:eastAsia="仿宋_GB2312"/>
          <w:sz w:val="32"/>
          <w:szCs w:val="32"/>
          <w:lang w:eastAsia="zh-CN"/>
        </w:rPr>
        <w:t>。公务接待费全年预算数0.00万元，决算数0.00万元，预决算差异率0.00%，主要原因是：</w:t>
      </w:r>
      <w:r w:rsidRPr="004648B4">
        <w:rPr>
          <w:rFonts w:ascii="仿宋_GB2312" w:eastAsia="仿宋_GB2312" w:hint="eastAsia"/>
          <w:sz w:val="32"/>
          <w:szCs w:val="32"/>
          <w:lang w:eastAsia="zh-CN"/>
        </w:rPr>
        <w:t>单位无公务接待费</w:t>
      </w:r>
      <w:r>
        <w:rPr>
          <w:rFonts w:ascii="仿宋_GB2312" w:eastAsia="仿宋_GB2312"/>
          <w:sz w:val="32"/>
          <w:szCs w:val="32"/>
          <w:lang w:eastAsia="zh-CN"/>
        </w:rPr>
        <w:t>。</w:t>
      </w:r>
    </w:p>
    <w:p w:rsidR="00BB2E24" w:rsidRDefault="008C34CA">
      <w:pPr>
        <w:spacing w:line="240" w:lineRule="auto"/>
        <w:ind w:firstLineChars="200" w:firstLine="640"/>
        <w:outlineLvl w:val="1"/>
        <w:rPr>
          <w:rFonts w:ascii="黑体" w:eastAsia="黑体"/>
          <w:sz w:val="32"/>
          <w:szCs w:val="32"/>
          <w:lang w:eastAsia="zh-CN"/>
        </w:rPr>
      </w:pPr>
      <w:r>
        <w:rPr>
          <w:rFonts w:ascii="黑体" w:eastAsia="黑体"/>
          <w:sz w:val="32"/>
          <w:szCs w:val="32"/>
          <w:lang w:eastAsia="zh-CN"/>
        </w:rPr>
        <w:t>十、其他重要事项的情况说明</w:t>
      </w:r>
    </w:p>
    <w:p w:rsidR="00BB2E24" w:rsidRDefault="008C34CA">
      <w:pPr>
        <w:spacing w:line="240" w:lineRule="auto"/>
        <w:ind w:firstLineChars="200" w:firstLine="643"/>
        <w:outlineLvl w:val="2"/>
        <w:rPr>
          <w:rFonts w:ascii="仿宋_GB2312" w:eastAsia="仿宋_GB2312"/>
          <w:sz w:val="32"/>
          <w:szCs w:val="32"/>
          <w:lang w:eastAsia="zh-CN"/>
        </w:rPr>
      </w:pPr>
      <w:r>
        <w:rPr>
          <w:rFonts w:ascii="仿宋_GB2312" w:eastAsia="仿宋_GB2312"/>
          <w:b/>
          <w:sz w:val="32"/>
          <w:szCs w:val="32"/>
          <w:lang w:eastAsia="zh-CN"/>
        </w:rPr>
        <w:t>（一）机关运行经费及公用经费支出情况</w:t>
      </w:r>
    </w:p>
    <w:p w:rsidR="00BB2E24" w:rsidRDefault="008C34CA">
      <w:pPr>
        <w:spacing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2024年度公用经费支出34.45万元，比上年增加2.17万元，增长6.72%，主要原因是：</w:t>
      </w:r>
      <w:r w:rsidRPr="004648B4">
        <w:rPr>
          <w:rFonts w:ascii="仿宋_GB2312" w:eastAsia="仿宋_GB2312" w:hint="eastAsia"/>
          <w:sz w:val="32"/>
          <w:szCs w:val="32"/>
          <w:lang w:eastAsia="zh-CN"/>
        </w:rPr>
        <w:t>新增外单位调入、研究生人才引进等3人</w:t>
      </w:r>
      <w:r>
        <w:rPr>
          <w:rFonts w:ascii="仿宋_GB2312" w:eastAsia="仿宋_GB2312"/>
          <w:sz w:val="32"/>
          <w:szCs w:val="32"/>
          <w:lang w:eastAsia="zh-CN"/>
        </w:rPr>
        <w:t>。</w:t>
      </w:r>
    </w:p>
    <w:p w:rsidR="00BB2E24" w:rsidRDefault="008C34CA">
      <w:pPr>
        <w:spacing w:line="240" w:lineRule="auto"/>
        <w:ind w:firstLineChars="200" w:firstLine="643"/>
        <w:outlineLvl w:val="2"/>
        <w:rPr>
          <w:rFonts w:ascii="仿宋_GB2312" w:eastAsia="仿宋_GB2312"/>
          <w:sz w:val="32"/>
          <w:szCs w:val="32"/>
          <w:lang w:eastAsia="zh-CN"/>
        </w:rPr>
      </w:pPr>
      <w:r>
        <w:rPr>
          <w:rFonts w:ascii="仿宋_GB2312" w:eastAsia="仿宋_GB2312"/>
          <w:b/>
          <w:sz w:val="32"/>
          <w:szCs w:val="32"/>
          <w:lang w:eastAsia="zh-CN"/>
        </w:rPr>
        <w:t>（二）政府采购情况</w:t>
      </w:r>
    </w:p>
    <w:p w:rsidR="00BB2E24" w:rsidRDefault="008C34CA">
      <w:pPr>
        <w:spacing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2024年度政府采购支出总额570.49万元，其中：政府采购货物支出492.58万元、政府采购工程支出0.00万元、政府采购服务支出77.90万元。</w:t>
      </w:r>
    </w:p>
    <w:p w:rsidR="00BB2E24" w:rsidRDefault="008C34CA">
      <w:pPr>
        <w:spacing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授予中小企业合同金额570.49万元，占政府采购支出总额的100.00%，其中：授予小微企业合同金额567.26万元，占政府采购支出总额的99.43%。</w:t>
      </w:r>
    </w:p>
    <w:p w:rsidR="00BB2E24" w:rsidRDefault="008C34CA">
      <w:pPr>
        <w:spacing w:line="240" w:lineRule="auto"/>
        <w:ind w:firstLineChars="200" w:firstLine="643"/>
        <w:outlineLvl w:val="2"/>
        <w:rPr>
          <w:rFonts w:ascii="仿宋_GB2312" w:eastAsia="仿宋_GB2312"/>
          <w:sz w:val="32"/>
          <w:szCs w:val="32"/>
          <w:lang w:eastAsia="zh-CN"/>
        </w:rPr>
      </w:pPr>
      <w:r>
        <w:rPr>
          <w:rFonts w:ascii="仿宋_GB2312" w:eastAsia="仿宋_GB2312"/>
          <w:b/>
          <w:sz w:val="32"/>
          <w:szCs w:val="32"/>
          <w:lang w:eastAsia="zh-CN"/>
        </w:rPr>
        <w:t>（三）国有资产占用情况说明</w:t>
      </w:r>
    </w:p>
    <w:p w:rsidR="00BB2E24" w:rsidRDefault="008C34CA">
      <w:pPr>
        <w:spacing w:line="240" w:lineRule="auto"/>
        <w:ind w:firstLineChars="200" w:firstLine="640"/>
        <w:jc w:val="both"/>
        <w:rPr>
          <w:rFonts w:ascii="仿宋_GB2312" w:eastAsia="仿宋_GB2312"/>
          <w:sz w:val="32"/>
          <w:szCs w:val="32"/>
          <w:lang w:eastAsia="zh-CN"/>
        </w:rPr>
      </w:pPr>
      <w:r>
        <w:rPr>
          <w:rFonts w:ascii="仿宋_GB2312" w:eastAsia="仿宋_GB2312"/>
          <w:sz w:val="32"/>
          <w:szCs w:val="32"/>
        </w:rPr>
        <w:t>截至2024年12月31日，房屋0.00平方米，价值0.00万元。</w:t>
      </w:r>
      <w:r>
        <w:rPr>
          <w:rFonts w:ascii="仿宋_GB2312" w:eastAsia="仿宋_GB2312"/>
          <w:sz w:val="32"/>
          <w:szCs w:val="32"/>
          <w:lang w:eastAsia="zh-CN"/>
        </w:rPr>
        <w:t>车辆3辆，价值40.16万元，其中：副部（省）级及以上领导用车0辆、主要负责人用车0辆、机要通信用车0辆、应急保障用车0辆、执法执勤用车0辆、特种专业技术用车0辆、离退休干部服务用车0辆、其他用车3辆，其他用车主要是：</w:t>
      </w:r>
      <w:r w:rsidRPr="004648B4">
        <w:rPr>
          <w:rFonts w:ascii="仿宋_GB2312" w:eastAsia="仿宋_GB2312" w:hint="eastAsia"/>
          <w:sz w:val="32"/>
          <w:szCs w:val="32"/>
          <w:lang w:eastAsia="zh-CN"/>
        </w:rPr>
        <w:t>一般公务用车</w:t>
      </w:r>
      <w:r w:rsidRPr="004648B4">
        <w:rPr>
          <w:rFonts w:ascii="仿宋_GB2312" w:eastAsia="仿宋_GB2312"/>
          <w:sz w:val="32"/>
          <w:szCs w:val="32"/>
          <w:lang w:eastAsia="zh-CN"/>
        </w:rPr>
        <w:t>;</w:t>
      </w:r>
      <w:r>
        <w:rPr>
          <w:rFonts w:ascii="仿宋_GB2312" w:eastAsia="仿宋_GB2312"/>
          <w:sz w:val="32"/>
          <w:szCs w:val="32"/>
          <w:lang w:eastAsia="zh-CN"/>
        </w:rPr>
        <w:t>单价100万元（含）以上设备（不含车辆）0台（套）。</w:t>
      </w:r>
    </w:p>
    <w:p w:rsidR="00BB2E24" w:rsidRDefault="008C34CA">
      <w:pPr>
        <w:spacing w:line="240" w:lineRule="auto"/>
        <w:ind w:firstLineChars="200" w:firstLine="640"/>
        <w:outlineLvl w:val="1"/>
        <w:rPr>
          <w:rFonts w:ascii="黑体" w:eastAsia="黑体"/>
          <w:sz w:val="32"/>
          <w:szCs w:val="32"/>
          <w:lang w:eastAsia="zh-CN"/>
        </w:rPr>
      </w:pPr>
      <w:r>
        <w:rPr>
          <w:rFonts w:ascii="黑体" w:eastAsia="黑体"/>
          <w:sz w:val="32"/>
          <w:szCs w:val="32"/>
          <w:lang w:eastAsia="zh-CN"/>
        </w:rPr>
        <w:t>十一、预算绩效的情况说明</w:t>
      </w:r>
    </w:p>
    <w:p w:rsidR="00BB2E24" w:rsidRDefault="008C34CA">
      <w:pPr>
        <w:pStyle w:val="ac"/>
        <w:snapToGrid w:val="0"/>
        <w:spacing w:line="600" w:lineRule="exact"/>
        <w:ind w:firstLine="640"/>
        <w:rPr>
          <w:rFonts w:ascii="仿宋_GB2312" w:eastAsia="仿宋_GB2312"/>
          <w:sz w:val="32"/>
          <w:szCs w:val="32"/>
          <w:lang w:eastAsia="zh-CN"/>
        </w:rPr>
      </w:pPr>
      <w:r>
        <w:rPr>
          <w:rFonts w:ascii="仿宋_GB2312" w:eastAsia="仿宋_GB2312"/>
          <w:sz w:val="32"/>
          <w:szCs w:val="32"/>
          <w:lang w:eastAsia="zh-CN"/>
        </w:rPr>
        <w:lastRenderedPageBreak/>
        <w:t>根据预算绩效管理要求，本单位2024年度预算绩效管理形成整体支出绩效自评表1个，全年预算总额</w:t>
      </w:r>
      <w:r w:rsidRPr="004648B4">
        <w:rPr>
          <w:rFonts w:ascii="仿宋_GB2312" w:eastAsia="仿宋_GB2312" w:hint="eastAsia"/>
          <w:sz w:val="32"/>
          <w:szCs w:val="32"/>
          <w:lang w:eastAsia="zh-CN"/>
        </w:rPr>
        <w:t>金额1175.46</w:t>
      </w:r>
      <w:r>
        <w:rPr>
          <w:rFonts w:ascii="仿宋_GB2312" w:eastAsia="仿宋_GB2312"/>
          <w:sz w:val="32"/>
          <w:szCs w:val="32"/>
          <w:lang w:eastAsia="zh-CN"/>
        </w:rPr>
        <w:t>万元，实际执行总额</w:t>
      </w:r>
      <w:r w:rsidRPr="004648B4">
        <w:rPr>
          <w:rFonts w:ascii="仿宋_GB2312" w:eastAsia="仿宋_GB2312" w:hint="eastAsia"/>
          <w:sz w:val="32"/>
          <w:szCs w:val="32"/>
          <w:lang w:eastAsia="zh-CN"/>
        </w:rPr>
        <w:t>金额1175.46</w:t>
      </w:r>
      <w:r>
        <w:rPr>
          <w:rFonts w:ascii="仿宋_GB2312" w:eastAsia="仿宋_GB2312"/>
          <w:sz w:val="32"/>
          <w:szCs w:val="32"/>
          <w:lang w:eastAsia="zh-CN"/>
        </w:rPr>
        <w:t>万元；预算绩效评价项目</w:t>
      </w:r>
      <w:r w:rsidRPr="004648B4">
        <w:rPr>
          <w:rFonts w:ascii="仿宋_GB2312" w:eastAsia="仿宋_GB2312" w:hint="eastAsia"/>
          <w:sz w:val="32"/>
          <w:szCs w:val="32"/>
          <w:lang w:eastAsia="zh-CN"/>
        </w:rPr>
        <w:t>数量</w:t>
      </w:r>
      <w:r w:rsidR="00A721E3">
        <w:rPr>
          <w:rFonts w:ascii="仿宋_GB2312" w:eastAsia="仿宋_GB2312" w:hint="eastAsia"/>
          <w:sz w:val="32"/>
          <w:szCs w:val="32"/>
          <w:lang w:eastAsia="zh-CN"/>
        </w:rPr>
        <w:t>3</w:t>
      </w:r>
      <w:r>
        <w:rPr>
          <w:rFonts w:ascii="仿宋_GB2312" w:eastAsia="仿宋_GB2312"/>
          <w:sz w:val="32"/>
          <w:szCs w:val="32"/>
          <w:lang w:eastAsia="zh-CN"/>
        </w:rPr>
        <w:t>个，全年预算数</w:t>
      </w:r>
      <w:r w:rsidRPr="004648B4">
        <w:rPr>
          <w:rFonts w:ascii="仿宋_GB2312" w:eastAsia="仿宋_GB2312" w:hint="eastAsia"/>
          <w:sz w:val="32"/>
          <w:szCs w:val="32"/>
          <w:lang w:eastAsia="zh-CN"/>
        </w:rPr>
        <w:t>177.84万元</w:t>
      </w:r>
      <w:r>
        <w:rPr>
          <w:rFonts w:ascii="仿宋_GB2312" w:eastAsia="仿宋_GB2312"/>
          <w:sz w:val="32"/>
          <w:szCs w:val="32"/>
          <w:lang w:eastAsia="zh-CN"/>
        </w:rPr>
        <w:t>，全年执行数</w:t>
      </w:r>
      <w:r w:rsidRPr="004648B4">
        <w:rPr>
          <w:rFonts w:ascii="仿宋_GB2312" w:eastAsia="仿宋_GB2312" w:hint="eastAsia"/>
          <w:sz w:val="32"/>
          <w:szCs w:val="32"/>
          <w:lang w:eastAsia="zh-CN"/>
        </w:rPr>
        <w:t>177.84万元</w:t>
      </w:r>
      <w:r>
        <w:rPr>
          <w:rFonts w:ascii="仿宋_GB2312" w:eastAsia="仿宋_GB2312"/>
          <w:sz w:val="32"/>
          <w:szCs w:val="32"/>
          <w:lang w:eastAsia="zh-CN"/>
        </w:rPr>
        <w:t>。预算绩效管理取得的成效：</w:t>
      </w:r>
      <w:r w:rsidRPr="004648B4">
        <w:rPr>
          <w:rFonts w:ascii="仿宋_GB2312" w:eastAsia="仿宋_GB2312" w:hint="eastAsia"/>
          <w:sz w:val="32"/>
          <w:szCs w:val="32"/>
          <w:lang w:eastAsia="zh-CN"/>
        </w:rPr>
        <w:t>一是资金使用效益提高，提高资金使用率；二是目标达成度提高，对于整体支出的有效管理，使得各项工作得以有效开展，为单位整体发展目标提供了有力支持。三是明确单位职工的职责和目标，增强了责任意识，在执行中积极主动采取措施提高资金使用效益。</w:t>
      </w:r>
      <w:r>
        <w:rPr>
          <w:rFonts w:ascii="仿宋_GB2312" w:eastAsia="仿宋_GB2312"/>
          <w:sz w:val="32"/>
          <w:szCs w:val="32"/>
          <w:lang w:eastAsia="zh-CN"/>
        </w:rPr>
        <w:t>发现的问题及原因：</w:t>
      </w:r>
      <w:r w:rsidRPr="004648B4">
        <w:rPr>
          <w:rFonts w:ascii="仿宋_GB2312" w:eastAsia="仿宋_GB2312" w:hint="eastAsia"/>
          <w:sz w:val="32"/>
          <w:szCs w:val="32"/>
          <w:lang w:eastAsia="zh-CN"/>
        </w:rPr>
        <w:t>一是土壤样品的制备及流转进度较慢；二是对土壤样品的检测化验监督检查较少</w:t>
      </w:r>
      <w:r>
        <w:rPr>
          <w:rFonts w:ascii="仿宋_GB2312" w:eastAsia="仿宋_GB2312"/>
          <w:sz w:val="32"/>
          <w:szCs w:val="32"/>
          <w:lang w:eastAsia="zh-CN"/>
        </w:rPr>
        <w:t>。下一步改进措施：</w:t>
      </w:r>
      <w:r w:rsidRPr="004648B4">
        <w:rPr>
          <w:rFonts w:ascii="仿宋_GB2312" w:eastAsia="仿宋_GB2312" w:hint="eastAsia"/>
          <w:sz w:val="32"/>
          <w:szCs w:val="32"/>
          <w:lang w:eastAsia="zh-CN"/>
        </w:rPr>
        <w:t>一是加强与制样实验室沟通，督促制样实验室严格按照制样技术规程和自治区“三普”办的工作进度要求，按时保质保量完成制样任务；二是为了确保检测数据的真实性和准确性，及时分阶段委派“三普”办相关业务人员前往检测实验室，实地监督和检查土壤的分析</w:t>
      </w:r>
      <w:bookmarkStart w:id="0" w:name="_GoBack"/>
      <w:bookmarkEnd w:id="0"/>
      <w:r w:rsidRPr="004648B4">
        <w:rPr>
          <w:rFonts w:ascii="仿宋_GB2312" w:eastAsia="仿宋_GB2312" w:hint="eastAsia"/>
          <w:sz w:val="32"/>
          <w:szCs w:val="32"/>
          <w:lang w:eastAsia="zh-CN"/>
        </w:rPr>
        <w:t>化验过程及原始记录，确保“三普”数据的真实准确</w:t>
      </w:r>
      <w:r>
        <w:rPr>
          <w:rFonts w:ascii="仿宋_GB2312" w:eastAsia="仿宋_GB2312"/>
          <w:sz w:val="32"/>
          <w:szCs w:val="32"/>
          <w:lang w:eastAsia="zh-CN"/>
        </w:rPr>
        <w:t>。具体附部门整体支出绩效自评表，项目支出绩效自评表和部门评价报告。</w:t>
      </w:r>
    </w:p>
    <w:p w:rsidR="00BB2E24" w:rsidRDefault="008C34CA">
      <w:pPr>
        <w:spacing w:line="240" w:lineRule="auto"/>
        <w:ind w:firstLineChars="200" w:firstLine="640"/>
        <w:outlineLvl w:val="1"/>
        <w:rPr>
          <w:rFonts w:ascii="黑体" w:eastAsia="黑体"/>
          <w:sz w:val="32"/>
          <w:szCs w:val="32"/>
          <w:lang w:eastAsia="zh-CN"/>
        </w:rPr>
      </w:pPr>
      <w:r>
        <w:rPr>
          <w:rFonts w:ascii="黑体" w:eastAsia="黑体"/>
          <w:sz w:val="32"/>
          <w:szCs w:val="32"/>
          <w:lang w:eastAsia="zh-CN"/>
        </w:rPr>
        <w:t>十二、其他需说明的事项</w:t>
      </w:r>
    </w:p>
    <w:p w:rsidR="00BB2E24" w:rsidRDefault="008C34CA">
      <w:pPr>
        <w:spacing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本单位无其他需说明事项。</w:t>
      </w:r>
    </w:p>
    <w:p w:rsidR="00BB2E24" w:rsidRDefault="00BB2E24">
      <w:pPr>
        <w:spacing w:line="240" w:lineRule="auto"/>
        <w:ind w:firstLineChars="200" w:firstLine="640"/>
        <w:rPr>
          <w:rFonts w:ascii="仿宋_GB2312" w:eastAsia="仿宋_GB2312"/>
          <w:sz w:val="32"/>
          <w:szCs w:val="32"/>
          <w:lang w:eastAsia="zh-CN"/>
        </w:rPr>
      </w:pPr>
    </w:p>
    <w:p w:rsidR="00BB2E24" w:rsidRDefault="008C34CA">
      <w:pPr>
        <w:rPr>
          <w:lang w:eastAsia="zh-CN"/>
        </w:rPr>
      </w:pPr>
      <w:r>
        <w:rPr>
          <w:sz w:val="0"/>
          <w:szCs w:val="0"/>
          <w:lang w:eastAsia="zh-CN"/>
        </w:rPr>
        <w:br w:type="page"/>
      </w:r>
    </w:p>
    <w:p w:rsidR="00BB2E24" w:rsidRDefault="008C34CA">
      <w:pPr>
        <w:spacing w:line="240" w:lineRule="auto"/>
        <w:jc w:val="center"/>
        <w:outlineLvl w:val="0"/>
        <w:rPr>
          <w:rFonts w:ascii="黑体" w:eastAsia="黑体"/>
          <w:sz w:val="32"/>
          <w:szCs w:val="32"/>
          <w:lang w:eastAsia="zh-CN"/>
        </w:rPr>
      </w:pPr>
      <w:r>
        <w:rPr>
          <w:rFonts w:ascii="黑体" w:eastAsia="黑体"/>
          <w:sz w:val="32"/>
          <w:szCs w:val="32"/>
          <w:lang w:eastAsia="zh-CN"/>
        </w:rPr>
        <w:lastRenderedPageBreak/>
        <w:t>第三部分专业名词解释</w:t>
      </w:r>
    </w:p>
    <w:p w:rsidR="00BB2E24" w:rsidRDefault="008C34CA">
      <w:pPr>
        <w:spacing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一、财政拨款收入：</w:t>
      </w:r>
      <w:r>
        <w:rPr>
          <w:rFonts w:ascii="仿宋_GB2312" w:eastAsia="仿宋_GB2312"/>
          <w:sz w:val="32"/>
          <w:szCs w:val="32"/>
          <w:lang w:eastAsia="zh-CN"/>
        </w:rPr>
        <w:t>指同级财政当年拨付的资金。</w:t>
      </w:r>
    </w:p>
    <w:p w:rsidR="00BB2E24" w:rsidRDefault="008C34CA">
      <w:pPr>
        <w:spacing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二、上级补助收入：</w:t>
      </w:r>
      <w:r>
        <w:rPr>
          <w:rFonts w:ascii="仿宋_GB2312" w:eastAsia="仿宋_GB2312"/>
          <w:sz w:val="32"/>
          <w:szCs w:val="32"/>
          <w:lang w:eastAsia="zh-CN"/>
        </w:rPr>
        <w:t>指事业单位从主管部门和上级单位取得的非财政补助收入。</w:t>
      </w:r>
    </w:p>
    <w:p w:rsidR="00BB2E24" w:rsidRDefault="008C34CA">
      <w:pPr>
        <w:spacing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三、事业收入：</w:t>
      </w:r>
      <w:r>
        <w:rPr>
          <w:rFonts w:ascii="仿宋_GB2312" w:eastAsia="仿宋_GB2312"/>
          <w:sz w:val="32"/>
          <w:szCs w:val="32"/>
          <w:lang w:eastAsia="zh-CN"/>
        </w:rPr>
        <w:t>指事业单位开展专业业务活动及其辅助活动所取得的收入。</w:t>
      </w:r>
    </w:p>
    <w:p w:rsidR="00BB2E24" w:rsidRDefault="008C34CA">
      <w:pPr>
        <w:spacing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四、经营收入：</w:t>
      </w:r>
      <w:r>
        <w:rPr>
          <w:rFonts w:ascii="仿宋_GB2312" w:eastAsia="仿宋_GB2312"/>
          <w:sz w:val="32"/>
          <w:szCs w:val="32"/>
          <w:lang w:eastAsia="zh-CN"/>
        </w:rPr>
        <w:t>指事业单位在专业业务活动及其辅助活动之外开展非独立核算经营活动取得的收入。</w:t>
      </w:r>
    </w:p>
    <w:p w:rsidR="00BB2E24" w:rsidRDefault="008C34CA">
      <w:pPr>
        <w:spacing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五、附属单位上缴收入：</w:t>
      </w:r>
      <w:r>
        <w:rPr>
          <w:rFonts w:ascii="仿宋_GB2312" w:eastAsia="仿宋_GB2312"/>
          <w:sz w:val="32"/>
          <w:szCs w:val="32"/>
          <w:lang w:eastAsia="zh-CN"/>
        </w:rPr>
        <w:t>指事业单位附属的独立核算单位按有关规定上缴的收入。</w:t>
      </w:r>
    </w:p>
    <w:p w:rsidR="00BB2E24" w:rsidRDefault="008C34CA">
      <w:pPr>
        <w:spacing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六、其他收入：</w:t>
      </w:r>
      <w:r>
        <w:rPr>
          <w:rFonts w:ascii="仿宋_GB2312" w:eastAsia="仿宋_GB2312"/>
          <w:sz w:val="32"/>
          <w:szCs w:val="32"/>
          <w:lang w:eastAsia="zh-CN"/>
        </w:rPr>
        <w:t>指除上述</w:t>
      </w:r>
      <w:r>
        <w:rPr>
          <w:rFonts w:ascii="仿宋_GB2312" w:eastAsia="仿宋_GB2312"/>
          <w:sz w:val="32"/>
          <w:szCs w:val="32"/>
          <w:lang w:eastAsia="zh-CN"/>
        </w:rPr>
        <w:t>“</w:t>
      </w:r>
      <w:r>
        <w:rPr>
          <w:rFonts w:ascii="仿宋_GB2312" w:eastAsia="仿宋_GB2312"/>
          <w:sz w:val="32"/>
          <w:szCs w:val="32"/>
          <w:lang w:eastAsia="zh-CN"/>
        </w:rPr>
        <w:t>财政拨款收入</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事业收入</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经营收入</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附属单位上缴收入</w:t>
      </w:r>
      <w:r>
        <w:rPr>
          <w:rFonts w:ascii="仿宋_GB2312" w:eastAsia="仿宋_GB2312"/>
          <w:sz w:val="32"/>
          <w:szCs w:val="32"/>
          <w:lang w:eastAsia="zh-CN"/>
        </w:rPr>
        <w:t>”</w:t>
      </w:r>
      <w:r>
        <w:rPr>
          <w:rFonts w:ascii="仿宋_GB2312" w:eastAsia="仿宋_GB2312"/>
          <w:sz w:val="32"/>
          <w:szCs w:val="32"/>
          <w:lang w:eastAsia="zh-CN"/>
        </w:rPr>
        <w:t>等之外取得的收入。</w:t>
      </w:r>
    </w:p>
    <w:p w:rsidR="00BB2E24" w:rsidRDefault="008C34CA">
      <w:pPr>
        <w:spacing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七、年初结转和结余：</w:t>
      </w:r>
      <w:r>
        <w:rPr>
          <w:rFonts w:ascii="仿宋_GB2312" w:eastAsia="仿宋_GB2312"/>
          <w:sz w:val="32"/>
          <w:szCs w:val="32"/>
          <w:lang w:eastAsia="zh-CN"/>
        </w:rPr>
        <w:t>指以前年度支出预算因客观条件变化未执行完毕、结转到本年度按有关规定继续使用的资金，既包括财政拨款结转和结余，也包括事业收入、经营收入、其他收入的结转和结余。</w:t>
      </w:r>
    </w:p>
    <w:p w:rsidR="00BB2E24" w:rsidRDefault="008C34CA">
      <w:pPr>
        <w:spacing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八、年末结转和结余：</w:t>
      </w:r>
      <w:r>
        <w:rPr>
          <w:rFonts w:ascii="仿宋_GB2312" w:eastAsia="仿宋_GB2312"/>
          <w:sz w:val="32"/>
          <w:szCs w:val="32"/>
          <w:lang w:eastAsia="zh-CN"/>
        </w:rPr>
        <w:t>指本年度或以前年度预算安排、因客观条件发生变化无法按原计划实施，需要延迟到以后年度按有关规定继续使用的资金，既包括财政拨款结转和结余，也包括事业收入、经营收入、其他收入的结转和结余。</w:t>
      </w:r>
    </w:p>
    <w:p w:rsidR="00BB2E24" w:rsidRDefault="008C34CA">
      <w:pPr>
        <w:spacing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九、基本支出：</w:t>
      </w:r>
      <w:r>
        <w:rPr>
          <w:rFonts w:ascii="仿宋_GB2312" w:eastAsia="仿宋_GB2312"/>
          <w:sz w:val="32"/>
          <w:szCs w:val="32"/>
          <w:lang w:eastAsia="zh-CN"/>
        </w:rPr>
        <w:t>指为保障机构正常运转、完成日常工作任务而发生的人员支出和公用支出。</w:t>
      </w:r>
    </w:p>
    <w:p w:rsidR="00BB2E24" w:rsidRDefault="008C34CA">
      <w:pPr>
        <w:spacing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十、项目支出：</w:t>
      </w:r>
      <w:r>
        <w:rPr>
          <w:rFonts w:ascii="仿宋_GB2312" w:eastAsia="仿宋_GB2312"/>
          <w:sz w:val="32"/>
          <w:szCs w:val="32"/>
          <w:lang w:eastAsia="zh-CN"/>
        </w:rPr>
        <w:t>指在基本支出之外为完成特定行政任务和事业发展目标所发生的支出。</w:t>
      </w:r>
    </w:p>
    <w:p w:rsidR="00BB2E24" w:rsidRDefault="008C34CA">
      <w:pPr>
        <w:spacing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lastRenderedPageBreak/>
        <w:t>十一、经营支出：</w:t>
      </w:r>
      <w:r>
        <w:rPr>
          <w:rFonts w:ascii="仿宋_GB2312" w:eastAsia="仿宋_GB2312"/>
          <w:sz w:val="32"/>
          <w:szCs w:val="32"/>
          <w:lang w:eastAsia="zh-CN"/>
        </w:rPr>
        <w:t>指事业单位在专业业务活动及其辅助活动之外开展非独立核算经营活动发生的支出。</w:t>
      </w:r>
    </w:p>
    <w:p w:rsidR="00BB2E24" w:rsidRDefault="008C34CA">
      <w:pPr>
        <w:spacing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十二、对附属单位补助支出：</w:t>
      </w:r>
      <w:r>
        <w:rPr>
          <w:rFonts w:ascii="仿宋_GB2312" w:eastAsia="仿宋_GB2312"/>
          <w:sz w:val="32"/>
          <w:szCs w:val="32"/>
          <w:lang w:eastAsia="zh-CN"/>
        </w:rPr>
        <w:t>指事业单位发生的用非财政预算资金对附属单位的补助支出。</w:t>
      </w:r>
    </w:p>
    <w:p w:rsidR="00BB2E24" w:rsidRDefault="008C34CA">
      <w:pPr>
        <w:spacing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十三、</w:t>
      </w:r>
      <w:r>
        <w:rPr>
          <w:rFonts w:ascii="仿宋_GB2312" w:eastAsia="仿宋_GB2312"/>
          <w:b/>
          <w:sz w:val="32"/>
          <w:szCs w:val="32"/>
          <w:lang w:eastAsia="zh-CN"/>
        </w:rPr>
        <w:t>“</w:t>
      </w:r>
      <w:r>
        <w:rPr>
          <w:rFonts w:ascii="仿宋_GB2312" w:eastAsia="仿宋_GB2312"/>
          <w:b/>
          <w:sz w:val="32"/>
          <w:szCs w:val="32"/>
          <w:lang w:eastAsia="zh-CN"/>
        </w:rPr>
        <w:t>三公</w:t>
      </w:r>
      <w:r>
        <w:rPr>
          <w:rFonts w:ascii="仿宋_GB2312" w:eastAsia="仿宋_GB2312"/>
          <w:b/>
          <w:sz w:val="32"/>
          <w:szCs w:val="32"/>
          <w:lang w:eastAsia="zh-CN"/>
        </w:rPr>
        <w:t>”</w:t>
      </w:r>
      <w:r>
        <w:rPr>
          <w:rFonts w:ascii="仿宋_GB2312" w:eastAsia="仿宋_GB2312"/>
          <w:b/>
          <w:sz w:val="32"/>
          <w:szCs w:val="32"/>
          <w:lang w:eastAsia="zh-CN"/>
        </w:rPr>
        <w:t>经费：</w:t>
      </w:r>
      <w:r>
        <w:rPr>
          <w:rFonts w:ascii="仿宋_GB2312" w:eastAsia="仿宋_GB2312"/>
          <w:sz w:val="32"/>
          <w:szCs w:val="32"/>
          <w:lang w:eastAsia="zh-CN"/>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rsidR="00BB2E24" w:rsidRDefault="008C34CA">
      <w:pPr>
        <w:spacing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十四、机关运行经费：</w:t>
      </w:r>
      <w:r>
        <w:rPr>
          <w:rFonts w:ascii="仿宋_GB2312" w:eastAsia="仿宋_GB2312"/>
          <w:sz w:val="32"/>
          <w:szCs w:val="32"/>
          <w:lang w:eastAsia="zh-CN"/>
        </w:rPr>
        <w:t>行政单位和参照公务员法管理的事业单位财政拨款基本支出中的公用经费支出。</w:t>
      </w:r>
    </w:p>
    <w:p w:rsidR="00BB2E24" w:rsidRDefault="008C34CA">
      <w:pPr>
        <w:rPr>
          <w:lang w:eastAsia="zh-CN"/>
        </w:rPr>
      </w:pPr>
      <w:r>
        <w:rPr>
          <w:sz w:val="0"/>
          <w:szCs w:val="0"/>
          <w:lang w:eastAsia="zh-CN"/>
        </w:rPr>
        <w:br w:type="page"/>
      </w:r>
    </w:p>
    <w:p w:rsidR="00BB2E24" w:rsidRDefault="008C34CA">
      <w:pPr>
        <w:spacing w:line="240" w:lineRule="auto"/>
        <w:jc w:val="center"/>
        <w:outlineLvl w:val="0"/>
        <w:rPr>
          <w:rFonts w:ascii="黑体" w:eastAsia="黑体"/>
          <w:sz w:val="32"/>
          <w:szCs w:val="32"/>
          <w:lang w:eastAsia="zh-CN"/>
        </w:rPr>
      </w:pPr>
      <w:r>
        <w:rPr>
          <w:rFonts w:ascii="黑体" w:eastAsia="黑体"/>
          <w:sz w:val="32"/>
          <w:szCs w:val="32"/>
          <w:lang w:eastAsia="zh-CN"/>
        </w:rPr>
        <w:lastRenderedPageBreak/>
        <w:t>第四部分部门决算报表（见附表）</w:t>
      </w:r>
    </w:p>
    <w:p w:rsidR="00BB2E24" w:rsidRDefault="008C34CA">
      <w:pPr>
        <w:spacing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一、《收入支出决算总表》</w:t>
      </w:r>
    </w:p>
    <w:p w:rsidR="00BB2E24" w:rsidRDefault="008C34CA">
      <w:pPr>
        <w:spacing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二、《收入决算表》</w:t>
      </w:r>
    </w:p>
    <w:p w:rsidR="00BB2E24" w:rsidRDefault="008C34CA">
      <w:pPr>
        <w:spacing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三、《支出决算表》</w:t>
      </w:r>
    </w:p>
    <w:p w:rsidR="00BB2E24" w:rsidRDefault="008C34CA">
      <w:pPr>
        <w:spacing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四、《财政拨款收入支出决算总表》</w:t>
      </w:r>
    </w:p>
    <w:p w:rsidR="00BB2E24" w:rsidRDefault="008C34CA">
      <w:pPr>
        <w:spacing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五、《一般公共预算财政拨款支出决算表》</w:t>
      </w:r>
    </w:p>
    <w:p w:rsidR="00BB2E24" w:rsidRDefault="008C34CA">
      <w:pPr>
        <w:spacing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六、《一般公共预算财政拨款基本支出决算表》</w:t>
      </w:r>
    </w:p>
    <w:p w:rsidR="00BB2E24" w:rsidRDefault="008C34CA">
      <w:pPr>
        <w:spacing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七、《政府性基金预算财政拨款收入支出决算表》</w:t>
      </w:r>
    </w:p>
    <w:p w:rsidR="00BB2E24" w:rsidRDefault="008C34CA">
      <w:pPr>
        <w:spacing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八、《国有资本经营预算财政拨款收入支出决算表》</w:t>
      </w:r>
    </w:p>
    <w:p w:rsidR="00BB2E24" w:rsidRDefault="008C34CA">
      <w:pPr>
        <w:spacing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经费支出决算表》</w:t>
      </w:r>
    </w:p>
    <w:p w:rsidR="00BB2E24" w:rsidRDefault="00BB2E24">
      <w:pPr>
        <w:spacing w:line="240" w:lineRule="auto"/>
        <w:ind w:firstLineChars="200" w:firstLine="640"/>
        <w:outlineLvl w:val="1"/>
        <w:rPr>
          <w:rFonts w:ascii="仿宋_GB2312" w:eastAsia="仿宋_GB2312"/>
          <w:sz w:val="32"/>
          <w:szCs w:val="32"/>
          <w:lang w:eastAsia="zh-CN"/>
        </w:rPr>
      </w:pPr>
    </w:p>
    <w:p w:rsidR="00BB2E24" w:rsidRDefault="00BB2E24">
      <w:pPr>
        <w:spacing w:line="240" w:lineRule="auto"/>
        <w:ind w:firstLineChars="200" w:firstLine="640"/>
        <w:outlineLvl w:val="1"/>
        <w:rPr>
          <w:rFonts w:ascii="仿宋_GB2312" w:eastAsia="仿宋_GB2312"/>
          <w:sz w:val="32"/>
          <w:szCs w:val="32"/>
          <w:lang w:eastAsia="zh-CN"/>
        </w:rPr>
      </w:pPr>
    </w:p>
    <w:p w:rsidR="00BB2E24" w:rsidRDefault="00BB2E24">
      <w:pPr>
        <w:spacing w:line="240" w:lineRule="auto"/>
        <w:ind w:firstLineChars="200" w:firstLine="640"/>
        <w:outlineLvl w:val="1"/>
        <w:rPr>
          <w:rFonts w:ascii="仿宋_GB2312" w:eastAsia="仿宋_GB2312"/>
          <w:sz w:val="32"/>
          <w:szCs w:val="32"/>
          <w:lang w:eastAsia="zh-CN"/>
        </w:rPr>
      </w:pPr>
    </w:p>
    <w:p w:rsidR="00BB2E24" w:rsidRDefault="00BB2E24">
      <w:pPr>
        <w:spacing w:line="240" w:lineRule="auto"/>
        <w:ind w:firstLineChars="200" w:firstLine="640"/>
        <w:outlineLvl w:val="1"/>
        <w:rPr>
          <w:rFonts w:ascii="仿宋_GB2312" w:eastAsia="仿宋_GB2312"/>
          <w:sz w:val="32"/>
          <w:szCs w:val="32"/>
          <w:lang w:eastAsia="zh-CN"/>
        </w:rPr>
      </w:pPr>
    </w:p>
    <w:p w:rsidR="00BB2E24" w:rsidRDefault="00BB2E24">
      <w:pPr>
        <w:spacing w:line="240" w:lineRule="auto"/>
        <w:ind w:firstLineChars="200" w:firstLine="640"/>
        <w:outlineLvl w:val="1"/>
        <w:rPr>
          <w:rFonts w:ascii="仿宋_GB2312" w:eastAsia="仿宋_GB2312"/>
          <w:sz w:val="32"/>
          <w:szCs w:val="32"/>
          <w:lang w:eastAsia="zh-CN"/>
        </w:rPr>
      </w:pPr>
    </w:p>
    <w:p w:rsidR="00BB2E24" w:rsidRDefault="00BB2E24">
      <w:pPr>
        <w:spacing w:line="240" w:lineRule="auto"/>
        <w:ind w:firstLineChars="200" w:firstLine="640"/>
        <w:outlineLvl w:val="1"/>
        <w:rPr>
          <w:rFonts w:ascii="仿宋_GB2312" w:eastAsia="仿宋_GB2312"/>
          <w:sz w:val="32"/>
          <w:szCs w:val="32"/>
          <w:lang w:eastAsia="zh-CN"/>
        </w:rPr>
      </w:pPr>
    </w:p>
    <w:p w:rsidR="00BB2E24" w:rsidRDefault="00BB2E24">
      <w:pPr>
        <w:spacing w:line="240" w:lineRule="auto"/>
        <w:ind w:firstLineChars="200" w:firstLine="640"/>
        <w:outlineLvl w:val="1"/>
        <w:rPr>
          <w:rFonts w:ascii="仿宋_GB2312" w:eastAsia="仿宋_GB2312"/>
          <w:sz w:val="32"/>
          <w:szCs w:val="32"/>
          <w:lang w:eastAsia="zh-CN"/>
        </w:rPr>
      </w:pPr>
    </w:p>
    <w:p w:rsidR="00BB2E24" w:rsidRDefault="00BB2E24">
      <w:pPr>
        <w:spacing w:line="240" w:lineRule="auto"/>
        <w:ind w:firstLineChars="200" w:firstLine="640"/>
        <w:outlineLvl w:val="1"/>
        <w:rPr>
          <w:rFonts w:ascii="仿宋_GB2312" w:eastAsia="仿宋_GB2312"/>
          <w:sz w:val="32"/>
          <w:szCs w:val="32"/>
          <w:lang w:eastAsia="zh-CN"/>
        </w:rPr>
      </w:pPr>
    </w:p>
    <w:p w:rsidR="00BB2E24" w:rsidRDefault="00BB2E24">
      <w:pPr>
        <w:spacing w:line="240" w:lineRule="auto"/>
        <w:ind w:firstLineChars="200" w:firstLine="640"/>
        <w:outlineLvl w:val="1"/>
        <w:rPr>
          <w:rFonts w:ascii="仿宋_GB2312" w:eastAsia="仿宋_GB2312"/>
          <w:sz w:val="32"/>
          <w:szCs w:val="32"/>
          <w:lang w:eastAsia="zh-CN"/>
        </w:rPr>
      </w:pPr>
    </w:p>
    <w:p w:rsidR="00BB2E24" w:rsidRDefault="00BB2E24">
      <w:pPr>
        <w:spacing w:line="240" w:lineRule="auto"/>
        <w:ind w:firstLineChars="200" w:firstLine="640"/>
        <w:outlineLvl w:val="1"/>
        <w:rPr>
          <w:rFonts w:ascii="仿宋_GB2312" w:eastAsia="仿宋_GB2312"/>
          <w:sz w:val="32"/>
          <w:szCs w:val="32"/>
          <w:lang w:eastAsia="zh-CN"/>
        </w:rPr>
      </w:pPr>
    </w:p>
    <w:p w:rsidR="00BB2E24" w:rsidRDefault="00BB2E24">
      <w:pPr>
        <w:spacing w:line="240" w:lineRule="auto"/>
        <w:ind w:firstLineChars="200" w:firstLine="640"/>
        <w:outlineLvl w:val="1"/>
        <w:rPr>
          <w:rFonts w:ascii="仿宋_GB2312" w:eastAsia="仿宋_GB2312"/>
          <w:sz w:val="32"/>
          <w:szCs w:val="32"/>
          <w:lang w:eastAsia="zh-CN"/>
        </w:rPr>
      </w:pPr>
    </w:p>
    <w:p w:rsidR="00BB2E24" w:rsidRDefault="008C34CA">
      <w:pPr>
        <w:spacing w:line="240" w:lineRule="auto"/>
        <w:ind w:firstLineChars="200" w:firstLine="440"/>
        <w:outlineLvl w:val="1"/>
      </w:pPr>
      <w:r>
        <w:rPr>
          <w:noProof/>
          <w:lang w:eastAsia="zh-CN"/>
        </w:rPr>
        <w:lastRenderedPageBreak/>
        <w:drawing>
          <wp:inline distT="0" distB="0" distL="114300" distR="114300">
            <wp:extent cx="5785485" cy="7733665"/>
            <wp:effectExtent l="0" t="0" r="5715" b="825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7"/>
                    <a:stretch>
                      <a:fillRect/>
                    </a:stretch>
                  </pic:blipFill>
                  <pic:spPr>
                    <a:xfrm>
                      <a:off x="0" y="0"/>
                      <a:ext cx="5785485" cy="7733665"/>
                    </a:xfrm>
                    <a:prstGeom prst="rect">
                      <a:avLst/>
                    </a:prstGeom>
                    <a:noFill/>
                    <a:ln>
                      <a:noFill/>
                    </a:ln>
                  </pic:spPr>
                </pic:pic>
              </a:graphicData>
            </a:graphic>
          </wp:inline>
        </w:drawing>
      </w:r>
    </w:p>
    <w:p w:rsidR="00BB2E24" w:rsidRDefault="00BB2E24">
      <w:pPr>
        <w:spacing w:line="240" w:lineRule="auto"/>
        <w:ind w:firstLineChars="200" w:firstLine="440"/>
        <w:outlineLvl w:val="1"/>
      </w:pPr>
    </w:p>
    <w:p w:rsidR="00BB2E24" w:rsidRDefault="00BB2E24">
      <w:pPr>
        <w:spacing w:line="240" w:lineRule="auto"/>
        <w:ind w:firstLineChars="200" w:firstLine="440"/>
        <w:outlineLvl w:val="1"/>
      </w:pPr>
    </w:p>
    <w:p w:rsidR="00BB2E24" w:rsidRDefault="008C34CA">
      <w:pPr>
        <w:spacing w:line="240" w:lineRule="auto"/>
        <w:ind w:firstLineChars="200" w:firstLine="440"/>
        <w:outlineLvl w:val="1"/>
      </w:pPr>
      <w:r>
        <w:rPr>
          <w:noProof/>
          <w:lang w:eastAsia="zh-CN"/>
        </w:rPr>
        <w:drawing>
          <wp:inline distT="0" distB="0" distL="114300" distR="114300">
            <wp:extent cx="5479415" cy="3050540"/>
            <wp:effectExtent l="0" t="0" r="6985" b="1270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8"/>
                    <a:stretch>
                      <a:fillRect/>
                    </a:stretch>
                  </pic:blipFill>
                  <pic:spPr>
                    <a:xfrm>
                      <a:off x="0" y="0"/>
                      <a:ext cx="5479415" cy="3050540"/>
                    </a:xfrm>
                    <a:prstGeom prst="rect">
                      <a:avLst/>
                    </a:prstGeom>
                    <a:noFill/>
                    <a:ln>
                      <a:noFill/>
                    </a:ln>
                  </pic:spPr>
                </pic:pic>
              </a:graphicData>
            </a:graphic>
          </wp:inline>
        </w:drawing>
      </w:r>
    </w:p>
    <w:p w:rsidR="00BB2E24" w:rsidRDefault="00BB2E24">
      <w:pPr>
        <w:spacing w:line="240" w:lineRule="auto"/>
        <w:ind w:firstLineChars="200" w:firstLine="440"/>
        <w:outlineLvl w:val="1"/>
      </w:pPr>
    </w:p>
    <w:p w:rsidR="00BB2E24" w:rsidRDefault="00BB2E24">
      <w:pPr>
        <w:spacing w:line="240" w:lineRule="auto"/>
        <w:outlineLvl w:val="1"/>
      </w:pPr>
    </w:p>
    <w:p w:rsidR="00BB2E24" w:rsidRDefault="008C34CA">
      <w:pPr>
        <w:spacing w:line="240" w:lineRule="auto"/>
        <w:ind w:firstLineChars="200" w:firstLine="440"/>
        <w:outlineLvl w:val="1"/>
      </w:pPr>
      <w:r>
        <w:rPr>
          <w:noProof/>
          <w:lang w:eastAsia="zh-CN"/>
        </w:rPr>
        <w:drawing>
          <wp:inline distT="0" distB="0" distL="114300" distR="114300">
            <wp:extent cx="5482590" cy="3897630"/>
            <wp:effectExtent l="0" t="0" r="3810" b="381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9"/>
                    <a:stretch>
                      <a:fillRect/>
                    </a:stretch>
                  </pic:blipFill>
                  <pic:spPr>
                    <a:xfrm>
                      <a:off x="0" y="0"/>
                      <a:ext cx="5482590" cy="3897630"/>
                    </a:xfrm>
                    <a:prstGeom prst="rect">
                      <a:avLst/>
                    </a:prstGeom>
                    <a:noFill/>
                    <a:ln>
                      <a:noFill/>
                    </a:ln>
                  </pic:spPr>
                </pic:pic>
              </a:graphicData>
            </a:graphic>
          </wp:inline>
        </w:drawing>
      </w:r>
    </w:p>
    <w:p w:rsidR="00BB2E24" w:rsidRDefault="00BB2E24">
      <w:pPr>
        <w:spacing w:line="240" w:lineRule="auto"/>
        <w:ind w:firstLineChars="200" w:firstLine="440"/>
        <w:outlineLvl w:val="1"/>
      </w:pPr>
    </w:p>
    <w:p w:rsidR="00BB2E24" w:rsidRDefault="008C34CA">
      <w:pPr>
        <w:spacing w:line="240" w:lineRule="auto"/>
        <w:ind w:firstLineChars="200" w:firstLine="440"/>
        <w:outlineLvl w:val="1"/>
      </w:pPr>
      <w:r>
        <w:rPr>
          <w:noProof/>
          <w:lang w:eastAsia="zh-CN"/>
        </w:rPr>
        <w:drawing>
          <wp:inline distT="0" distB="0" distL="114300" distR="114300">
            <wp:extent cx="5587365" cy="7068820"/>
            <wp:effectExtent l="0" t="0" r="5715" b="254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10"/>
                    <a:stretch>
                      <a:fillRect/>
                    </a:stretch>
                  </pic:blipFill>
                  <pic:spPr>
                    <a:xfrm>
                      <a:off x="0" y="0"/>
                      <a:ext cx="5587365" cy="7068820"/>
                    </a:xfrm>
                    <a:prstGeom prst="rect">
                      <a:avLst/>
                    </a:prstGeom>
                    <a:noFill/>
                    <a:ln>
                      <a:noFill/>
                    </a:ln>
                  </pic:spPr>
                </pic:pic>
              </a:graphicData>
            </a:graphic>
          </wp:inline>
        </w:drawing>
      </w:r>
    </w:p>
    <w:p w:rsidR="00BB2E24" w:rsidRDefault="00BB2E24">
      <w:pPr>
        <w:spacing w:line="240" w:lineRule="auto"/>
        <w:ind w:firstLineChars="200" w:firstLine="440"/>
        <w:outlineLvl w:val="1"/>
      </w:pPr>
    </w:p>
    <w:p w:rsidR="00BB2E24" w:rsidRDefault="00BB2E24">
      <w:pPr>
        <w:spacing w:line="240" w:lineRule="auto"/>
        <w:ind w:firstLineChars="200" w:firstLine="440"/>
        <w:outlineLvl w:val="1"/>
      </w:pPr>
    </w:p>
    <w:p w:rsidR="00BB2E24" w:rsidRDefault="00BB2E24">
      <w:pPr>
        <w:spacing w:line="240" w:lineRule="auto"/>
        <w:ind w:firstLineChars="200" w:firstLine="440"/>
        <w:outlineLvl w:val="1"/>
      </w:pPr>
    </w:p>
    <w:p w:rsidR="00BB2E24" w:rsidRDefault="00BB2E24">
      <w:pPr>
        <w:spacing w:line="240" w:lineRule="auto"/>
        <w:outlineLvl w:val="1"/>
      </w:pPr>
    </w:p>
    <w:p w:rsidR="00BB2E24" w:rsidRDefault="008C34CA">
      <w:pPr>
        <w:spacing w:line="240" w:lineRule="auto"/>
        <w:outlineLvl w:val="1"/>
      </w:pPr>
      <w:r>
        <w:rPr>
          <w:noProof/>
          <w:lang w:eastAsia="zh-CN"/>
        </w:rPr>
        <w:drawing>
          <wp:inline distT="0" distB="0" distL="114300" distR="114300">
            <wp:extent cx="5485130" cy="5370195"/>
            <wp:effectExtent l="0" t="0" r="1270" b="952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11"/>
                    <a:stretch>
                      <a:fillRect/>
                    </a:stretch>
                  </pic:blipFill>
                  <pic:spPr>
                    <a:xfrm>
                      <a:off x="0" y="0"/>
                      <a:ext cx="5485130" cy="5370195"/>
                    </a:xfrm>
                    <a:prstGeom prst="rect">
                      <a:avLst/>
                    </a:prstGeom>
                    <a:noFill/>
                    <a:ln>
                      <a:noFill/>
                    </a:ln>
                  </pic:spPr>
                </pic:pic>
              </a:graphicData>
            </a:graphic>
          </wp:inline>
        </w:drawing>
      </w:r>
    </w:p>
    <w:p w:rsidR="00BB2E24" w:rsidRDefault="00BB2E24">
      <w:pPr>
        <w:spacing w:line="240" w:lineRule="auto"/>
        <w:outlineLvl w:val="1"/>
      </w:pPr>
    </w:p>
    <w:p w:rsidR="00BB2E24" w:rsidRDefault="00BB2E24">
      <w:pPr>
        <w:spacing w:line="240" w:lineRule="auto"/>
        <w:outlineLvl w:val="1"/>
        <w:rPr>
          <w:lang w:eastAsia="zh-CN"/>
        </w:rPr>
      </w:pPr>
    </w:p>
    <w:p w:rsidR="00BB2E24" w:rsidRDefault="00BB2E24">
      <w:pPr>
        <w:spacing w:line="240" w:lineRule="auto"/>
        <w:outlineLvl w:val="1"/>
        <w:rPr>
          <w:lang w:eastAsia="zh-CN"/>
        </w:rPr>
      </w:pPr>
    </w:p>
    <w:p w:rsidR="00BB2E24" w:rsidRDefault="00BB2E24">
      <w:pPr>
        <w:spacing w:line="240" w:lineRule="auto"/>
        <w:outlineLvl w:val="1"/>
        <w:rPr>
          <w:lang w:eastAsia="zh-CN"/>
        </w:rPr>
      </w:pPr>
    </w:p>
    <w:p w:rsidR="00BB2E24" w:rsidRDefault="00BB2E24">
      <w:pPr>
        <w:spacing w:line="240" w:lineRule="auto"/>
        <w:outlineLvl w:val="1"/>
        <w:rPr>
          <w:lang w:eastAsia="zh-CN"/>
        </w:rPr>
      </w:pPr>
    </w:p>
    <w:p w:rsidR="00BB2E24" w:rsidRDefault="00BB2E24">
      <w:pPr>
        <w:spacing w:line="240" w:lineRule="auto"/>
        <w:outlineLvl w:val="1"/>
        <w:rPr>
          <w:lang w:eastAsia="zh-CN"/>
        </w:rPr>
      </w:pPr>
    </w:p>
    <w:p w:rsidR="00BB2E24" w:rsidRDefault="00BB2E24">
      <w:pPr>
        <w:spacing w:line="240" w:lineRule="auto"/>
        <w:outlineLvl w:val="1"/>
        <w:rPr>
          <w:lang w:eastAsia="zh-CN"/>
        </w:rPr>
      </w:pPr>
    </w:p>
    <w:p w:rsidR="00BB2E24" w:rsidRDefault="00BB2E24">
      <w:pPr>
        <w:spacing w:line="240" w:lineRule="auto"/>
        <w:outlineLvl w:val="1"/>
        <w:rPr>
          <w:lang w:eastAsia="zh-CN"/>
        </w:rPr>
      </w:pPr>
    </w:p>
    <w:p w:rsidR="00BB2E24" w:rsidRDefault="008C34CA">
      <w:pPr>
        <w:spacing w:line="240" w:lineRule="auto"/>
        <w:outlineLvl w:val="1"/>
        <w:rPr>
          <w:lang w:eastAsia="zh-CN"/>
        </w:rPr>
      </w:pPr>
      <w:r>
        <w:rPr>
          <w:noProof/>
          <w:lang w:eastAsia="zh-CN"/>
        </w:rPr>
        <w:drawing>
          <wp:inline distT="0" distB="0" distL="114300" distR="114300">
            <wp:extent cx="5478145" cy="7639685"/>
            <wp:effectExtent l="0" t="0" r="8255" b="1079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12"/>
                    <a:stretch>
                      <a:fillRect/>
                    </a:stretch>
                  </pic:blipFill>
                  <pic:spPr>
                    <a:xfrm>
                      <a:off x="0" y="0"/>
                      <a:ext cx="5478145" cy="7639685"/>
                    </a:xfrm>
                    <a:prstGeom prst="rect">
                      <a:avLst/>
                    </a:prstGeom>
                    <a:noFill/>
                    <a:ln>
                      <a:noFill/>
                    </a:ln>
                  </pic:spPr>
                </pic:pic>
              </a:graphicData>
            </a:graphic>
          </wp:inline>
        </w:drawing>
      </w:r>
    </w:p>
    <w:p w:rsidR="00BB2E24" w:rsidRDefault="00BB2E24">
      <w:pPr>
        <w:spacing w:line="240" w:lineRule="auto"/>
        <w:outlineLvl w:val="1"/>
        <w:rPr>
          <w:lang w:eastAsia="zh-CN"/>
        </w:rPr>
      </w:pPr>
    </w:p>
    <w:p w:rsidR="00BB2E24" w:rsidRDefault="008C34CA">
      <w:pPr>
        <w:spacing w:line="240" w:lineRule="auto"/>
        <w:outlineLvl w:val="1"/>
        <w:rPr>
          <w:lang w:eastAsia="zh-CN"/>
        </w:rPr>
      </w:pPr>
      <w:r>
        <w:rPr>
          <w:noProof/>
          <w:lang w:eastAsia="zh-CN"/>
        </w:rPr>
        <w:drawing>
          <wp:inline distT="0" distB="0" distL="114300" distR="114300">
            <wp:extent cx="5486400" cy="2640965"/>
            <wp:effectExtent l="0" t="0" r="0" b="1079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pic:cNvPicPr>
                  </pic:nvPicPr>
                  <pic:blipFill>
                    <a:blip r:embed="rId13"/>
                    <a:stretch>
                      <a:fillRect/>
                    </a:stretch>
                  </pic:blipFill>
                  <pic:spPr>
                    <a:xfrm>
                      <a:off x="0" y="0"/>
                      <a:ext cx="5486400" cy="2640965"/>
                    </a:xfrm>
                    <a:prstGeom prst="rect">
                      <a:avLst/>
                    </a:prstGeom>
                    <a:noFill/>
                    <a:ln>
                      <a:noFill/>
                    </a:ln>
                  </pic:spPr>
                </pic:pic>
              </a:graphicData>
            </a:graphic>
          </wp:inline>
        </w:drawing>
      </w:r>
    </w:p>
    <w:p w:rsidR="00BB2E24" w:rsidRDefault="005546F5">
      <w:pPr>
        <w:spacing w:line="240" w:lineRule="auto"/>
        <w:outlineLvl w:val="1"/>
        <w:rPr>
          <w:lang w:eastAsia="zh-CN"/>
        </w:rPr>
      </w:pPr>
      <w:r>
        <w:rPr>
          <w:rFonts w:hint="eastAsia"/>
          <w:lang w:eastAsia="zh-CN"/>
        </w:rPr>
        <w:t>备注</w:t>
      </w:r>
      <w:r>
        <w:rPr>
          <w:rFonts w:hint="eastAsia"/>
          <w:lang w:eastAsia="zh-CN"/>
        </w:rPr>
        <w:t>:</w:t>
      </w:r>
      <w:r>
        <w:rPr>
          <w:rFonts w:hint="eastAsia"/>
          <w:lang w:eastAsia="zh-CN"/>
        </w:rPr>
        <w:t>本单位不涉及政府性基金预算财政拨款收入、支出及结转结余情况。</w:t>
      </w:r>
    </w:p>
    <w:p w:rsidR="00BB2E24" w:rsidRDefault="00BB2E24">
      <w:pPr>
        <w:spacing w:line="240" w:lineRule="auto"/>
        <w:outlineLvl w:val="1"/>
        <w:rPr>
          <w:lang w:eastAsia="zh-CN"/>
        </w:rPr>
      </w:pPr>
    </w:p>
    <w:p w:rsidR="00BB2E24" w:rsidRDefault="00BB2E24">
      <w:pPr>
        <w:spacing w:line="240" w:lineRule="auto"/>
        <w:outlineLvl w:val="1"/>
        <w:rPr>
          <w:lang w:eastAsia="zh-CN"/>
        </w:rPr>
      </w:pPr>
    </w:p>
    <w:p w:rsidR="00BB2E24" w:rsidRDefault="00BB2E24">
      <w:pPr>
        <w:spacing w:line="240" w:lineRule="auto"/>
        <w:outlineLvl w:val="1"/>
        <w:rPr>
          <w:lang w:eastAsia="zh-CN"/>
        </w:rPr>
      </w:pPr>
    </w:p>
    <w:p w:rsidR="00BB2E24" w:rsidRDefault="00BB2E24">
      <w:pPr>
        <w:spacing w:line="240" w:lineRule="auto"/>
        <w:outlineLvl w:val="1"/>
        <w:rPr>
          <w:lang w:eastAsia="zh-CN"/>
        </w:rPr>
      </w:pPr>
    </w:p>
    <w:p w:rsidR="00BB2E24" w:rsidRDefault="008C34CA">
      <w:pPr>
        <w:spacing w:line="240" w:lineRule="auto"/>
        <w:outlineLvl w:val="1"/>
      </w:pPr>
      <w:r>
        <w:rPr>
          <w:noProof/>
          <w:lang w:eastAsia="zh-CN"/>
        </w:rPr>
        <w:drawing>
          <wp:inline distT="0" distB="0" distL="114300" distR="114300">
            <wp:extent cx="5485130" cy="2955290"/>
            <wp:effectExtent l="0" t="0" r="1270" b="127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pic:cNvPicPr>
                  </pic:nvPicPr>
                  <pic:blipFill>
                    <a:blip r:embed="rId14"/>
                    <a:stretch>
                      <a:fillRect/>
                    </a:stretch>
                  </pic:blipFill>
                  <pic:spPr>
                    <a:xfrm>
                      <a:off x="0" y="0"/>
                      <a:ext cx="5485130" cy="2955290"/>
                    </a:xfrm>
                    <a:prstGeom prst="rect">
                      <a:avLst/>
                    </a:prstGeom>
                    <a:noFill/>
                    <a:ln>
                      <a:noFill/>
                    </a:ln>
                  </pic:spPr>
                </pic:pic>
              </a:graphicData>
            </a:graphic>
          </wp:inline>
        </w:drawing>
      </w:r>
    </w:p>
    <w:p w:rsidR="005546F5" w:rsidRDefault="005546F5" w:rsidP="005546F5">
      <w:pPr>
        <w:spacing w:line="240" w:lineRule="auto"/>
        <w:outlineLvl w:val="1"/>
        <w:rPr>
          <w:lang w:eastAsia="zh-CN"/>
        </w:rPr>
      </w:pPr>
      <w:r>
        <w:rPr>
          <w:rFonts w:hint="eastAsia"/>
          <w:lang w:eastAsia="zh-CN"/>
        </w:rPr>
        <w:t>备注</w:t>
      </w:r>
      <w:r>
        <w:rPr>
          <w:rFonts w:hint="eastAsia"/>
          <w:lang w:eastAsia="zh-CN"/>
        </w:rPr>
        <w:t>:</w:t>
      </w:r>
      <w:r>
        <w:rPr>
          <w:rFonts w:hint="eastAsia"/>
          <w:lang w:eastAsia="zh-CN"/>
        </w:rPr>
        <w:t>本单位不涉及国有资本经营预算财政拨款收入、支出及结转结余情况。</w:t>
      </w:r>
    </w:p>
    <w:p w:rsidR="00BB2E24" w:rsidRPr="005546F5" w:rsidRDefault="00BB2E24">
      <w:pPr>
        <w:spacing w:line="240" w:lineRule="auto"/>
        <w:outlineLvl w:val="1"/>
        <w:rPr>
          <w:lang w:eastAsia="zh-CN"/>
        </w:rPr>
      </w:pPr>
    </w:p>
    <w:p w:rsidR="00BB2E24" w:rsidRDefault="00BB2E24">
      <w:pPr>
        <w:spacing w:line="240" w:lineRule="auto"/>
        <w:outlineLvl w:val="1"/>
        <w:rPr>
          <w:lang w:eastAsia="zh-CN"/>
        </w:rPr>
      </w:pPr>
    </w:p>
    <w:p w:rsidR="00BB2E24" w:rsidRDefault="008C34CA">
      <w:pPr>
        <w:spacing w:line="240" w:lineRule="auto"/>
        <w:outlineLvl w:val="1"/>
      </w:pPr>
      <w:r>
        <w:rPr>
          <w:noProof/>
          <w:lang w:eastAsia="zh-CN"/>
        </w:rPr>
        <w:drawing>
          <wp:inline distT="0" distB="0" distL="114300" distR="114300">
            <wp:extent cx="5483860" cy="2110105"/>
            <wp:effectExtent l="0" t="0" r="2540" b="8255"/>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pic:cNvPicPr>
                  </pic:nvPicPr>
                  <pic:blipFill>
                    <a:blip r:embed="rId15"/>
                    <a:stretch>
                      <a:fillRect/>
                    </a:stretch>
                  </pic:blipFill>
                  <pic:spPr>
                    <a:xfrm>
                      <a:off x="0" y="0"/>
                      <a:ext cx="5483860" cy="2110105"/>
                    </a:xfrm>
                    <a:prstGeom prst="rect">
                      <a:avLst/>
                    </a:prstGeom>
                    <a:noFill/>
                    <a:ln>
                      <a:noFill/>
                    </a:ln>
                  </pic:spPr>
                </pic:pic>
              </a:graphicData>
            </a:graphic>
          </wp:inline>
        </w:drawing>
      </w:r>
    </w:p>
    <w:p w:rsidR="00BB2E24" w:rsidRDefault="00BB2E24">
      <w:pPr>
        <w:spacing w:line="240" w:lineRule="auto"/>
        <w:outlineLvl w:val="1"/>
        <w:rPr>
          <w:lang w:eastAsia="zh-CN"/>
        </w:rPr>
      </w:pPr>
    </w:p>
    <w:sectPr w:rsidR="00BB2E24" w:rsidSect="00BB2E24">
      <w:pgSz w:w="12240" w:h="15840"/>
      <w:pgMar w:top="1440" w:right="1800" w:bottom="1440" w:left="1800"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17A0E" w:rsidRDefault="00817A0E">
      <w:pPr>
        <w:spacing w:line="240" w:lineRule="auto"/>
      </w:pPr>
      <w:r>
        <w:separator/>
      </w:r>
    </w:p>
  </w:endnote>
  <w:endnote w:type="continuationSeparator" w:id="1">
    <w:p w:rsidR="00817A0E" w:rsidRDefault="00817A0E">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default"/>
    <w:sig w:usb0="800002BF" w:usb1="38CF7CFA" w:usb2="00000016" w:usb3="00000000" w:csb0="0004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17A0E" w:rsidRDefault="00817A0E">
      <w:pPr>
        <w:spacing w:after="0"/>
      </w:pPr>
      <w:r>
        <w:separator/>
      </w:r>
    </w:p>
  </w:footnote>
  <w:footnote w:type="continuationSeparator" w:id="1">
    <w:p w:rsidR="00817A0E" w:rsidRDefault="00817A0E">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1B0EC2"/>
    <w:multiLevelType w:val="multilevel"/>
    <w:tmpl w:val="101B0EC2"/>
    <w:lvl w:ilvl="0">
      <w:start w:val="1"/>
      <w:numFmt w:val="decimal"/>
      <w:suff w:val="nothing"/>
      <w:lvlText w:val="%1."/>
      <w:lvlJc w:val="left"/>
      <w:pPr>
        <w:spacing w:beforeLines="0" w:beforeAutospacing="0" w:line="240" w:lineRule="auto"/>
        <w:ind w:firstLineChars="200" w:firstLine="640"/>
      </w:pPr>
    </w:lvl>
    <w:lvl w:ilvl="1">
      <w:start w:val="1"/>
      <w:numFmt w:val="decimal"/>
      <w:suff w:val="nothing"/>
      <w:lvlText w:val="%1.%2."/>
      <w:lvlJc w:val="left"/>
      <w:pPr>
        <w:spacing w:beforeLines="0" w:beforeAutospacing="0" w:line="240" w:lineRule="auto"/>
        <w:ind w:firstLineChars="200" w:firstLine="640"/>
      </w:pPr>
    </w:lvl>
    <w:lvl w:ilvl="2">
      <w:start w:val="1"/>
      <w:numFmt w:val="decimal"/>
      <w:suff w:val="nothing"/>
      <w:lvlText w:val="%1.%2.%3."/>
      <w:lvlJc w:val="left"/>
      <w:pPr>
        <w:ind w:left="0" w:firstLine="0"/>
      </w:p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bordersDoNotSurroundHeader/>
  <w:bordersDoNotSurroundFooter/>
  <w:defaultTabStop w:val="420"/>
  <w:noPunctuationKerning/>
  <w:characterSpacingControl w:val="doNotCompress"/>
  <w:hdrShapeDefaults>
    <o:shapedefaults v:ext="edit" spidmax="7170"/>
  </w:hdrShapeDefaults>
  <w:footnotePr>
    <w:footnote w:id="0"/>
    <w:footnote w:id="1"/>
  </w:footnotePr>
  <w:endnotePr>
    <w:endnote w:id="0"/>
    <w:endnote w:id="1"/>
  </w:endnotePr>
  <w:compat>
    <w:doNotExpandShiftReturn/>
    <w:doNotWrapTextWithPunct/>
    <w:doNotUseEastAsianBreakRules/>
    <w:useFELayout/>
  </w:compat>
  <w:rsids>
    <w:rsidRoot w:val="00D428E0"/>
    <w:rsid w:val="003D4B41"/>
    <w:rsid w:val="00451ACB"/>
    <w:rsid w:val="004648B4"/>
    <w:rsid w:val="00521C33"/>
    <w:rsid w:val="005546F5"/>
    <w:rsid w:val="00557552"/>
    <w:rsid w:val="00576615"/>
    <w:rsid w:val="007F1A41"/>
    <w:rsid w:val="00817A0E"/>
    <w:rsid w:val="00877B79"/>
    <w:rsid w:val="00884941"/>
    <w:rsid w:val="008C34CA"/>
    <w:rsid w:val="00A721E3"/>
    <w:rsid w:val="00A97BBB"/>
    <w:rsid w:val="00B4675A"/>
    <w:rsid w:val="00BB2E24"/>
    <w:rsid w:val="00BC6DC9"/>
    <w:rsid w:val="00D428E0"/>
    <w:rsid w:val="0E8A0D49"/>
    <w:rsid w:val="185C5529"/>
    <w:rsid w:val="1B930D97"/>
    <w:rsid w:val="26195C9B"/>
    <w:rsid w:val="33CB0D36"/>
    <w:rsid w:val="414D266C"/>
    <w:rsid w:val="457B137E"/>
    <w:rsid w:val="69BD7AD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qFormat="1"/>
    <w:lsdException w:name="heading 3" w:semiHidden="0" w:uiPriority="9" w:qFormat="1"/>
    <w:lsdException w:name="heading 4" w:semiHidden="0" w:uiPriority="9" w:qFormat="1"/>
    <w:lsdException w:name="Normal Indent" w:semiHidden="0" w:qFormat="1"/>
    <w:lsdException w:name="header" w:semiHidden="0" w:qFormat="1"/>
    <w:lsdException w:name="footer"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Hyperlink" w:semiHidden="0" w:qFormat="1"/>
    <w:lsdException w:name="Emphasis" w:semiHidden="0" w:uiPriority="20" w:unhideWhenUsed="0" w:qFormat="1"/>
    <w:lsdException w:name="Normal Table"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B2E24"/>
    <w:pPr>
      <w:spacing w:after="200" w:line="276" w:lineRule="auto"/>
    </w:pPr>
    <w:rPr>
      <w:rFonts w:asciiTheme="minorHAnsi" w:eastAsiaTheme="minorEastAsia" w:hAnsiTheme="minorHAnsi" w:cstheme="minorBidi"/>
      <w:sz w:val="22"/>
      <w:szCs w:val="22"/>
      <w:lang w:eastAsia="en-US"/>
    </w:rPr>
  </w:style>
  <w:style w:type="paragraph" w:styleId="1">
    <w:name w:val="heading 1"/>
    <w:basedOn w:val="a"/>
    <w:next w:val="a"/>
    <w:link w:val="1Char"/>
    <w:uiPriority w:val="9"/>
    <w:qFormat/>
    <w:rsid w:val="00BB2E24"/>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Char"/>
    <w:uiPriority w:val="9"/>
    <w:unhideWhenUsed/>
    <w:qFormat/>
    <w:rsid w:val="00BB2E24"/>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Char"/>
    <w:uiPriority w:val="9"/>
    <w:unhideWhenUsed/>
    <w:qFormat/>
    <w:rsid w:val="00BB2E24"/>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Char"/>
    <w:uiPriority w:val="9"/>
    <w:unhideWhenUsed/>
    <w:qFormat/>
    <w:rsid w:val="00BB2E24"/>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uiPriority w:val="99"/>
    <w:unhideWhenUsed/>
    <w:qFormat/>
    <w:rsid w:val="00BB2E24"/>
    <w:pPr>
      <w:ind w:left="720"/>
    </w:pPr>
  </w:style>
  <w:style w:type="paragraph" w:styleId="a4">
    <w:name w:val="caption"/>
    <w:basedOn w:val="a"/>
    <w:next w:val="a"/>
    <w:uiPriority w:val="35"/>
    <w:semiHidden/>
    <w:unhideWhenUsed/>
    <w:qFormat/>
    <w:rsid w:val="00BB2E24"/>
    <w:pPr>
      <w:spacing w:line="240" w:lineRule="auto"/>
    </w:pPr>
    <w:rPr>
      <w:b/>
      <w:bCs/>
      <w:color w:val="4F81BD" w:themeColor="accent1"/>
      <w:sz w:val="18"/>
      <w:szCs w:val="18"/>
    </w:rPr>
  </w:style>
  <w:style w:type="paragraph" w:styleId="a5">
    <w:name w:val="footer"/>
    <w:basedOn w:val="a"/>
    <w:link w:val="Char"/>
    <w:uiPriority w:val="99"/>
    <w:semiHidden/>
    <w:unhideWhenUsed/>
    <w:qFormat/>
    <w:rsid w:val="00BB2E24"/>
    <w:pPr>
      <w:tabs>
        <w:tab w:val="center" w:pos="4153"/>
        <w:tab w:val="right" w:pos="8306"/>
      </w:tabs>
      <w:snapToGrid w:val="0"/>
      <w:spacing w:line="240" w:lineRule="auto"/>
    </w:pPr>
    <w:rPr>
      <w:sz w:val="18"/>
      <w:szCs w:val="18"/>
    </w:rPr>
  </w:style>
  <w:style w:type="paragraph" w:styleId="a6">
    <w:name w:val="header"/>
    <w:basedOn w:val="a"/>
    <w:link w:val="Char0"/>
    <w:uiPriority w:val="99"/>
    <w:unhideWhenUsed/>
    <w:qFormat/>
    <w:rsid w:val="00BB2E24"/>
    <w:pPr>
      <w:tabs>
        <w:tab w:val="center" w:pos="4680"/>
        <w:tab w:val="right" w:pos="9360"/>
      </w:tabs>
    </w:pPr>
  </w:style>
  <w:style w:type="paragraph" w:styleId="a7">
    <w:name w:val="Subtitle"/>
    <w:basedOn w:val="a"/>
    <w:next w:val="a"/>
    <w:link w:val="Char1"/>
    <w:uiPriority w:val="11"/>
    <w:qFormat/>
    <w:rsid w:val="00BB2E24"/>
    <w:pPr>
      <w:ind w:left="86"/>
    </w:pPr>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Char2"/>
    <w:uiPriority w:val="10"/>
    <w:qFormat/>
    <w:rsid w:val="00BB2E24"/>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table" w:styleId="a9">
    <w:name w:val="Table Grid"/>
    <w:basedOn w:val="a1"/>
    <w:uiPriority w:val="59"/>
    <w:qFormat/>
    <w:rsid w:val="00BB2E24"/>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aa">
    <w:name w:val="Emphasis"/>
    <w:basedOn w:val="a0"/>
    <w:uiPriority w:val="20"/>
    <w:qFormat/>
    <w:rsid w:val="00BB2E24"/>
    <w:rPr>
      <w:i/>
      <w:iCs/>
    </w:rPr>
  </w:style>
  <w:style w:type="character" w:styleId="ab">
    <w:name w:val="Hyperlink"/>
    <w:basedOn w:val="a0"/>
    <w:uiPriority w:val="99"/>
    <w:unhideWhenUsed/>
    <w:qFormat/>
    <w:rsid w:val="00BB2E24"/>
    <w:rPr>
      <w:color w:val="0000FF" w:themeColor="hyperlink"/>
      <w:u w:val="single"/>
    </w:rPr>
  </w:style>
  <w:style w:type="character" w:customStyle="1" w:styleId="Char0">
    <w:name w:val="页眉 Char"/>
    <w:basedOn w:val="a0"/>
    <w:link w:val="a6"/>
    <w:uiPriority w:val="99"/>
    <w:qFormat/>
    <w:rsid w:val="00BB2E24"/>
  </w:style>
  <w:style w:type="character" w:customStyle="1" w:styleId="1Char">
    <w:name w:val="标题 1 Char"/>
    <w:basedOn w:val="a0"/>
    <w:link w:val="1"/>
    <w:uiPriority w:val="9"/>
    <w:qFormat/>
    <w:rsid w:val="00BB2E24"/>
    <w:rPr>
      <w:rFonts w:asciiTheme="majorHAnsi" w:eastAsiaTheme="majorEastAsia" w:hAnsiTheme="majorHAnsi" w:cstheme="majorBidi"/>
      <w:b/>
      <w:bCs/>
      <w:color w:val="365F91" w:themeColor="accent1" w:themeShade="BF"/>
      <w:sz w:val="28"/>
      <w:szCs w:val="28"/>
    </w:rPr>
  </w:style>
  <w:style w:type="character" w:customStyle="1" w:styleId="2Char">
    <w:name w:val="标题 2 Char"/>
    <w:basedOn w:val="a0"/>
    <w:link w:val="2"/>
    <w:uiPriority w:val="9"/>
    <w:qFormat/>
    <w:rsid w:val="00BB2E24"/>
    <w:rPr>
      <w:rFonts w:asciiTheme="majorHAnsi" w:eastAsiaTheme="majorEastAsia" w:hAnsiTheme="majorHAnsi" w:cstheme="majorBidi"/>
      <w:b/>
      <w:bCs/>
      <w:color w:val="4F81BD" w:themeColor="accent1"/>
      <w:sz w:val="26"/>
      <w:szCs w:val="26"/>
    </w:rPr>
  </w:style>
  <w:style w:type="character" w:customStyle="1" w:styleId="3Char">
    <w:name w:val="标题 3 Char"/>
    <w:basedOn w:val="a0"/>
    <w:link w:val="3"/>
    <w:uiPriority w:val="9"/>
    <w:qFormat/>
    <w:rsid w:val="00BB2E24"/>
    <w:rPr>
      <w:rFonts w:asciiTheme="majorHAnsi" w:eastAsiaTheme="majorEastAsia" w:hAnsiTheme="majorHAnsi" w:cstheme="majorBidi"/>
      <w:b/>
      <w:bCs/>
      <w:color w:val="4F81BD" w:themeColor="accent1"/>
    </w:rPr>
  </w:style>
  <w:style w:type="character" w:customStyle="1" w:styleId="4Char">
    <w:name w:val="标题 4 Char"/>
    <w:basedOn w:val="a0"/>
    <w:link w:val="4"/>
    <w:uiPriority w:val="9"/>
    <w:qFormat/>
    <w:rsid w:val="00BB2E24"/>
    <w:rPr>
      <w:rFonts w:asciiTheme="majorHAnsi" w:eastAsiaTheme="majorEastAsia" w:hAnsiTheme="majorHAnsi" w:cstheme="majorBidi"/>
      <w:b/>
      <w:bCs/>
      <w:i/>
      <w:iCs/>
      <w:color w:val="4F81BD" w:themeColor="accent1"/>
    </w:rPr>
  </w:style>
  <w:style w:type="character" w:customStyle="1" w:styleId="Char1">
    <w:name w:val="副标题 Char"/>
    <w:basedOn w:val="a0"/>
    <w:link w:val="a7"/>
    <w:uiPriority w:val="11"/>
    <w:qFormat/>
    <w:rsid w:val="00BB2E24"/>
    <w:rPr>
      <w:rFonts w:asciiTheme="majorHAnsi" w:eastAsiaTheme="majorEastAsia" w:hAnsiTheme="majorHAnsi" w:cstheme="majorBidi"/>
      <w:i/>
      <w:iCs/>
      <w:color w:val="4F81BD" w:themeColor="accent1"/>
      <w:spacing w:val="15"/>
      <w:sz w:val="24"/>
      <w:szCs w:val="24"/>
    </w:rPr>
  </w:style>
  <w:style w:type="character" w:customStyle="1" w:styleId="Char2">
    <w:name w:val="标题 Char"/>
    <w:basedOn w:val="a0"/>
    <w:link w:val="a8"/>
    <w:uiPriority w:val="10"/>
    <w:qFormat/>
    <w:rsid w:val="00BB2E24"/>
    <w:rPr>
      <w:rFonts w:asciiTheme="majorHAnsi" w:eastAsiaTheme="majorEastAsia" w:hAnsiTheme="majorHAnsi" w:cstheme="majorBidi"/>
      <w:color w:val="17365D" w:themeColor="text2" w:themeShade="BF"/>
      <w:spacing w:val="5"/>
      <w:kern w:val="28"/>
      <w:sz w:val="52"/>
      <w:szCs w:val="52"/>
    </w:rPr>
  </w:style>
  <w:style w:type="character" w:customStyle="1" w:styleId="Char">
    <w:name w:val="页脚 Char"/>
    <w:basedOn w:val="a0"/>
    <w:link w:val="a5"/>
    <w:uiPriority w:val="99"/>
    <w:semiHidden/>
    <w:rsid w:val="00BB2E24"/>
    <w:rPr>
      <w:sz w:val="18"/>
      <w:szCs w:val="18"/>
    </w:rPr>
  </w:style>
  <w:style w:type="paragraph" w:styleId="ac">
    <w:name w:val="List Paragraph"/>
    <w:basedOn w:val="a"/>
    <w:autoRedefine/>
    <w:uiPriority w:val="99"/>
    <w:unhideWhenUsed/>
    <w:qFormat/>
    <w:rsid w:val="00BB2E24"/>
    <w:pPr>
      <w:ind w:firstLineChars="200" w:firstLine="420"/>
    </w:pPr>
  </w:style>
  <w:style w:type="paragraph" w:styleId="ad">
    <w:name w:val="Balloon Text"/>
    <w:basedOn w:val="a"/>
    <w:link w:val="Char3"/>
    <w:uiPriority w:val="99"/>
    <w:semiHidden/>
    <w:unhideWhenUsed/>
    <w:rsid w:val="005546F5"/>
    <w:pPr>
      <w:spacing w:after="0" w:line="240" w:lineRule="auto"/>
    </w:pPr>
    <w:rPr>
      <w:sz w:val="18"/>
      <w:szCs w:val="18"/>
    </w:rPr>
  </w:style>
  <w:style w:type="character" w:customStyle="1" w:styleId="Char3">
    <w:name w:val="批注框文本 Char"/>
    <w:basedOn w:val="a0"/>
    <w:link w:val="ad"/>
    <w:uiPriority w:val="99"/>
    <w:semiHidden/>
    <w:rsid w:val="005546F5"/>
    <w:rPr>
      <w:rFonts w:asciiTheme="minorHAnsi" w:eastAsiaTheme="minorEastAsia" w:hAnsiTheme="minorHAnsi" w:cstheme="minorBidi"/>
      <w:sz w:val="18"/>
      <w:szCs w:val="18"/>
      <w:lang w:eastAsia="en-US"/>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image" Target="media/image9.png"/><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38</TotalTime>
  <Pages>21</Pages>
  <Words>970</Words>
  <Characters>5529</Characters>
  <Application>Microsoft Office Word</Application>
  <DocSecurity>0</DocSecurity>
  <Lines>46</Lines>
  <Paragraphs>12</Paragraphs>
  <ScaleCrop>false</ScaleCrop>
  <Company>Company</Company>
  <LinksUpToDate>false</LinksUpToDate>
  <CharactersWithSpaces>6487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User</cp:lastModifiedBy>
  <cp:revision>8</cp:revision>
  <dcterms:created xsi:type="dcterms:W3CDTF">2025-08-12T08:56:00Z</dcterms:created>
  <dcterms:modified xsi:type="dcterms:W3CDTF">2025-08-18T10:18:00Z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eyJoZGlkIjoiZjA3YmIxZTQ3NGIxMDI5ODg0YzczOGY0OWQ0YjAwOGIiLCJ1c2VySWQiOiI3MzUyODg2OTMifQ==</vt:lpwstr>
  </property>
  <property fmtid="{D5CDD505-2E9C-101B-9397-08002B2CF9AE}" pid="3" name="KSOProductBuildVer">
    <vt:lpwstr>2052-12.1.0.22215</vt:lpwstr>
  </property>
  <property fmtid="{D5CDD505-2E9C-101B-9397-08002B2CF9AE}" pid="4" name="ICV">
    <vt:lpwstr>F7AA7DB0FFC24AC4883A60FA169FABB4_12</vt:lpwstr>
  </property>
</Properties>
</file>