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宋体" w:eastAsia="宋体"/>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880" w:firstLineChars="200"/>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880" w:firstLineChars="200"/>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880" w:firstLineChars="200"/>
        <w:jc w:val="left"/>
        <w:textAlignment w:val="auto"/>
        <w:rPr>
          <w:rFonts w:ascii="宋体" w:eastAsia="宋体"/>
          <w:sz w:val="44"/>
          <w:szCs w:val="44"/>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880" w:firstLineChars="200"/>
        <w:jc w:val="center"/>
        <w:textAlignment w:val="auto"/>
        <w:outlineLvl w:val="0"/>
        <w:rPr>
          <w:rFonts w:ascii="宋体" w:eastAsia="黑体"/>
          <w:sz w:val="44"/>
          <w:szCs w:val="44"/>
        </w:rPr>
      </w:pPr>
      <w:r>
        <w:rPr>
          <w:rFonts w:ascii="宋体" w:eastAsia="黑体"/>
          <w:b w:val="0"/>
          <w:sz w:val="44"/>
          <w:szCs w:val="44"/>
        </w:rPr>
        <w:t>库尔勒市农业农村综合服务中心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880" w:firstLineChars="200"/>
        <w:jc w:val="center"/>
        <w:textAlignment w:val="auto"/>
        <w:outlineLvl w:val="0"/>
        <w:rPr>
          <w:rFonts w:ascii="黑体" w:eastAsia="黑体"/>
          <w:sz w:val="44"/>
          <w:szCs w:val="44"/>
        </w:rPr>
      </w:pPr>
      <w:r>
        <w:rPr>
          <w:rFonts w:ascii="黑体" w:eastAsia="黑体"/>
          <w:b w:val="0"/>
          <w:sz w:val="44"/>
          <w:szCs w:val="44"/>
        </w:rPr>
        <w:t>2024年度部门决算公开说明</w:t>
      </w: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center"/>
        <w:textAlignment w:val="auto"/>
        <w:rPr>
          <w:rFonts w:ascii="黑体" w:eastAsia="黑体"/>
          <w:sz w:val="32"/>
          <w:szCs w:val="32"/>
        </w:rPr>
      </w:pPr>
      <w:r>
        <w:rPr>
          <w:rFonts w:ascii="黑体" w:eastAsia="黑体"/>
          <w:b/>
          <w:sz w:val="32"/>
          <w:szCs w:val="32"/>
        </w:rPr>
        <w:t>目</w:t>
      </w:r>
      <w:r>
        <w:rPr>
          <w:rFonts w:hint="eastAsia" w:ascii="黑体" w:eastAsia="黑体"/>
          <w:b/>
          <w:sz w:val="32"/>
          <w:szCs w:val="32"/>
          <w:lang w:val="en-US" w:eastAsia="zh-CN"/>
        </w:rPr>
        <w:t xml:space="preserve">      </w:t>
      </w:r>
      <w:r>
        <w:rPr>
          <w:rFonts w:ascii="黑体" w:eastAsia="黑体"/>
          <w:b/>
          <w:sz w:val="32"/>
          <w:szCs w:val="32"/>
        </w:rPr>
        <w:t>录</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一、主要职能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（三）一般公共预算财政拨款支出决算具体情况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sz w:val="32"/>
          <w:szCs w:val="32"/>
        </w:rPr>
      </w:pPr>
      <w:r>
        <w:rPr>
          <w:rFonts w:ascii="黑体" w:eastAsia="黑体"/>
          <w:b w:val="0"/>
          <w:sz w:val="32"/>
          <w:szCs w:val="32"/>
        </w:rPr>
        <w:t>第一部分单位概况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一、主要职能</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auto"/>
          <w:kern w:val="0"/>
          <w:sz w:val="32"/>
          <w:szCs w:val="32"/>
          <w:highlight w:val="none"/>
          <w:lang w:eastAsia="zh-CN"/>
        </w:rPr>
      </w:pPr>
      <w:r>
        <w:rPr>
          <w:rFonts w:hint="eastAsia" w:ascii="仿宋" w:hAnsi="仿宋" w:eastAsia="仿宋" w:cs="Times New Roman"/>
          <w:color w:val="auto"/>
          <w:kern w:val="0"/>
          <w:sz w:val="32"/>
          <w:szCs w:val="32"/>
          <w:highlight w:val="none"/>
          <w:lang w:val="en-US" w:eastAsia="zh-CN"/>
        </w:rPr>
        <w:t>1.</w:t>
      </w:r>
      <w:r>
        <w:rPr>
          <w:rFonts w:hint="eastAsia" w:ascii="仿宋" w:hAnsi="仿宋" w:eastAsia="仿宋" w:cs="Times New Roman"/>
          <w:color w:val="auto"/>
          <w:kern w:val="0"/>
          <w:sz w:val="32"/>
          <w:szCs w:val="32"/>
          <w:highlight w:val="none"/>
          <w:lang w:eastAsia="zh-CN"/>
        </w:rPr>
        <w:t xml:space="preserve">推广种植业技术，承担农作物新品种的区域试验、 生产示范试验工作；引进和筛选推广适宜本地区种植的农作 物新品种，以筛选繁育推广棉花、小麦新品种为主，其他农 作物种子为辅。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auto"/>
          <w:kern w:val="0"/>
          <w:sz w:val="32"/>
          <w:szCs w:val="32"/>
          <w:highlight w:val="none"/>
          <w:lang w:eastAsia="zh-CN"/>
        </w:rPr>
      </w:pPr>
      <w:r>
        <w:rPr>
          <w:rFonts w:hint="eastAsia" w:ascii="仿宋" w:hAnsi="仿宋" w:eastAsia="仿宋" w:cs="Times New Roman"/>
          <w:color w:val="auto"/>
          <w:kern w:val="0"/>
          <w:sz w:val="32"/>
          <w:szCs w:val="32"/>
          <w:highlight w:val="none"/>
          <w:lang w:val="en-US" w:eastAsia="zh-CN"/>
        </w:rPr>
        <w:t>2.</w:t>
      </w:r>
      <w:r>
        <w:rPr>
          <w:rFonts w:hint="eastAsia" w:ascii="仿宋" w:hAnsi="仿宋" w:eastAsia="仿宋" w:cs="Times New Roman"/>
          <w:color w:val="auto"/>
          <w:kern w:val="0"/>
          <w:sz w:val="32"/>
          <w:szCs w:val="32"/>
          <w:highlight w:val="none"/>
          <w:lang w:eastAsia="zh-CN"/>
        </w:rPr>
        <w:t xml:space="preserve">种畜禽调查、监定、保护、管理；种畜禽质量管 理。畜禽品种改良、畜禽品种的选育、培育。畜禽品种技术 推广及培训等工作。承担畜禽改良方面的重点科研课题和项 目等工作。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auto"/>
          <w:kern w:val="0"/>
          <w:sz w:val="32"/>
          <w:szCs w:val="32"/>
          <w:highlight w:val="none"/>
          <w:lang w:eastAsia="zh-CN"/>
        </w:rPr>
      </w:pPr>
      <w:r>
        <w:rPr>
          <w:rFonts w:hint="eastAsia" w:ascii="仿宋" w:hAnsi="仿宋" w:eastAsia="仿宋" w:cs="Times New Roman"/>
          <w:color w:val="auto"/>
          <w:kern w:val="0"/>
          <w:sz w:val="32"/>
          <w:szCs w:val="32"/>
          <w:highlight w:val="none"/>
          <w:lang w:val="en-US" w:eastAsia="zh-CN"/>
        </w:rPr>
        <w:t>3.</w:t>
      </w:r>
      <w:r>
        <w:rPr>
          <w:rFonts w:hint="eastAsia" w:ascii="仿宋" w:hAnsi="仿宋" w:eastAsia="仿宋" w:cs="Times New Roman"/>
          <w:color w:val="auto"/>
          <w:kern w:val="0"/>
          <w:sz w:val="32"/>
          <w:szCs w:val="32"/>
          <w:highlight w:val="none"/>
          <w:lang w:eastAsia="zh-CN"/>
        </w:rPr>
        <w:t xml:space="preserve">拖拉机和联合收割机、大型工程机械设备（装载 机、挖掘机、推土机、铲运机、采棉机）的登记业务、年度 检验，农机安全生产宣传教育工作。拖拉机、联合收割机、 大型工程机械设备驾驶员的培训、学习、考试、结业证的发 放，提高驾驶员的社会职业素质。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auto"/>
          <w:kern w:val="0"/>
          <w:sz w:val="32"/>
          <w:szCs w:val="32"/>
          <w:highlight w:val="none"/>
          <w:lang w:eastAsia="zh-CN"/>
        </w:rPr>
      </w:pPr>
      <w:r>
        <w:rPr>
          <w:rFonts w:hint="eastAsia" w:ascii="仿宋" w:hAnsi="仿宋" w:eastAsia="仿宋" w:cs="Times New Roman"/>
          <w:color w:val="auto"/>
          <w:kern w:val="0"/>
          <w:sz w:val="32"/>
          <w:szCs w:val="32"/>
          <w:highlight w:val="none"/>
          <w:lang w:val="en-US" w:eastAsia="zh-CN"/>
        </w:rPr>
        <w:t>4.</w:t>
      </w:r>
      <w:r>
        <w:rPr>
          <w:rFonts w:hint="eastAsia" w:ascii="仿宋" w:hAnsi="仿宋" w:eastAsia="仿宋" w:cs="Times New Roman"/>
          <w:color w:val="auto"/>
          <w:kern w:val="0"/>
          <w:sz w:val="32"/>
          <w:szCs w:val="32"/>
          <w:highlight w:val="none"/>
          <w:lang w:eastAsia="zh-CN"/>
        </w:rPr>
        <w:t xml:space="preserve">编制并组织实施种业发展规划，种子行业的相关 统计，指导全市农作物种子繁育体系建设、种子信息、种子 基地建设、种子资源保护，加强农作物品种管理等工作。督 促指导种子生产及经营企业（户）健全生产档案。组织开展 种子生产、经营管理等有关人员的培训和技术交流。组织开 展种子田间检验、种子质量抽检和承担上级安排的种子质量 抽检任务。开展种子健康检验和种子质量分析工作。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color w:val="auto"/>
          <w:kern w:val="0"/>
          <w:sz w:val="32"/>
          <w:szCs w:val="32"/>
          <w:highlight w:val="none"/>
          <w:lang w:eastAsia="zh-CN"/>
        </w:rPr>
      </w:pPr>
      <w:r>
        <w:rPr>
          <w:rFonts w:hint="eastAsia" w:ascii="仿宋" w:hAnsi="仿宋" w:eastAsia="仿宋" w:cs="Times New Roman"/>
          <w:color w:val="auto"/>
          <w:kern w:val="0"/>
          <w:sz w:val="32"/>
          <w:szCs w:val="32"/>
          <w:highlight w:val="none"/>
          <w:lang w:val="en-US" w:eastAsia="zh-CN"/>
        </w:rPr>
        <w:t>5.</w:t>
      </w:r>
      <w:r>
        <w:rPr>
          <w:rFonts w:hint="eastAsia" w:ascii="仿宋" w:hAnsi="仿宋" w:eastAsia="仿宋" w:cs="Times New Roman"/>
          <w:color w:val="auto"/>
          <w:kern w:val="0"/>
          <w:sz w:val="32"/>
          <w:szCs w:val="32"/>
          <w:highlight w:val="none"/>
          <w:lang w:eastAsia="zh-CN"/>
        </w:rPr>
        <w:t xml:space="preserve">负责组织实施动物及动物产品检疫，指导养殖场 防疫、消毒、病死畜禽无害化处理，外来畜禽落地隔离观察。 负责动物检疫证、章、标志的发放与管理工作。负责全市各 种动物检疫证明的征订、发放和使用；负责动物检疫验讫印 章、检疫检验专用章的发放和使用；负责动物产品检疫专用 标志监制、发放、使用。负责动物产品质量安全技术服务。 承担全市兽药残留监控计划的组织、实施； “布鲁氏杆菌病” 抽样检测的组织、实施； “瘦肉精”、“三聚氰胺”等违禁 添加物抽样检测的组织、实施；饲料质量安全检测抽样的组 织、实施。负责动物、动物产品指定通道的检疫服务。负责 实施库尔勒市动物、动物产品指定通道调入动物及动物产品 的检疫服务，全天候对外埠进入库尔勒市动物、动物产品实 施检疫服务。负责人员培训。承担我市动物卫生服务工作中 检疫员的培训、考核和管理工作。负责组织、指导重大动物 疫情的应急处理。发生重大动物疫病疫情后，负责组织、指 导疫区封锁、染疫动物扑杀等重大动物疫情的应急处理。 </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hint="eastAsia" w:ascii="仿宋" w:hAnsi="仿宋" w:eastAsia="仿宋" w:cs="Times New Roman"/>
          <w:color w:val="auto"/>
          <w:kern w:val="0"/>
          <w:sz w:val="32"/>
          <w:szCs w:val="32"/>
          <w:highlight w:val="none"/>
          <w:lang w:val="en-US" w:eastAsia="zh-CN"/>
        </w:rPr>
        <w:t>6.</w:t>
      </w:r>
      <w:r>
        <w:rPr>
          <w:rFonts w:hint="eastAsia" w:ascii="仿宋" w:hAnsi="仿宋" w:eastAsia="仿宋" w:cs="Times New Roman"/>
          <w:color w:val="auto"/>
          <w:kern w:val="0"/>
          <w:sz w:val="32"/>
          <w:szCs w:val="32"/>
          <w:highlight w:val="none"/>
          <w:lang w:eastAsia="zh-CN"/>
        </w:rPr>
        <w:t>完成市农业农村局交办的其他任务。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二、机构设置及人员情况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库尔勒市农业农村综合服务中心2024年度，实有人数67人，其中：在职人员4</w:t>
      </w:r>
      <w:r>
        <w:rPr>
          <w:rFonts w:hint="eastAsia" w:ascii="仿宋_GB2312" w:eastAsia="仿宋_GB2312"/>
          <w:b w:val="0"/>
          <w:sz w:val="32"/>
          <w:szCs w:val="32"/>
          <w:lang w:val="en-US" w:eastAsia="zh-CN"/>
        </w:rPr>
        <w:t>3</w:t>
      </w:r>
      <w:r>
        <w:rPr>
          <w:rFonts w:ascii="仿宋_GB2312" w:eastAsia="仿宋_GB2312"/>
          <w:b w:val="0"/>
          <w:sz w:val="32"/>
          <w:szCs w:val="32"/>
        </w:rPr>
        <w:t>人，</w:t>
      </w:r>
      <w:r>
        <w:rPr>
          <w:rFonts w:hint="eastAsia" w:ascii="仿宋_GB2312" w:eastAsia="仿宋_GB2312"/>
          <w:b w:val="0"/>
          <w:sz w:val="32"/>
          <w:szCs w:val="32"/>
          <w:lang w:val="en-US" w:eastAsia="zh-CN"/>
        </w:rPr>
        <w:t>减少5人</w:t>
      </w:r>
      <w:r>
        <w:rPr>
          <w:rFonts w:ascii="仿宋_GB2312" w:eastAsia="仿宋_GB2312"/>
          <w:b w:val="0"/>
          <w:sz w:val="32"/>
          <w:szCs w:val="32"/>
        </w:rPr>
        <w:t>；离休人员0人，较上年无变化；退休人员2</w:t>
      </w:r>
      <w:r>
        <w:rPr>
          <w:rFonts w:hint="eastAsia" w:ascii="仿宋_GB2312" w:eastAsia="仿宋_GB2312"/>
          <w:b w:val="0"/>
          <w:sz w:val="32"/>
          <w:szCs w:val="32"/>
          <w:lang w:val="en-US" w:eastAsia="zh-CN"/>
        </w:rPr>
        <w:t>4</w:t>
      </w:r>
      <w:r>
        <w:rPr>
          <w:rFonts w:ascii="仿宋_GB2312" w:eastAsia="仿宋_GB2312"/>
          <w:b w:val="0"/>
          <w:sz w:val="32"/>
          <w:szCs w:val="32"/>
        </w:rPr>
        <w:t>人，增加5人。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库尔勒市农业农村综合服务中心无下属预算单位，下设</w:t>
      </w:r>
      <w:r>
        <w:rPr>
          <w:rFonts w:hint="eastAsia" w:ascii="仿宋_GB2312" w:eastAsia="仿宋_GB2312"/>
          <w:b w:val="0"/>
          <w:sz w:val="32"/>
          <w:szCs w:val="32"/>
          <w:lang w:val="en-US" w:eastAsia="zh-CN"/>
        </w:rPr>
        <w:t>6</w:t>
      </w:r>
      <w:r>
        <w:rPr>
          <w:rFonts w:ascii="仿宋_GB2312" w:eastAsia="仿宋_GB2312"/>
          <w:b w:val="0"/>
          <w:sz w:val="32"/>
          <w:szCs w:val="32"/>
        </w:rPr>
        <w:t>个</w:t>
      </w:r>
      <w:r>
        <w:rPr>
          <w:rFonts w:hint="eastAsia" w:ascii="仿宋" w:hAnsi="仿宋" w:eastAsia="仿宋" w:cs="Times New Roman"/>
          <w:color w:val="auto"/>
          <w:kern w:val="0"/>
          <w:sz w:val="32"/>
          <w:szCs w:val="32"/>
          <w:highlight w:val="none"/>
          <w:lang w:eastAsia="zh-CN"/>
        </w:rPr>
        <w:t>处室</w:t>
      </w:r>
      <w:r>
        <w:rPr>
          <w:rFonts w:ascii="仿宋_GB2312" w:eastAsia="仿宋_GB2312"/>
          <w:b w:val="0"/>
          <w:sz w:val="32"/>
          <w:szCs w:val="32"/>
        </w:rPr>
        <w:t>，分别是：</w:t>
      </w:r>
      <w:r>
        <w:rPr>
          <w:rFonts w:hint="eastAsia" w:ascii="仿宋" w:hAnsi="仿宋" w:eastAsia="仿宋" w:cs="Times New Roman"/>
          <w:color w:val="auto"/>
          <w:kern w:val="0"/>
          <w:sz w:val="32"/>
          <w:szCs w:val="32"/>
          <w:highlight w:val="none"/>
          <w:lang w:eastAsia="zh-CN"/>
        </w:rPr>
        <w:t>综合办公室、良繁服务股、畜禽改良服务股、农业机械服务股、种子管理服务股、动物卫生服务股</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sz w:val="32"/>
          <w:szCs w:val="32"/>
        </w:rPr>
      </w:pPr>
      <w:r>
        <w:rPr>
          <w:rFonts w:ascii="黑体" w:eastAsia="黑体"/>
          <w:b w:val="0"/>
          <w:sz w:val="32"/>
          <w:szCs w:val="32"/>
        </w:rPr>
        <w:t>第二部分部门决算情况说明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一、收入支出决算总体情况说明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2024年度收入总计870.83万元，其中：本年收入合计870.83万元，使用非财政拨款结余（含专用结余）0.00万元，年初结转和结余0.00万元。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2024年度支出总计870.83万元，其中：本年支出合计870.83万元，结余分配0.00万元，年末结转和结余0.00万元。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收入支出总体与上年相比，增加55.59万元，增长6.82%，主要原因是：</w:t>
      </w:r>
      <w:r>
        <w:rPr>
          <w:rFonts w:hint="eastAsia" w:ascii="仿宋_GB2312" w:eastAsia="仿宋_GB2312"/>
          <w:b w:val="0"/>
          <w:sz w:val="32"/>
          <w:szCs w:val="32"/>
          <w:lang w:val="en-US" w:eastAsia="zh-CN"/>
        </w:rPr>
        <w:t>上级</w:t>
      </w:r>
      <w:r>
        <w:rPr>
          <w:rFonts w:hint="eastAsia" w:ascii="仿宋_GB2312" w:eastAsia="仿宋_GB2312"/>
          <w:color w:val="auto"/>
          <w:spacing w:val="0"/>
          <w:sz w:val="32"/>
          <w:szCs w:val="32"/>
          <w:highlight w:val="none"/>
          <w:lang w:val="en-US" w:eastAsia="zh-CN"/>
        </w:rPr>
        <w:t>项目经费拨款增加，支出增加</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二、收入决算情况说明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本年收入870.83万元，其中：财政拨款收入870.83万元,占100.00%；上级补助收入0.00万元,占0.00%；事业收入0.00万元，占0.00%；经营收入0.00万元,占0.00%；附属单位上缴收入0.00万元，占0.00%；其他收入0.00万元，占0.00%。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三、支出决算情况说明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本年支出870.83万元，其中：基本支出808.83万元，占92.88%；项目支出62.00万元，占7.12%；上缴上级支出0.00万元，占0.00%；经营支出0.00万元，占0.00%；对附属单位补助支出0.00万元，占0.00%。</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四、财政拨款收入支出决算总体情况说明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2024年度财政拨款收入总计870.83万元，其中：年初财政拨款结转和结余0.00万元，本年财政拨款收入870.83万元。财政拨款支出总计870.83万元，其中：年末财政拨款结转和结余0.00万元，本年财政拨款支出870.83万元。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财政拨款收入支出总体与上年相比，增加55.59万元，增长6.82%，主要原因是：</w:t>
      </w:r>
      <w:r>
        <w:rPr>
          <w:rFonts w:hint="eastAsia" w:ascii="仿宋_GB2312" w:eastAsia="仿宋_GB2312"/>
          <w:b w:val="0"/>
          <w:sz w:val="32"/>
          <w:szCs w:val="32"/>
          <w:lang w:val="en-US" w:eastAsia="zh-CN"/>
        </w:rPr>
        <w:t>上级</w:t>
      </w:r>
      <w:r>
        <w:rPr>
          <w:rFonts w:hint="eastAsia" w:ascii="仿宋_GB2312" w:eastAsia="仿宋_GB2312"/>
          <w:color w:val="auto"/>
          <w:spacing w:val="0"/>
          <w:sz w:val="32"/>
          <w:szCs w:val="32"/>
          <w:highlight w:val="none"/>
          <w:lang w:val="en-US" w:eastAsia="zh-CN"/>
        </w:rPr>
        <w:t>项目经费拨款增加，支出增加</w:t>
      </w:r>
      <w:r>
        <w:rPr>
          <w:rFonts w:ascii="仿宋_GB2312" w:eastAsia="仿宋_GB2312"/>
          <w:b w:val="0"/>
          <w:sz w:val="32"/>
          <w:szCs w:val="32"/>
        </w:rPr>
        <w:t>。与年初预算相比，年初预算数923.62万元，决算数870.83万元，预决算差异率-5.72%，主要原因是：</w:t>
      </w:r>
      <w:r>
        <w:rPr>
          <w:rFonts w:hint="eastAsia" w:ascii="仿宋_GB2312" w:eastAsia="仿宋_GB2312"/>
          <w:b w:val="0"/>
          <w:sz w:val="32"/>
          <w:szCs w:val="32"/>
          <w:lang w:val="en-US" w:eastAsia="zh-CN"/>
        </w:rPr>
        <w:t>年初安排</w:t>
      </w:r>
      <w:r>
        <w:rPr>
          <w:rFonts w:ascii="仿宋_GB2312" w:eastAsia="仿宋_GB2312"/>
          <w:b w:val="0"/>
          <w:sz w:val="32"/>
          <w:szCs w:val="32"/>
        </w:rPr>
        <w:t>上年结转结余</w:t>
      </w:r>
      <w:r>
        <w:rPr>
          <w:rFonts w:hint="eastAsia" w:ascii="仿宋_GB2312" w:eastAsia="仿宋_GB2312"/>
          <w:b w:val="0"/>
          <w:sz w:val="32"/>
          <w:szCs w:val="32"/>
          <w:lang w:val="en-US" w:eastAsia="zh-CN"/>
        </w:rPr>
        <w:t>-农业生产发展本年未实施；本年新增5人退休，在职减少5人，导致在职人员工资、社保缴费、住房公积金、公务运行等经费相应减少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五、一般公共预算财政拨款支出决算情况说明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（一）一般公共预算财政拨款支出决算总体情况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2024年度一般公共预算财政拨款支出870.83万元，占本年支出合计的100.00%。与上年相比，增加55.59万元，增长6.82%，主要原因是：</w:t>
      </w:r>
      <w:r>
        <w:rPr>
          <w:rFonts w:hint="eastAsia" w:ascii="仿宋_GB2312" w:eastAsia="仿宋_GB2312"/>
          <w:b w:val="0"/>
          <w:sz w:val="32"/>
          <w:szCs w:val="32"/>
          <w:lang w:val="en-US" w:eastAsia="zh-CN"/>
        </w:rPr>
        <w:t>上级拨入专项经费比上年增加</w:t>
      </w:r>
      <w:r>
        <w:rPr>
          <w:rFonts w:ascii="仿宋_GB2312" w:eastAsia="仿宋_GB2312"/>
          <w:b w:val="0"/>
          <w:sz w:val="32"/>
          <w:szCs w:val="32"/>
        </w:rPr>
        <w:t>。与年初预算相比，年初预算数923.62万元，决算数870.83万元，预决算差异率-5.72%，主要原因是：</w:t>
      </w:r>
      <w:r>
        <w:rPr>
          <w:rFonts w:hint="eastAsia" w:ascii="仿宋_GB2312" w:eastAsia="仿宋_GB2312"/>
          <w:b w:val="0"/>
          <w:sz w:val="32"/>
          <w:szCs w:val="32"/>
          <w:lang w:val="en-US" w:eastAsia="zh-CN"/>
        </w:rPr>
        <w:t>年初安排</w:t>
      </w:r>
      <w:r>
        <w:rPr>
          <w:rFonts w:ascii="仿宋_GB2312" w:eastAsia="仿宋_GB2312"/>
          <w:b w:val="0"/>
          <w:sz w:val="32"/>
          <w:szCs w:val="32"/>
        </w:rPr>
        <w:t>上年结转结余</w:t>
      </w:r>
      <w:r>
        <w:rPr>
          <w:rFonts w:hint="eastAsia" w:ascii="仿宋_GB2312" w:eastAsia="仿宋_GB2312"/>
          <w:b w:val="0"/>
          <w:sz w:val="32"/>
          <w:szCs w:val="32"/>
          <w:lang w:val="en-US" w:eastAsia="zh-CN"/>
        </w:rPr>
        <w:t>-农业生产发展本年未实施；本年新增5人退休，在职减少5人，导致在职人员工资、社保缴费、住房公积金、公务运行等经费相应减少</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（二）一般公共预算财政拨款支出决算结构情况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农林水支出（类）860.83万元，占98.85%。</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其他支出（类）10.00万元，占1.15%。</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教育支出（类）进修及培训（款）培训支出（项）：支出决算数为0.00万元，比上年决算减少3.45万元，下降100.00%，主要原因是：</w:t>
      </w:r>
      <w:r>
        <w:rPr>
          <w:rFonts w:hint="eastAsia" w:ascii="仿宋_GB2312" w:eastAsia="仿宋_GB2312"/>
          <w:b w:val="0"/>
          <w:sz w:val="32"/>
          <w:szCs w:val="32"/>
          <w:lang w:val="en-US" w:eastAsia="zh-CN"/>
        </w:rPr>
        <w:t>上年培训费在单独科目列支，本年调入“事业运行科目”列支。</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社会保障和就业支出（类）行政事业单位养老支出（款）事业单位离退休（项）：支出决算数为0.00万元，比上年决算减少7.07万元，下降100.00%，主要原因是：</w:t>
      </w:r>
      <w:r>
        <w:rPr>
          <w:rFonts w:hint="eastAsia" w:ascii="仿宋_GB2312" w:eastAsia="仿宋_GB2312"/>
          <w:b w:val="0"/>
          <w:sz w:val="32"/>
          <w:szCs w:val="32"/>
          <w:lang w:val="en-US" w:eastAsia="zh-CN"/>
        </w:rPr>
        <w:t>上年退休费在单独科目列支，本年调入“事业运行科目”列支，导致</w:t>
      </w:r>
      <w:r>
        <w:rPr>
          <w:rFonts w:ascii="仿宋_GB2312" w:eastAsia="仿宋_GB2312"/>
          <w:b w:val="0"/>
          <w:sz w:val="32"/>
          <w:szCs w:val="32"/>
        </w:rPr>
        <w:t>事业单位离退休</w:t>
      </w:r>
      <w:r>
        <w:rPr>
          <w:rFonts w:hint="eastAsia" w:ascii="仿宋_GB2312" w:eastAsia="仿宋_GB2312"/>
          <w:b w:val="0"/>
          <w:sz w:val="32"/>
          <w:szCs w:val="32"/>
          <w:lang w:val="en-US" w:eastAsia="zh-CN"/>
        </w:rPr>
        <w:t>支出比上年下降。</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农林水支出（类）农业农村（款）事业运行（项）：支出决算数为798.83万元，比上年决算减少0.99万元，下降0.12%，主要原因是：</w:t>
      </w:r>
      <w:r>
        <w:rPr>
          <w:rFonts w:hint="eastAsia" w:ascii="仿宋_GB2312" w:eastAsia="仿宋_GB2312"/>
          <w:b w:val="0"/>
          <w:sz w:val="32"/>
          <w:szCs w:val="32"/>
          <w:lang w:val="en-US" w:eastAsia="zh-CN"/>
        </w:rPr>
        <w:t>本年新增5人退休，在职减少5人，导致在职人员工资、社保缴费、住房公积金、公务运行等经费相应减少。</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农林水支出（类）农业农村（款）病虫害控制（项）：支出决算数为27.00万元，比上年决算增加27.00万元，增长100.00%，主要原因是：</w:t>
      </w:r>
      <w:r>
        <w:rPr>
          <w:rFonts w:hint="eastAsia" w:ascii="仿宋_GB2312" w:eastAsia="仿宋_GB2312"/>
          <w:b w:val="0"/>
          <w:sz w:val="32"/>
          <w:szCs w:val="32"/>
          <w:lang w:val="en-US" w:eastAsia="zh-CN"/>
        </w:rPr>
        <w:t>上级拨入动物防疫项目经费</w:t>
      </w:r>
      <w:r>
        <w:rPr>
          <w:rFonts w:ascii="仿宋_GB2312" w:eastAsia="仿宋_GB2312"/>
          <w:b w:val="0"/>
          <w:sz w:val="32"/>
          <w:szCs w:val="32"/>
        </w:rPr>
        <w:t>比上年</w:t>
      </w:r>
      <w:r>
        <w:rPr>
          <w:rFonts w:hint="eastAsia" w:ascii="仿宋_GB2312" w:eastAsia="仿宋_GB2312"/>
          <w:b w:val="0"/>
          <w:sz w:val="32"/>
          <w:szCs w:val="32"/>
          <w:lang w:val="en-US" w:eastAsia="zh-CN"/>
        </w:rPr>
        <w:t>增加。</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ascii="仿宋_GB2312" w:eastAsia="仿宋_GB2312"/>
          <w:sz w:val="32"/>
          <w:szCs w:val="32"/>
        </w:rPr>
      </w:pPr>
      <w:r>
        <w:rPr>
          <w:rFonts w:ascii="仿宋_GB2312" w:eastAsia="仿宋_GB2312"/>
          <w:b w:val="0"/>
          <w:sz w:val="32"/>
          <w:szCs w:val="32"/>
        </w:rPr>
        <w:t>农林水支出（类）农业农村（款）农业生产发展（项）：支出决算数为35.00万元，比上年决算增加30.10万元，增长614.29%，主要原因是：</w:t>
      </w:r>
      <w:r>
        <w:rPr>
          <w:rFonts w:hint="eastAsia" w:ascii="仿宋_GB2312" w:eastAsia="仿宋_GB2312"/>
          <w:b w:val="0"/>
          <w:sz w:val="32"/>
          <w:szCs w:val="32"/>
          <w:lang w:val="en-US" w:eastAsia="zh-CN"/>
        </w:rPr>
        <w:t>上级拨入农业生产发展项目经费</w:t>
      </w:r>
      <w:r>
        <w:rPr>
          <w:rFonts w:ascii="仿宋_GB2312" w:eastAsia="仿宋_GB2312"/>
          <w:b w:val="0"/>
          <w:sz w:val="32"/>
          <w:szCs w:val="32"/>
        </w:rPr>
        <w:t>比上年</w:t>
      </w:r>
      <w:r>
        <w:rPr>
          <w:rFonts w:hint="eastAsia" w:ascii="仿宋_GB2312" w:eastAsia="仿宋_GB2312"/>
          <w:b w:val="0"/>
          <w:sz w:val="32"/>
          <w:szCs w:val="32"/>
          <w:lang w:val="en-US" w:eastAsia="zh-CN"/>
        </w:rPr>
        <w:t>增加。</w:t>
      </w:r>
    </w:p>
    <w:p>
      <w:pPr>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default" w:ascii="仿宋_GB2312" w:eastAsia="仿宋_GB2312"/>
          <w:sz w:val="32"/>
          <w:szCs w:val="32"/>
          <w:lang w:val="en-US" w:eastAsia="zh-CN"/>
        </w:rPr>
      </w:pPr>
      <w:r>
        <w:rPr>
          <w:rFonts w:ascii="仿宋_GB2312" w:eastAsia="仿宋_GB2312"/>
          <w:b w:val="0"/>
          <w:sz w:val="32"/>
          <w:szCs w:val="32"/>
        </w:rPr>
        <w:t>其他支出（类）其他支出（款）其他支出（项）：支出决算数为10.00万元，比上年决算增加10.00万元，增长100.00%，主要原因是：</w:t>
      </w:r>
      <w:r>
        <w:rPr>
          <w:rFonts w:hint="eastAsia" w:ascii="仿宋_GB2312" w:eastAsia="仿宋_GB2312"/>
          <w:b w:val="0"/>
          <w:sz w:val="32"/>
          <w:szCs w:val="32"/>
          <w:lang w:val="en-US" w:eastAsia="zh-CN"/>
        </w:rPr>
        <w:t>本年新增“为民办实事”专项经费拨款。</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六、一般公共预算财政拨款基本支出决算情况说明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一般公共预算财政拨款基本支出808.83万元，其中：人员经费769.62万元，包括：基本工资、津贴补贴、奖金、机关事业单位基本养老保险缴费、职业年金缴费、职工基本医疗保险缴费、公务员医疗补助缴费、其他社会保障缴费、住房公积金、医疗费、其他工资福利支出、退休费和抚恤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公用经费39.21万元，包括：办公费、手续费、水费、电费、邮电费、物业管理费、维修（护）费、培训费、专用材料费、劳务费、工会经费、福利费和公务用车运行维护费。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七、政府性基金预算财政拨款收入支出决算情况说明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八、国有资本经营预算财政拨款收入支出决算情况说明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九、财政拨款“三公”经费支出决算情况说明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2024年度财政拨款“三公”经费支出6.76万元，比上年增加0.50万元，增长7.99%，主要原因是：</w:t>
      </w:r>
      <w:r>
        <w:rPr>
          <w:rFonts w:hint="eastAsia" w:ascii="仿宋_GB2312" w:eastAsia="仿宋_GB2312"/>
          <w:b w:val="0"/>
          <w:sz w:val="32"/>
          <w:szCs w:val="32"/>
          <w:lang w:val="en-US" w:eastAsia="zh-CN"/>
        </w:rPr>
        <w:t>车辆使用时间长，损毁严重，维修费比上年略增</w:t>
      </w:r>
      <w:r>
        <w:rPr>
          <w:rFonts w:ascii="仿宋_GB2312" w:eastAsia="仿宋_GB2312"/>
          <w:b w:val="0"/>
          <w:sz w:val="32"/>
          <w:szCs w:val="32"/>
        </w:rPr>
        <w:t>。其中：因公出国（境）费支出0.00万元,占0.00%，与上年相比无变化，主要原因是：</w:t>
      </w:r>
      <w:r>
        <w:rPr>
          <w:rFonts w:hint="eastAsia" w:ascii="仿宋_GB2312" w:eastAsia="仿宋_GB2312"/>
          <w:b w:val="0"/>
          <w:sz w:val="32"/>
          <w:szCs w:val="32"/>
          <w:lang w:val="en-US" w:eastAsia="zh-CN"/>
        </w:rPr>
        <w:t>我单位无</w:t>
      </w:r>
      <w:r>
        <w:rPr>
          <w:rFonts w:ascii="仿宋_GB2312" w:eastAsia="仿宋_GB2312"/>
          <w:b w:val="0"/>
          <w:sz w:val="32"/>
          <w:szCs w:val="32"/>
        </w:rPr>
        <w:t>因公出国（境）费支出；公务用车购置及运行维护费支出6.76万元，占100.00%，比上年增加0.50万元，增长7.99%，主要原因是：</w:t>
      </w:r>
      <w:r>
        <w:rPr>
          <w:rFonts w:hint="eastAsia" w:ascii="仿宋_GB2312" w:eastAsia="仿宋_GB2312"/>
          <w:b w:val="0"/>
          <w:sz w:val="32"/>
          <w:szCs w:val="32"/>
          <w:lang w:val="en-US" w:eastAsia="zh-CN"/>
        </w:rPr>
        <w:t>车辆使用时间长，损毁严重，维修费比上年略增</w:t>
      </w:r>
      <w:r>
        <w:rPr>
          <w:rFonts w:ascii="仿宋_GB2312" w:eastAsia="仿宋_GB2312"/>
          <w:b w:val="0"/>
          <w:sz w:val="32"/>
          <w:szCs w:val="32"/>
        </w:rPr>
        <w:t>；公务接待费支出0.00万元，占0.00%，与上年相比无变化，主要原因是：</w:t>
      </w:r>
      <w:r>
        <w:rPr>
          <w:rFonts w:hint="eastAsia" w:ascii="仿宋_GB2312" w:eastAsia="仿宋_GB2312"/>
          <w:b w:val="0"/>
          <w:sz w:val="32"/>
          <w:szCs w:val="32"/>
          <w:lang w:val="en-US" w:eastAsia="zh-CN"/>
        </w:rPr>
        <w:t>我单位无</w:t>
      </w:r>
      <w:r>
        <w:rPr>
          <w:rFonts w:ascii="仿宋_GB2312" w:eastAsia="仿宋_GB2312"/>
          <w:b w:val="0"/>
          <w:sz w:val="32"/>
          <w:szCs w:val="32"/>
        </w:rPr>
        <w:t>公务接待费支出。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r>
        <w:rPr>
          <w:rFonts w:ascii="仿宋_GB2312" w:eastAsia="仿宋_GB2312"/>
          <w:b w:val="0"/>
          <w:sz w:val="32"/>
          <w:szCs w:val="32"/>
        </w:rPr>
        <w:t>具体情况如下：</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因公出国（境）费支出0.00万元，开支内容包括。单位全年安排的因公出国（境）团组0个，因公出国（境）0人次。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公务用车购置及运行维护费6.76万元，其中：公务用车购置费0.00万元，公务用车运行维护费6.76万元。公务用车运行维护费开支内容包括</w:t>
      </w:r>
      <w:r>
        <w:rPr>
          <w:rFonts w:hint="eastAsia" w:ascii="仿宋_GB2312" w:eastAsia="仿宋_GB2312"/>
          <w:b w:val="0"/>
          <w:sz w:val="32"/>
          <w:szCs w:val="32"/>
          <w:lang w:eastAsia="zh-CN"/>
        </w:rPr>
        <w:t>：</w:t>
      </w:r>
      <w:r>
        <w:rPr>
          <w:rFonts w:hint="eastAsia" w:ascii="仿宋_GB2312" w:eastAsia="仿宋_GB2312"/>
          <w:color w:val="auto"/>
          <w:sz w:val="32"/>
          <w:szCs w:val="32"/>
          <w:highlight w:val="none"/>
          <w:lang w:val="zh-CN" w:eastAsia="zh-CN"/>
        </w:rPr>
        <w:t>车辆保险费、车辆燃料费、车辆维修费</w:t>
      </w:r>
      <w:r>
        <w:rPr>
          <w:rFonts w:ascii="仿宋_GB2312" w:eastAsia="仿宋_GB2312"/>
          <w:b w:val="0"/>
          <w:sz w:val="32"/>
          <w:szCs w:val="32"/>
        </w:rPr>
        <w:t>。公务用车购置数0辆，公务用车保有量4辆。国有资产占用情况中固定资产车辆8辆，与公务用车保有量差异原因是：</w:t>
      </w:r>
      <w:r>
        <w:rPr>
          <w:rFonts w:hint="eastAsia" w:ascii="仿宋_GB2312" w:eastAsia="仿宋_GB2312"/>
          <w:color w:val="auto"/>
          <w:sz w:val="32"/>
          <w:szCs w:val="32"/>
          <w:highlight w:val="none"/>
          <w:lang w:val="zh-CN" w:eastAsia="zh-CN"/>
        </w:rPr>
        <w:t>固定资产车辆与公务用车保有量无差异</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公务接待费0.00万元，开支内容包括。单位全年安排的国内公务接待0批次，0人次。</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与全年预算相比，财政拨款“三公”经费支出全年预算数6.76万元，决算数6.76万元，预决算差异率0.00%，主要原因是：</w:t>
      </w:r>
      <w:r>
        <w:rPr>
          <w:rFonts w:hint="eastAsia" w:ascii="仿宋_GB2312" w:eastAsia="仿宋_GB2312"/>
          <w:b w:val="0"/>
          <w:sz w:val="32"/>
          <w:szCs w:val="32"/>
          <w:lang w:val="en-US" w:eastAsia="zh-CN"/>
        </w:rPr>
        <w:t>车辆使用时间长，损毁严重，维修费比上年略增</w:t>
      </w:r>
      <w:r>
        <w:rPr>
          <w:rFonts w:ascii="仿宋_GB2312" w:eastAsia="仿宋_GB2312"/>
          <w:b w:val="0"/>
          <w:sz w:val="32"/>
          <w:szCs w:val="32"/>
        </w:rPr>
        <w:t>。其中：因公出国（境）费全年预算数0.00万元，决算数0.00万元，预决算差异率0.00%，主要原因是：</w:t>
      </w:r>
      <w:r>
        <w:rPr>
          <w:rFonts w:hint="eastAsia" w:ascii="仿宋_GB2312" w:eastAsia="仿宋_GB2312"/>
          <w:b w:val="0"/>
          <w:sz w:val="32"/>
          <w:szCs w:val="32"/>
          <w:lang w:val="en-US" w:eastAsia="zh-CN"/>
        </w:rPr>
        <w:t>我单位无</w:t>
      </w:r>
      <w:r>
        <w:rPr>
          <w:rFonts w:ascii="仿宋_GB2312" w:eastAsia="仿宋_GB2312"/>
          <w:b w:val="0"/>
          <w:sz w:val="32"/>
          <w:szCs w:val="32"/>
        </w:rPr>
        <w:t>因公出国（境）费</w:t>
      </w:r>
      <w:r>
        <w:rPr>
          <w:rFonts w:hint="eastAsia" w:ascii="仿宋_GB2312" w:eastAsia="仿宋_GB2312"/>
          <w:b w:val="0"/>
          <w:sz w:val="32"/>
          <w:szCs w:val="32"/>
          <w:lang w:val="en-US" w:eastAsia="zh-CN"/>
        </w:rPr>
        <w:t>支出</w:t>
      </w:r>
      <w:r>
        <w:rPr>
          <w:rFonts w:ascii="仿宋_GB2312" w:eastAsia="仿宋_GB2312"/>
          <w:b w:val="0"/>
          <w:sz w:val="32"/>
          <w:szCs w:val="32"/>
        </w:rPr>
        <w:t>。公务用车购置费全年预算数0.00万元，决算数0.00万元，预决算差异率0.00%，主要原因是：</w:t>
      </w:r>
      <w:r>
        <w:rPr>
          <w:rFonts w:hint="eastAsia" w:ascii="仿宋_GB2312" w:eastAsia="仿宋_GB2312"/>
          <w:b w:val="0"/>
          <w:sz w:val="32"/>
          <w:szCs w:val="32"/>
          <w:lang w:val="en-US" w:eastAsia="zh-CN"/>
        </w:rPr>
        <w:t>我单位无</w:t>
      </w:r>
      <w:r>
        <w:rPr>
          <w:rFonts w:ascii="仿宋_GB2312" w:eastAsia="仿宋_GB2312"/>
          <w:b w:val="0"/>
          <w:sz w:val="32"/>
          <w:szCs w:val="32"/>
        </w:rPr>
        <w:t>公务用车购置费</w:t>
      </w:r>
      <w:r>
        <w:rPr>
          <w:rFonts w:hint="eastAsia" w:ascii="仿宋_GB2312" w:eastAsia="仿宋_GB2312"/>
          <w:b w:val="0"/>
          <w:sz w:val="32"/>
          <w:szCs w:val="32"/>
          <w:lang w:val="en-US" w:eastAsia="zh-CN"/>
        </w:rPr>
        <w:t>支出</w:t>
      </w:r>
      <w:r>
        <w:rPr>
          <w:rFonts w:ascii="仿宋_GB2312" w:eastAsia="仿宋_GB2312"/>
          <w:b w:val="0"/>
          <w:sz w:val="32"/>
          <w:szCs w:val="32"/>
        </w:rPr>
        <w:t>。公务用车运行维护费全年预算数6.76万元，决算数6.76万元，预决算差异率0.00%，主要原因是：</w:t>
      </w:r>
      <w:r>
        <w:rPr>
          <w:rFonts w:hint="eastAsia" w:ascii="仿宋_GB2312" w:hAnsi="Times New Roman" w:eastAsia="仿宋_GB2312" w:cs="Times New Roman"/>
          <w:color w:val="auto"/>
          <w:sz w:val="32"/>
          <w:szCs w:val="32"/>
          <w:highlight w:val="none"/>
          <w:lang w:val="en-US" w:eastAsia="zh-CN"/>
        </w:rPr>
        <w:t>预决算无差异</w:t>
      </w:r>
      <w:r>
        <w:rPr>
          <w:rFonts w:ascii="仿宋_GB2312" w:eastAsia="仿宋_GB2312"/>
          <w:b w:val="0"/>
          <w:sz w:val="32"/>
          <w:szCs w:val="32"/>
        </w:rPr>
        <w:t>。公务接待费全年预算数0.00万元，决算数0.00万元，预决算差异率0.00%，主要原因是：</w:t>
      </w:r>
      <w:r>
        <w:rPr>
          <w:rFonts w:hint="eastAsia" w:ascii="仿宋_GB2312" w:eastAsia="仿宋_GB2312"/>
          <w:b w:val="0"/>
          <w:sz w:val="32"/>
          <w:szCs w:val="32"/>
          <w:lang w:val="en-US" w:eastAsia="zh-CN"/>
        </w:rPr>
        <w:t>我单位无</w:t>
      </w:r>
      <w:r>
        <w:rPr>
          <w:rFonts w:ascii="仿宋_GB2312" w:eastAsia="仿宋_GB2312"/>
          <w:b w:val="0"/>
          <w:sz w:val="32"/>
          <w:szCs w:val="32"/>
        </w:rPr>
        <w:t>公务接待费</w:t>
      </w:r>
      <w:r>
        <w:rPr>
          <w:rFonts w:hint="eastAsia" w:ascii="仿宋_GB2312" w:eastAsia="仿宋_GB2312"/>
          <w:b w:val="0"/>
          <w:sz w:val="32"/>
          <w:szCs w:val="32"/>
          <w:lang w:val="en-US" w:eastAsia="zh-CN"/>
        </w:rPr>
        <w:t>支出</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十、其他重要事项的情况说明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（一）机关运行经费及公用经费支出情况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2024年度公用经费支出39.21万元，比上年增加17.65万元，增长81.86%，主要原因是：</w:t>
      </w:r>
      <w:r>
        <w:rPr>
          <w:rFonts w:hint="eastAsia" w:ascii="仿宋_GB2312" w:eastAsia="仿宋_GB2312"/>
          <w:b w:val="0"/>
          <w:sz w:val="32"/>
          <w:szCs w:val="32"/>
          <w:lang w:val="en-US" w:eastAsia="zh-CN"/>
        </w:rPr>
        <w:t>上级拨入项目经费</w:t>
      </w:r>
      <w:r>
        <w:rPr>
          <w:rFonts w:ascii="仿宋_GB2312" w:eastAsia="仿宋_GB2312"/>
          <w:b w:val="0"/>
          <w:sz w:val="32"/>
          <w:szCs w:val="32"/>
        </w:rPr>
        <w:t>公用经费支出</w:t>
      </w:r>
      <w:r>
        <w:rPr>
          <w:rFonts w:hint="eastAsia" w:ascii="仿宋_GB2312" w:eastAsia="仿宋_GB2312"/>
          <w:b w:val="0"/>
          <w:sz w:val="32"/>
          <w:szCs w:val="32"/>
          <w:lang w:val="en-US" w:eastAsia="zh-CN"/>
        </w:rPr>
        <w:t>比上年增加，如购买动物检疫瘦肉精检测试剂卡等</w:t>
      </w:r>
      <w:r>
        <w:rPr>
          <w:rFonts w:ascii="仿宋_GB2312" w:eastAsia="仿宋_GB2312"/>
          <w:b w:val="0"/>
          <w:sz w:val="32"/>
          <w:szCs w:val="32"/>
        </w:rPr>
        <w:t>。</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（二）政府采购情况</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2024年度政府采购支出总额5.57万元，其中：政府采购货物支出2.58万元、政府采购工程支出0.00万元、政府采购服务支出2.99万元。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授予中小企业合同金额5.57万元，占政府采购支出总额的100.00%，其中：授予小微企业合同金额4.29万元，占政府采购支出总额的77.02%。</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outlineLvl w:val="2"/>
        <w:rPr>
          <w:rFonts w:ascii="仿宋_GB2312" w:eastAsia="仿宋_GB2312"/>
          <w:sz w:val="32"/>
          <w:szCs w:val="32"/>
        </w:rPr>
      </w:pPr>
      <w:r>
        <w:rPr>
          <w:rFonts w:ascii="仿宋_GB2312" w:eastAsia="仿宋_GB2312"/>
          <w:b/>
          <w:sz w:val="32"/>
          <w:szCs w:val="32"/>
        </w:rPr>
        <w:t>（三）国有资产占用情况说明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截至2024年12月31日，房屋3,499.23平方米，价值66.01万元。车辆8辆，价值121.92万元，其中：副部（省）级及以上领导用车0辆、主要负责人用车0辆、机要通信用车0辆、应急保障用车0辆、执法执勤用车0辆、特种专业技术用车0辆、离退休干部服务用车0辆、其他用车8辆，其他用车主要是：</w:t>
      </w:r>
      <w:r>
        <w:rPr>
          <w:rFonts w:hint="eastAsia" w:ascii="仿宋_GB2312" w:hAnsi="Times New Roman" w:eastAsia="仿宋_GB2312" w:cs="Times New Roman"/>
          <w:color w:val="auto"/>
          <w:sz w:val="32"/>
          <w:szCs w:val="32"/>
          <w:highlight w:val="none"/>
          <w:lang w:eastAsia="zh-CN"/>
        </w:rPr>
        <w:t>畜产品质量检验检测、农机监测等</w:t>
      </w:r>
      <w:r>
        <w:rPr>
          <w:rFonts w:hint="eastAsia" w:ascii="仿宋_GB2312" w:hAnsi="Times New Roman" w:eastAsia="仿宋_GB2312" w:cs="Times New Roman"/>
          <w:color w:val="auto"/>
          <w:sz w:val="32"/>
          <w:szCs w:val="32"/>
          <w:highlight w:val="none"/>
        </w:rPr>
        <w:t>业务用车</w:t>
      </w:r>
      <w:r>
        <w:rPr>
          <w:rFonts w:ascii="仿宋_GB2312" w:eastAsia="仿宋_GB2312"/>
          <w:b w:val="0"/>
          <w:sz w:val="32"/>
          <w:szCs w:val="32"/>
        </w:rPr>
        <w:t>;单价100万元（含）以上设备（不含车辆）0台（套）。</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十一、预算绩效的情况说明</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val="0"/>
          <w:sz w:val="32"/>
          <w:szCs w:val="32"/>
        </w:rPr>
      </w:pPr>
      <w:r>
        <w:rPr>
          <w:rFonts w:ascii="仿宋_GB2312" w:eastAsia="仿宋_GB2312"/>
          <w:b w:val="0"/>
          <w:sz w:val="32"/>
          <w:szCs w:val="32"/>
        </w:rPr>
        <w:t>根据预算绩效管理要求，本单位2024年度预算绩效管理形成整体支出绩效自评表1个，全年预算总额</w:t>
      </w:r>
      <w:r>
        <w:rPr>
          <w:rFonts w:hint="eastAsia" w:ascii="仿宋_GB2312" w:eastAsia="仿宋_GB2312"/>
          <w:b w:val="0"/>
          <w:sz w:val="32"/>
          <w:szCs w:val="32"/>
        </w:rPr>
        <w:t>923.62</w:t>
      </w:r>
      <w:r>
        <w:rPr>
          <w:rFonts w:ascii="仿宋_GB2312" w:eastAsia="仿宋_GB2312"/>
          <w:b w:val="0"/>
          <w:sz w:val="32"/>
          <w:szCs w:val="32"/>
        </w:rPr>
        <w:t>万元，实际执行总额</w:t>
      </w:r>
      <w:r>
        <w:rPr>
          <w:rFonts w:hint="eastAsia" w:ascii="仿宋_GB2312" w:eastAsia="仿宋_GB2312"/>
          <w:b w:val="0"/>
          <w:sz w:val="32"/>
          <w:szCs w:val="32"/>
        </w:rPr>
        <w:t>870.83</w:t>
      </w:r>
      <w:r>
        <w:rPr>
          <w:rFonts w:ascii="仿宋_GB2312" w:eastAsia="仿宋_GB2312"/>
          <w:b w:val="0"/>
          <w:sz w:val="32"/>
          <w:szCs w:val="32"/>
        </w:rPr>
        <w:t>万元；预算绩效评价项目</w:t>
      </w:r>
      <w:r>
        <w:rPr>
          <w:rFonts w:hint="eastAsia" w:ascii="仿宋_GB2312" w:eastAsia="仿宋_GB2312"/>
          <w:b w:val="0"/>
          <w:sz w:val="32"/>
          <w:szCs w:val="32"/>
          <w:lang w:val="en-US" w:eastAsia="zh-CN"/>
        </w:rPr>
        <w:t>1</w:t>
      </w:r>
      <w:r>
        <w:rPr>
          <w:rFonts w:ascii="仿宋_GB2312" w:eastAsia="仿宋_GB2312"/>
          <w:b w:val="0"/>
          <w:sz w:val="32"/>
          <w:szCs w:val="32"/>
        </w:rPr>
        <w:t>个，全年预算数</w:t>
      </w:r>
      <w:r>
        <w:rPr>
          <w:rFonts w:hint="eastAsia" w:ascii="仿宋_GB2312" w:eastAsia="仿宋_GB2312"/>
          <w:b w:val="0"/>
          <w:sz w:val="32"/>
          <w:szCs w:val="32"/>
          <w:lang w:val="en-US" w:eastAsia="zh-CN"/>
        </w:rPr>
        <w:t>30</w:t>
      </w:r>
      <w:r>
        <w:rPr>
          <w:rFonts w:ascii="仿宋_GB2312" w:eastAsia="仿宋_GB2312"/>
          <w:b w:val="0"/>
          <w:sz w:val="32"/>
          <w:szCs w:val="32"/>
        </w:rPr>
        <w:t>万元，全年执行数</w:t>
      </w:r>
      <w:r>
        <w:rPr>
          <w:rFonts w:hint="eastAsia" w:ascii="仿宋_GB2312" w:eastAsia="仿宋_GB2312"/>
          <w:b w:val="0"/>
          <w:sz w:val="32"/>
          <w:szCs w:val="32"/>
          <w:lang w:val="en-US" w:eastAsia="zh-CN"/>
        </w:rPr>
        <w:t>30</w:t>
      </w:r>
      <w:r>
        <w:rPr>
          <w:rFonts w:ascii="仿宋_GB2312" w:eastAsia="仿宋_GB2312"/>
          <w:b w:val="0"/>
          <w:sz w:val="32"/>
          <w:szCs w:val="32"/>
        </w:rPr>
        <w:t>万元。</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b/>
          <w:bCs/>
          <w:sz w:val="32"/>
          <w:szCs w:val="32"/>
        </w:rPr>
      </w:pPr>
      <w:r>
        <w:rPr>
          <w:rFonts w:ascii="仿宋_GB2312" w:eastAsia="仿宋_GB2312"/>
          <w:b w:val="0"/>
          <w:sz w:val="32"/>
          <w:szCs w:val="32"/>
        </w:rPr>
        <w:t>预算绩效管理取得的成效：</w:t>
      </w:r>
      <w:r>
        <w:rPr>
          <w:rFonts w:hint="eastAsia" w:ascii="仿宋_GB2312" w:eastAsia="仿宋_GB2312"/>
          <w:b w:val="0"/>
          <w:sz w:val="32"/>
          <w:szCs w:val="32"/>
        </w:rPr>
        <w:t>为确保项目的顺利推进，必须预先制定详尽的项目计划，并反复进行严格审核。在项目执行过程中，应定期开展监督和检查工作，确保严格按照项目管理标准执行。此外，在资金使用方面，务必遵循严格的审核流程，确保资金合理且精准地用于既定项目，杜绝资金浪费。项目完成后，需对受益群体进行民意调查，并切实做好项目风险防范工作。</w:t>
      </w:r>
      <w:r>
        <w:rPr>
          <w:rFonts w:hint="eastAsia" w:ascii="仿宋_GB2312" w:eastAsia="仿宋_GB2312"/>
          <w:b w:val="0"/>
          <w:sz w:val="32"/>
          <w:szCs w:val="32"/>
        </w:rPr>
        <w:cr/>
      </w:r>
      <w:r>
        <w:rPr>
          <w:rStyle w:val="4"/>
          <w:rFonts w:hint="eastAsia" w:ascii="楷体" w:hAnsi="楷体" w:eastAsia="楷体"/>
          <w:b w:val="0"/>
          <w:bCs w:val="0"/>
          <w:spacing w:val="-4"/>
          <w:sz w:val="32"/>
          <w:szCs w:val="32"/>
          <w:lang w:val="en-US" w:eastAsia="zh-CN"/>
        </w:rPr>
        <w:t xml:space="preserve">    </w:t>
      </w:r>
      <w:r>
        <w:rPr>
          <w:rFonts w:hint="eastAsia" w:ascii="仿宋_GB2312" w:eastAsia="仿宋_GB2312"/>
          <w:b w:val="0"/>
          <w:sz w:val="32"/>
          <w:szCs w:val="32"/>
        </w:rPr>
        <w:t>秉持“先执行、后验收、再拨款”的原则，有效防范资金挪用或滥用现象，确保跟踪检查的严密性。财政、纪检、监察等部门应全程参与专项资金的前期、中期及后期监管。在监督机制上，需将重心前移，从传统的事后监督模式转变为事前审查、事中监控与事后稽核相结合的综合性监督体系，构建全方位、多层次的监管框架，以便及时发现并解决问题。</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b/>
          <w:bCs/>
          <w:sz w:val="32"/>
          <w:szCs w:val="32"/>
        </w:rPr>
      </w:pPr>
      <w:r>
        <w:rPr>
          <w:rFonts w:ascii="仿宋_GB2312" w:eastAsia="仿宋_GB2312"/>
          <w:b/>
          <w:bCs/>
          <w:sz w:val="32"/>
          <w:szCs w:val="32"/>
        </w:rPr>
        <w:t>发现的问题及原因：</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27" w:firstLineChars="200"/>
        <w:jc w:val="both"/>
        <w:textAlignment w:val="auto"/>
        <w:rPr>
          <w:rFonts w:hint="eastAsia" w:ascii="仿宋_GB2312" w:eastAsia="仿宋_GB2312"/>
          <w:b w:val="0"/>
          <w:sz w:val="32"/>
          <w:szCs w:val="32"/>
          <w:lang w:eastAsia="zh-CN"/>
        </w:rPr>
      </w:pPr>
      <w:r>
        <w:rPr>
          <w:rStyle w:val="4"/>
          <w:rFonts w:hint="eastAsia" w:ascii="楷体" w:hAnsi="楷体" w:eastAsia="楷体"/>
          <w:spacing w:val="-4"/>
          <w:sz w:val="32"/>
          <w:szCs w:val="32"/>
          <w:lang w:val="en-US" w:eastAsia="zh-CN"/>
        </w:rPr>
        <w:t xml:space="preserve"> </w:t>
      </w:r>
      <w:r>
        <w:rPr>
          <w:rFonts w:hint="eastAsia" w:ascii="仿宋_GB2312" w:eastAsia="仿宋_GB2312"/>
          <w:b w:val="0"/>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2.指标设置过于笼统，缺乏针对性和可操作性，难以准确衡量项目实际成效；部分指标权重分配不合理，不能反映项目核心目标；定性指标多，定量指标少，导致评估结果主观性强。项目前期规划阶段，未充分结合项目特点和目标设计指标体系；缺乏对行业标准和同类项目经验的借鉴；项目团队对绩效评估理解不深，未能从多维度全面构建指标。</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3.数据来源渠道单一，信息不完整；数据收集过程中存在错漏情况；部分数据难以量化，如社会效益、满意度等，导致评估依据不足。缺乏完善的数据收集机制和信息化手段；项目执行过程中，对数据记录和整理重视不足；涉及多方参与的项目，数据共享存在障碍，协调难度大。</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both"/>
        <w:textAlignment w:val="auto"/>
        <w:rPr>
          <w:rFonts w:ascii="仿宋_GB2312" w:eastAsia="仿宋_GB2312"/>
          <w:b/>
          <w:bCs/>
          <w:sz w:val="32"/>
          <w:szCs w:val="32"/>
        </w:rPr>
      </w:pPr>
      <w:r>
        <w:rPr>
          <w:rFonts w:ascii="仿宋_GB2312" w:eastAsia="仿宋_GB2312"/>
          <w:b/>
          <w:bCs/>
          <w:sz w:val="32"/>
          <w:szCs w:val="32"/>
        </w:rPr>
        <w:t>下一步改进措施：</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eastAsia="仿宋_GB2312"/>
          <w:b w:val="0"/>
          <w:sz w:val="32"/>
          <w:szCs w:val="32"/>
        </w:rPr>
      </w:pPr>
      <w:r>
        <w:rPr>
          <w:rFonts w:hint="eastAsia" w:ascii="仿宋_GB2312" w:eastAsia="仿宋_GB2312"/>
          <w:b w:val="0"/>
          <w:sz w:val="32"/>
          <w:szCs w:val="32"/>
        </w:rPr>
        <w:t>1.强化专业知识培训，提升绩效管理能力。针对项目管理人员、绩效自评人员等不同岗位需求，开展分层培训。邀请行业专家围绕绩效指标设计、绩效评价方法、预算绩效管理等内容进行专题授课，每季度至少组织1次集中培训。搭建内部学习平台，定期分享绩效管理政策文件、优秀案例；设立内部研讨小组，每月开展1次绩效问题分析与经验交流活动。</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2.优化指标体系设计，增强科学性与可操作性。组织团队研究国家及地方畜牧业项目绩效评价规范，参考同类优质项目指标体系，结合本项目品种提升、技术推广等核心目标，重新梳理指标框架。将“提升品种性能”等笼统目标分解为“产肉量提高15%”“羊毛产量提升12%”等量化指标；项目阶段重点（如前期选育、后期推广）动态调整指标权重，突出核心目标；建立指标反馈机制，每年结合项目实际成效评估结果，优化指标体系。邀请行业专家、项目实施人员、利益相关方参与指标设计研讨，从技术、实操、社会效益等多维度提出建议，确保指标全面覆盖项目目标。</w:t>
      </w:r>
      <w:r>
        <w:rPr>
          <w:rFonts w:hint="eastAsia" w:ascii="仿宋_GB2312" w:eastAsia="仿宋_GB2312"/>
          <w:b w:val="0"/>
          <w:sz w:val="32"/>
          <w:szCs w:val="32"/>
        </w:rPr>
        <w:cr/>
      </w:r>
      <w:r>
        <w:rPr>
          <w:rFonts w:hint="eastAsia" w:ascii="仿宋_GB2312" w:eastAsia="仿宋_GB2312"/>
          <w:b w:val="0"/>
          <w:sz w:val="32"/>
          <w:szCs w:val="32"/>
          <w:lang w:val="en-US" w:eastAsia="zh-CN"/>
        </w:rPr>
        <w:t xml:space="preserve">    </w:t>
      </w:r>
      <w:r>
        <w:rPr>
          <w:rFonts w:hint="eastAsia" w:ascii="仿宋_GB2312" w:eastAsia="仿宋_GB2312"/>
          <w:b w:val="0"/>
          <w:sz w:val="32"/>
          <w:szCs w:val="32"/>
        </w:rPr>
        <w:t>3.完善数据管理体系，做好评估数据基础。整合养殖记录、检测报告、培训签到表等内部数据；对接农业农村局、行业协会等外部单位，获取区域畜牧业发展数据、养殖户反馈等信息；通过问卷调查、实地访谈等方式收集社会效益、满意度数据。明确数据采集频率、方法、责任人；建立数据交叉核对机制，对关键数据实行双人复核；定期开展数据质量抽查，对错误数据及时修正并追溯责任。定期召开数据协调会议，解决多方数据对接中的矛盾与障碍。进一步规范项目建设的程序。项目前期做好可行性</w:t>
      </w:r>
      <w:bookmarkStart w:id="0" w:name="_GoBack"/>
      <w:bookmarkEnd w:id="0"/>
      <w:r>
        <w:rPr>
          <w:rFonts w:hint="eastAsia" w:ascii="仿宋_GB2312" w:eastAsia="仿宋_GB2312"/>
          <w:b w:val="0"/>
          <w:sz w:val="32"/>
          <w:szCs w:val="32"/>
        </w:rPr>
        <w:t>研究报告，更加细化实施方案，严格执行资金管理办法和财政资金管理制度，严格按照项目实施方案稳步推进工作，各部门单位根据自己项目的特点进行总结。</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黑体" w:eastAsia="黑体"/>
          <w:sz w:val="32"/>
          <w:szCs w:val="32"/>
        </w:rPr>
      </w:pPr>
      <w:r>
        <w:rPr>
          <w:rFonts w:ascii="黑体" w:eastAsia="黑体"/>
          <w:b w:val="0"/>
          <w:sz w:val="32"/>
          <w:szCs w:val="32"/>
        </w:rPr>
        <w:t>十二、其他需说明的事项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ascii="仿宋_GB2312" w:eastAsia="仿宋_GB2312"/>
          <w:sz w:val="32"/>
          <w:szCs w:val="32"/>
        </w:rPr>
      </w:pPr>
      <w:r>
        <w:rPr>
          <w:rFonts w:ascii="仿宋_GB2312" w:eastAsia="仿宋_GB2312"/>
          <w:b w:val="0"/>
          <w:sz w:val="32"/>
          <w:szCs w:val="32"/>
        </w:rPr>
        <w:t>本单位无其他需说明事项。</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rPr>
          <w:rFonts w:ascii="仿宋_GB2312" w:eastAsia="仿宋_GB2312"/>
          <w:sz w:val="32"/>
          <w:szCs w:val="32"/>
        </w:rPr>
      </w:pP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sz w:val="32"/>
          <w:szCs w:val="32"/>
        </w:rPr>
      </w:pPr>
      <w:r>
        <w:rPr>
          <w:rFonts w:ascii="黑体" w:eastAsia="黑体"/>
          <w:b w:val="0"/>
          <w:sz w:val="32"/>
          <w:szCs w:val="32"/>
        </w:rPr>
        <w:t>第三部分专业名词解释</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3" w:firstLineChars="200"/>
        <w:jc w:val="left"/>
        <w:textAlignment w:val="auto"/>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keepNext w:val="0"/>
        <w:keepLines w:val="0"/>
        <w:pageBreakBefore w:val="0"/>
        <w:widowControl/>
        <w:kinsoku/>
        <w:wordWrap/>
        <w:overflowPunct/>
        <w:topLinePunct w:val="0"/>
        <w:autoSpaceDE/>
        <w:autoSpaceDN/>
        <w:bidi w:val="0"/>
        <w:adjustRightInd/>
        <w:snapToGrid/>
        <w:spacing w:line="560" w:lineRule="exact"/>
        <w:ind w:firstLine="0" w:firstLineChars="200"/>
        <w:textAlignment w:val="auto"/>
      </w:pPr>
      <w:r>
        <w:rPr>
          <w:b w:val="0"/>
          <w:sz w:val="0"/>
          <w:szCs w:val="0"/>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center"/>
        <w:textAlignment w:val="auto"/>
        <w:outlineLvl w:val="0"/>
        <w:rPr>
          <w:rFonts w:ascii="黑体" w:eastAsia="黑体"/>
          <w:sz w:val="32"/>
          <w:szCs w:val="32"/>
        </w:rPr>
      </w:pPr>
      <w:r>
        <w:rPr>
          <w:rFonts w:ascii="黑体" w:eastAsia="黑体"/>
          <w:b w:val="0"/>
          <w:sz w:val="32"/>
          <w:szCs w:val="32"/>
        </w:rPr>
        <w:t>第四部分部门决算报表（见附表）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一、《收入支出决算总表》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二、《收入决算表》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三、《支出决算表》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四、《财政拨款收入支出决算总表》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五、《一般公共预算财政拨款支出决算表》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r>
        <w:rPr>
          <w:rFonts w:ascii="仿宋_GB2312" w:eastAsia="仿宋_GB2312"/>
          <w:b w:val="0"/>
          <w:sz w:val="32"/>
          <w:szCs w:val="32"/>
        </w:rPr>
        <w:t>九、《财政拨款“三公”经费支出决算表》</w:t>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59264" behindDoc="0" locked="0" layoutInCell="1" allowOverlap="1">
            <wp:simplePos x="0" y="0"/>
            <wp:positionH relativeFrom="column">
              <wp:posOffset>-647700</wp:posOffset>
            </wp:positionH>
            <wp:positionV relativeFrom="paragraph">
              <wp:posOffset>66675</wp:posOffset>
            </wp:positionV>
            <wp:extent cx="6802120" cy="8027035"/>
            <wp:effectExtent l="0" t="0" r="17780" b="12065"/>
            <wp:wrapSquare wrapText="bothSides"/>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4"/>
                    <a:stretch>
                      <a:fillRect/>
                    </a:stretch>
                  </pic:blipFill>
                  <pic:spPr>
                    <a:xfrm>
                      <a:off x="0" y="0"/>
                      <a:ext cx="6802120" cy="802703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0288" behindDoc="0" locked="0" layoutInCell="1" allowOverlap="1">
            <wp:simplePos x="0" y="0"/>
            <wp:positionH relativeFrom="column">
              <wp:posOffset>-647700</wp:posOffset>
            </wp:positionH>
            <wp:positionV relativeFrom="paragraph">
              <wp:posOffset>28575</wp:posOffset>
            </wp:positionV>
            <wp:extent cx="6806565" cy="6367780"/>
            <wp:effectExtent l="0" t="0" r="13335" b="13970"/>
            <wp:wrapSquare wrapText="bothSides"/>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5"/>
                    <a:stretch>
                      <a:fillRect/>
                    </a:stretch>
                  </pic:blipFill>
                  <pic:spPr>
                    <a:xfrm>
                      <a:off x="0" y="0"/>
                      <a:ext cx="6806565" cy="636778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1312" behindDoc="0" locked="0" layoutInCell="1" allowOverlap="1">
            <wp:simplePos x="0" y="0"/>
            <wp:positionH relativeFrom="column">
              <wp:posOffset>-638175</wp:posOffset>
            </wp:positionH>
            <wp:positionV relativeFrom="paragraph">
              <wp:posOffset>57150</wp:posOffset>
            </wp:positionV>
            <wp:extent cx="6764655" cy="7643495"/>
            <wp:effectExtent l="0" t="0" r="17145" b="14605"/>
            <wp:wrapSquare wrapText="bothSides"/>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6"/>
                    <a:stretch>
                      <a:fillRect/>
                    </a:stretch>
                  </pic:blipFill>
                  <pic:spPr>
                    <a:xfrm>
                      <a:off x="0" y="0"/>
                      <a:ext cx="6764655" cy="764349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2336" behindDoc="0" locked="0" layoutInCell="1" allowOverlap="1">
            <wp:simplePos x="0" y="0"/>
            <wp:positionH relativeFrom="column">
              <wp:posOffset>-657225</wp:posOffset>
            </wp:positionH>
            <wp:positionV relativeFrom="page">
              <wp:posOffset>952500</wp:posOffset>
            </wp:positionV>
            <wp:extent cx="6812915" cy="8115300"/>
            <wp:effectExtent l="0" t="0" r="6985" b="0"/>
            <wp:wrapSquare wrapText="bothSides"/>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7"/>
                    <a:stretch>
                      <a:fillRect/>
                    </a:stretch>
                  </pic:blipFill>
                  <pic:spPr>
                    <a:xfrm>
                      <a:off x="0" y="0"/>
                      <a:ext cx="6812915" cy="811530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3360" behindDoc="0" locked="0" layoutInCell="1" allowOverlap="1">
            <wp:simplePos x="0" y="0"/>
            <wp:positionH relativeFrom="column">
              <wp:posOffset>-666115</wp:posOffset>
            </wp:positionH>
            <wp:positionV relativeFrom="paragraph">
              <wp:posOffset>38100</wp:posOffset>
            </wp:positionV>
            <wp:extent cx="6804025" cy="7275195"/>
            <wp:effectExtent l="0" t="0" r="15875" b="1905"/>
            <wp:wrapSquare wrapText="bothSides"/>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8"/>
                    <a:stretch>
                      <a:fillRect/>
                    </a:stretch>
                  </pic:blipFill>
                  <pic:spPr>
                    <a:xfrm>
                      <a:off x="0" y="0"/>
                      <a:ext cx="6804025" cy="727519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4384" behindDoc="0" locked="0" layoutInCell="1" allowOverlap="1">
            <wp:simplePos x="0" y="0"/>
            <wp:positionH relativeFrom="column">
              <wp:posOffset>-656590</wp:posOffset>
            </wp:positionH>
            <wp:positionV relativeFrom="paragraph">
              <wp:posOffset>9525</wp:posOffset>
            </wp:positionV>
            <wp:extent cx="6781165" cy="7938135"/>
            <wp:effectExtent l="0" t="0" r="635" b="5715"/>
            <wp:wrapSquare wrapText="bothSides"/>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7"/>
                    <pic:cNvPicPr>
                      <a:picLocks noChangeAspect="1"/>
                    </pic:cNvPicPr>
                  </pic:nvPicPr>
                  <pic:blipFill>
                    <a:blip r:embed="rId9"/>
                    <a:stretch>
                      <a:fillRect/>
                    </a:stretch>
                  </pic:blipFill>
                  <pic:spPr>
                    <a:xfrm>
                      <a:off x="0" y="0"/>
                      <a:ext cx="6781165" cy="7938135"/>
                    </a:xfrm>
                    <a:prstGeom prst="rect">
                      <a:avLst/>
                    </a:prstGeom>
                    <a:noFill/>
                    <a:ln>
                      <a:noFill/>
                    </a:ln>
                  </pic:spPr>
                </pic:pic>
              </a:graphicData>
            </a:graphic>
          </wp:anchor>
        </w:drawing>
      </w:r>
    </w:p>
    <w:p>
      <w:pPr>
        <w:rPr>
          <w:rFonts w:ascii="仿宋_GB2312" w:eastAsia="仿宋_GB2312"/>
          <w:b w:val="0"/>
          <w:sz w:val="32"/>
          <w:szCs w:val="32"/>
        </w:rPr>
      </w:pPr>
      <w:r>
        <w:drawing>
          <wp:anchor distT="0" distB="0" distL="114300" distR="114300" simplePos="0" relativeHeight="251666432" behindDoc="0" locked="0" layoutInCell="1" allowOverlap="1">
            <wp:simplePos x="0" y="0"/>
            <wp:positionH relativeFrom="column">
              <wp:posOffset>-599440</wp:posOffset>
            </wp:positionH>
            <wp:positionV relativeFrom="page">
              <wp:posOffset>1205865</wp:posOffset>
            </wp:positionV>
            <wp:extent cx="6778625" cy="3941445"/>
            <wp:effectExtent l="0" t="0" r="3175" b="190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6778625" cy="3941445"/>
                    </a:xfrm>
                    <a:prstGeom prst="rect">
                      <a:avLst/>
                    </a:prstGeom>
                    <a:noFill/>
                    <a:ln>
                      <a:noFill/>
                    </a:ln>
                  </pic:spPr>
                </pic:pic>
              </a:graphicData>
            </a:graphic>
          </wp:anchor>
        </w:drawing>
      </w:r>
      <w:r>
        <w:rPr>
          <w:rFonts w:ascii="仿宋_GB2312" w:eastAsia="仿宋_GB2312"/>
          <w:b w:val="0"/>
          <w:sz w:val="32"/>
          <w:szCs w:val="32"/>
        </w:rPr>
        <w:br w:type="page"/>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7456" behindDoc="0" locked="0" layoutInCell="1" allowOverlap="1">
            <wp:simplePos x="0" y="0"/>
            <wp:positionH relativeFrom="column">
              <wp:posOffset>-614045</wp:posOffset>
            </wp:positionH>
            <wp:positionV relativeFrom="paragraph">
              <wp:posOffset>290830</wp:posOffset>
            </wp:positionV>
            <wp:extent cx="6790690" cy="3688715"/>
            <wp:effectExtent l="0" t="0" r="10160" b="698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6790690" cy="3688715"/>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r>
        <w:drawing>
          <wp:anchor distT="0" distB="0" distL="114300" distR="114300" simplePos="0" relativeHeight="251665408" behindDoc="0" locked="0" layoutInCell="1" allowOverlap="1">
            <wp:simplePos x="0" y="0"/>
            <wp:positionH relativeFrom="column">
              <wp:posOffset>-666115</wp:posOffset>
            </wp:positionH>
            <wp:positionV relativeFrom="paragraph">
              <wp:posOffset>47625</wp:posOffset>
            </wp:positionV>
            <wp:extent cx="6802755" cy="3909060"/>
            <wp:effectExtent l="0" t="0" r="17145" b="15240"/>
            <wp:wrapSquare wrapText="bothSides"/>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pic:cNvPicPr>
                  </pic:nvPicPr>
                  <pic:blipFill>
                    <a:blip r:embed="rId12"/>
                    <a:stretch>
                      <a:fillRect/>
                    </a:stretch>
                  </pic:blipFill>
                  <pic:spPr>
                    <a:xfrm>
                      <a:off x="0" y="0"/>
                      <a:ext cx="6802755" cy="3909060"/>
                    </a:xfrm>
                    <a:prstGeom prst="rect">
                      <a:avLst/>
                    </a:prstGeom>
                    <a:noFill/>
                    <a:ln>
                      <a:noFill/>
                    </a:ln>
                  </pic:spPr>
                </pic:pic>
              </a:graphicData>
            </a:graphic>
          </wp:anchor>
        </w:drawing>
      </w: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p>
      <w:pPr>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left"/>
        <w:textAlignment w:val="auto"/>
        <w:outlineLvl w:val="1"/>
        <w:rPr>
          <w:rFonts w:ascii="仿宋_GB2312" w:eastAsia="仿宋_GB2312"/>
          <w:b w:val="0"/>
          <w:sz w:val="32"/>
          <w:szCs w:val="32"/>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682D60"/>
    <w:rsid w:val="13013EF1"/>
    <w:rsid w:val="18CE5C88"/>
    <w:rsid w:val="1E7C50C8"/>
    <w:rsid w:val="273B540C"/>
    <w:rsid w:val="3E8026FB"/>
    <w:rsid w:val="47B26AE0"/>
    <w:rsid w:val="52BD55D2"/>
    <w:rsid w:val="56BF4035"/>
    <w:rsid w:val="59722042"/>
    <w:rsid w:val="5C434F37"/>
    <w:rsid w:val="5C840E01"/>
    <w:rsid w:val="61FB54D1"/>
    <w:rsid w:val="77667E4F"/>
    <w:rsid w:val="78CC6C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bCs/>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27</Pages>
  <Words>7102</Words>
  <Characters>7664</Characters>
  <TotalTime>15</TotalTime>
  <ScaleCrop>false</ScaleCrop>
  <LinksUpToDate>false</LinksUpToDate>
  <CharactersWithSpaces>7729</CharactersWithSpaces>
  <Application>WPS Office_11.8.2.10972_F1E327BC-269C-435d-A152-05C5408002CA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2025-08-14T14:45:00Z</dcterms:created>
  <dc:creator>Administrator</dc:creator>
  <cp:lastModifiedBy>lenovo</cp:lastModifiedBy>
  <dcterms:modified xsi:type="dcterms:W3CDTF">2025-08-20T13:03:01Z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KSOTemplateDocerSaveRecord">
    <vt:lpwstr>eyJoZGlkIjoiMDhjYmMxN2RkYWY5M2IxNzliNmU0ZjcxYTIyYTJlODkiLCJ1c2VySWQiOiI1MzMyNjY2NjMifQ==</vt:lpwstr>
  </property>
  <property fmtid="{D5CDD505-2E9C-101B-9397-08002B2CF9AE}" pid="4" name="ICV">
    <vt:lpwstr>DA28919B2D6D40748C4D453F705413CB_12</vt:lpwstr>
  </property>
</Properties>
</file>