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rPr>
          <w:rFonts w:ascii="宋体" w:eastAsia="宋体"/>
          <w:sz w:val="32"/>
          <w:szCs w:val="32"/>
        </w:rPr>
      </w:pPr>
    </w:p>
    <w:p>
      <w:pPr>
        <w:spacing w:after="0" w:line="240" w:lineRule="auto"/>
        <w:rPr>
          <w:rFonts w:ascii="宋体" w:eastAsia="宋体"/>
          <w:sz w:val="44"/>
          <w:szCs w:val="44"/>
        </w:rPr>
      </w:pPr>
    </w:p>
    <w:p>
      <w:pPr>
        <w:spacing w:after="0" w:line="240" w:lineRule="auto"/>
        <w:rPr>
          <w:rFonts w:ascii="宋体" w:eastAsia="宋体"/>
          <w:sz w:val="44"/>
          <w:szCs w:val="44"/>
        </w:rPr>
      </w:pPr>
    </w:p>
    <w:p>
      <w:pPr>
        <w:spacing w:after="0" w:line="240" w:lineRule="auto"/>
        <w:rPr>
          <w:rFonts w:ascii="宋体" w:eastAsia="宋体"/>
          <w:sz w:val="44"/>
          <w:szCs w:val="44"/>
        </w:rPr>
      </w:pPr>
    </w:p>
    <w:p>
      <w:pPr>
        <w:spacing w:after="0" w:line="240" w:lineRule="auto"/>
        <w:jc w:val="center"/>
        <w:outlineLvl w:val="0"/>
        <w:rPr>
          <w:rFonts w:ascii="宋体" w:eastAsia="黑体"/>
          <w:sz w:val="44"/>
          <w:szCs w:val="44"/>
        </w:rPr>
      </w:pPr>
      <w:r>
        <w:rPr>
          <w:rFonts w:ascii="宋体" w:eastAsia="黑体"/>
          <w:sz w:val="44"/>
          <w:szCs w:val="44"/>
        </w:rPr>
        <w:t>库尔勒市农业农村局</w:t>
      </w:r>
    </w:p>
    <w:p>
      <w:pPr>
        <w:spacing w:after="0" w:line="240" w:lineRule="auto"/>
        <w:jc w:val="center"/>
        <w:outlineLvl w:val="0"/>
        <w:rPr>
          <w:rFonts w:ascii="黑体" w:eastAsia="黑体"/>
          <w:sz w:val="44"/>
          <w:szCs w:val="44"/>
        </w:rPr>
      </w:pPr>
      <w:r>
        <w:rPr>
          <w:rFonts w:ascii="黑体" w:eastAsia="黑体"/>
          <w:sz w:val="44"/>
          <w:szCs w:val="44"/>
        </w:rPr>
        <w:t>2024年度部门决算公开说明</w:t>
      </w:r>
    </w:p>
    <w:p>
      <w:r>
        <w:rPr>
          <w:sz w:val="0"/>
          <w:szCs w:val="0"/>
        </w:rPr>
        <w:br w:type="page"/>
      </w:r>
    </w:p>
    <w:p>
      <w:pPr>
        <w:spacing w:after="0" w:line="240" w:lineRule="auto"/>
        <w:jc w:val="center"/>
        <w:rPr>
          <w:rFonts w:ascii="黑体" w:eastAsia="黑体"/>
          <w:sz w:val="32"/>
          <w:szCs w:val="32"/>
        </w:rPr>
      </w:pPr>
      <w:r>
        <w:rPr>
          <w:rFonts w:ascii="黑体" w:eastAsia="黑体"/>
          <w:b/>
          <w:sz w:val="32"/>
          <w:szCs w:val="32"/>
        </w:rPr>
        <w:t>目录</w:t>
      </w:r>
    </w:p>
    <w:p>
      <w:pPr>
        <w:spacing w:after="0" w:line="240" w:lineRule="auto"/>
        <w:rPr>
          <w:rFonts w:ascii="仿宋_GB2312" w:eastAsia="仿宋_GB2312"/>
          <w:sz w:val="32"/>
          <w:szCs w:val="32"/>
        </w:rPr>
      </w:pPr>
      <w:r>
        <w:rPr>
          <w:rFonts w:ascii="仿宋_GB2312" w:eastAsia="仿宋_GB2312"/>
          <w:b/>
          <w:sz w:val="32"/>
          <w:szCs w:val="32"/>
        </w:rPr>
        <w:t>第一部分单位概况</w:t>
      </w:r>
    </w:p>
    <w:p>
      <w:pPr>
        <w:spacing w:after="0" w:line="240" w:lineRule="auto"/>
        <w:rPr>
          <w:rFonts w:ascii="仿宋_GB2312" w:eastAsia="仿宋_GB2312"/>
          <w:sz w:val="32"/>
          <w:szCs w:val="32"/>
        </w:rPr>
      </w:pPr>
      <w:r>
        <w:rPr>
          <w:rFonts w:ascii="仿宋_GB2312" w:eastAsia="仿宋_GB2312"/>
          <w:sz w:val="32"/>
          <w:szCs w:val="32"/>
        </w:rPr>
        <w:t>一、主要职能</w:t>
      </w:r>
    </w:p>
    <w:p>
      <w:pPr>
        <w:spacing w:after="0" w:line="240" w:lineRule="auto"/>
        <w:rPr>
          <w:rFonts w:ascii="仿宋_GB2312" w:eastAsia="仿宋_GB2312"/>
          <w:sz w:val="32"/>
          <w:szCs w:val="32"/>
        </w:rPr>
      </w:pPr>
      <w:r>
        <w:rPr>
          <w:rFonts w:ascii="仿宋_GB2312" w:eastAsia="仿宋_GB2312"/>
          <w:sz w:val="32"/>
          <w:szCs w:val="32"/>
        </w:rPr>
        <w:t>二、机构设置及人员情况</w:t>
      </w:r>
    </w:p>
    <w:p>
      <w:pPr>
        <w:spacing w:after="0" w:line="240" w:lineRule="auto"/>
        <w:rPr>
          <w:rFonts w:ascii="仿宋_GB2312" w:eastAsia="仿宋_GB2312"/>
          <w:sz w:val="32"/>
          <w:szCs w:val="32"/>
        </w:rPr>
      </w:pPr>
      <w:r>
        <w:rPr>
          <w:rFonts w:ascii="仿宋_GB2312" w:eastAsia="仿宋_GB2312"/>
          <w:b/>
          <w:sz w:val="32"/>
          <w:szCs w:val="32"/>
        </w:rPr>
        <w:t>第二部分部门决算情况说明</w:t>
      </w:r>
    </w:p>
    <w:p>
      <w:pPr>
        <w:spacing w:after="0" w:line="240" w:lineRule="auto"/>
        <w:rPr>
          <w:rFonts w:ascii="仿宋_GB2312" w:eastAsia="仿宋_GB2312"/>
          <w:sz w:val="32"/>
          <w:szCs w:val="32"/>
        </w:rPr>
      </w:pPr>
      <w:r>
        <w:rPr>
          <w:rFonts w:ascii="仿宋_GB2312" w:eastAsia="仿宋_GB2312"/>
          <w:sz w:val="32"/>
          <w:szCs w:val="32"/>
        </w:rPr>
        <w:t>一、收入支出决算总体情况说明</w:t>
      </w:r>
    </w:p>
    <w:p>
      <w:pPr>
        <w:spacing w:after="0" w:line="240" w:lineRule="auto"/>
        <w:rPr>
          <w:rFonts w:ascii="仿宋_GB2312" w:eastAsia="仿宋_GB2312"/>
          <w:sz w:val="32"/>
          <w:szCs w:val="32"/>
        </w:rPr>
      </w:pPr>
      <w:r>
        <w:rPr>
          <w:rFonts w:ascii="仿宋_GB2312" w:eastAsia="仿宋_GB2312"/>
          <w:sz w:val="32"/>
          <w:szCs w:val="32"/>
        </w:rPr>
        <w:t>二、收入决算情况说明</w:t>
      </w:r>
    </w:p>
    <w:p>
      <w:pPr>
        <w:spacing w:after="0" w:line="240" w:lineRule="auto"/>
        <w:rPr>
          <w:rFonts w:ascii="仿宋_GB2312" w:eastAsia="仿宋_GB2312"/>
          <w:sz w:val="32"/>
          <w:szCs w:val="32"/>
        </w:rPr>
      </w:pPr>
      <w:r>
        <w:rPr>
          <w:rFonts w:ascii="仿宋_GB2312" w:eastAsia="仿宋_GB2312"/>
          <w:sz w:val="32"/>
          <w:szCs w:val="32"/>
        </w:rPr>
        <w:t>三、支出决算情况说明</w:t>
      </w:r>
    </w:p>
    <w:p>
      <w:pPr>
        <w:spacing w:after="0" w:line="240" w:lineRule="auto"/>
        <w:rPr>
          <w:rFonts w:ascii="仿宋_GB2312" w:eastAsia="仿宋_GB2312"/>
          <w:sz w:val="32"/>
          <w:szCs w:val="32"/>
        </w:rPr>
      </w:pPr>
      <w:r>
        <w:rPr>
          <w:rFonts w:ascii="仿宋_GB2312" w:eastAsia="仿宋_GB2312"/>
          <w:sz w:val="32"/>
          <w:szCs w:val="32"/>
        </w:rPr>
        <w:t>四、财政拨款收入支出决算总体情况说明</w:t>
      </w:r>
    </w:p>
    <w:p>
      <w:pPr>
        <w:spacing w:after="0" w:line="240" w:lineRule="auto"/>
        <w:rPr>
          <w:rFonts w:ascii="仿宋_GB2312" w:eastAsia="仿宋_GB2312"/>
          <w:sz w:val="32"/>
          <w:szCs w:val="32"/>
        </w:rPr>
      </w:pPr>
      <w:r>
        <w:rPr>
          <w:rFonts w:ascii="仿宋_GB2312" w:eastAsia="仿宋_GB2312"/>
          <w:sz w:val="32"/>
          <w:szCs w:val="32"/>
        </w:rPr>
        <w:t>五、一般公共预算财政拨款支出决算情况说明</w:t>
      </w:r>
    </w:p>
    <w:p>
      <w:pPr>
        <w:spacing w:after="0" w:line="240" w:lineRule="auto"/>
        <w:rPr>
          <w:rFonts w:ascii="仿宋_GB2312" w:eastAsia="仿宋_GB2312"/>
          <w:sz w:val="32"/>
          <w:szCs w:val="32"/>
        </w:rPr>
      </w:pPr>
      <w:r>
        <w:rPr>
          <w:rFonts w:ascii="仿宋_GB2312" w:eastAsia="仿宋_GB2312"/>
          <w:sz w:val="32"/>
          <w:szCs w:val="32"/>
        </w:rPr>
        <w:t>（一）一般公共预算财政拨款支出决算总体情况</w:t>
      </w:r>
    </w:p>
    <w:p>
      <w:pPr>
        <w:spacing w:after="0" w:line="240" w:lineRule="auto"/>
        <w:rPr>
          <w:rFonts w:ascii="仿宋_GB2312" w:eastAsia="仿宋_GB2312"/>
          <w:sz w:val="32"/>
          <w:szCs w:val="32"/>
        </w:rPr>
      </w:pPr>
      <w:r>
        <w:rPr>
          <w:rFonts w:ascii="仿宋_GB2312" w:eastAsia="仿宋_GB2312"/>
          <w:sz w:val="32"/>
          <w:szCs w:val="32"/>
        </w:rPr>
        <w:t>（二）一般公共预算财政拨款支出决算结构情况</w:t>
      </w:r>
    </w:p>
    <w:p>
      <w:pPr>
        <w:spacing w:after="0" w:line="240" w:lineRule="auto"/>
        <w:rPr>
          <w:rFonts w:ascii="仿宋_GB2312" w:eastAsia="仿宋_GB2312"/>
          <w:sz w:val="32"/>
          <w:szCs w:val="32"/>
        </w:rPr>
      </w:pPr>
      <w:r>
        <w:rPr>
          <w:rFonts w:ascii="仿宋_GB2312" w:eastAsia="仿宋_GB2312"/>
          <w:sz w:val="32"/>
          <w:szCs w:val="32"/>
        </w:rPr>
        <w:t>（三）一般公共预算财政拨款支出决算具体情况</w:t>
      </w:r>
    </w:p>
    <w:p>
      <w:pPr>
        <w:spacing w:after="0" w:line="240" w:lineRule="auto"/>
        <w:rPr>
          <w:rFonts w:ascii="仿宋_GB2312" w:eastAsia="仿宋_GB2312"/>
          <w:sz w:val="32"/>
          <w:szCs w:val="32"/>
        </w:rPr>
      </w:pPr>
      <w:r>
        <w:rPr>
          <w:rFonts w:ascii="仿宋_GB2312" w:eastAsia="仿宋_GB2312"/>
          <w:sz w:val="32"/>
          <w:szCs w:val="32"/>
        </w:rPr>
        <w:t>六、一般公共预算财政拨款基本支出决算情况说明</w:t>
      </w:r>
    </w:p>
    <w:p>
      <w:pPr>
        <w:spacing w:after="0" w:line="240" w:lineRule="auto"/>
        <w:rPr>
          <w:rFonts w:ascii="仿宋_GB2312" w:eastAsia="仿宋_GB2312"/>
          <w:sz w:val="32"/>
          <w:szCs w:val="32"/>
        </w:rPr>
      </w:pPr>
      <w:r>
        <w:rPr>
          <w:rFonts w:ascii="仿宋_GB2312" w:eastAsia="仿宋_GB2312"/>
          <w:sz w:val="32"/>
          <w:szCs w:val="32"/>
        </w:rPr>
        <w:t>七、政府性基金预算财政拨款收入支出决算情况说明</w:t>
      </w:r>
    </w:p>
    <w:p>
      <w:pPr>
        <w:spacing w:after="0" w:line="240" w:lineRule="auto"/>
        <w:rPr>
          <w:rFonts w:ascii="仿宋_GB2312" w:eastAsia="仿宋_GB2312"/>
          <w:sz w:val="32"/>
          <w:szCs w:val="32"/>
        </w:rPr>
      </w:pPr>
      <w:r>
        <w:rPr>
          <w:rFonts w:ascii="仿宋_GB2312" w:eastAsia="仿宋_GB2312"/>
          <w:sz w:val="32"/>
          <w:szCs w:val="32"/>
        </w:rPr>
        <w:t>八、国有资本经营预算财政拨款收入支出决算情况说明</w:t>
      </w:r>
    </w:p>
    <w:p>
      <w:pPr>
        <w:spacing w:after="0" w:line="240" w:lineRule="auto"/>
        <w:rPr>
          <w:rFonts w:ascii="仿宋_GB2312" w:eastAsia="仿宋_GB2312"/>
          <w:sz w:val="32"/>
          <w:szCs w:val="32"/>
        </w:rPr>
      </w:pPr>
      <w:r>
        <w:rPr>
          <w:rFonts w:ascii="仿宋_GB2312" w:eastAsia="仿宋_GB2312"/>
          <w:sz w:val="32"/>
          <w:szCs w:val="32"/>
        </w:rPr>
        <w:t>九、财政拨款“三公”经费支出决算情况说明</w:t>
      </w:r>
    </w:p>
    <w:p>
      <w:pPr>
        <w:spacing w:after="0" w:line="240" w:lineRule="auto"/>
        <w:rPr>
          <w:rFonts w:ascii="仿宋_GB2312" w:eastAsia="仿宋_GB2312"/>
          <w:sz w:val="32"/>
          <w:szCs w:val="32"/>
        </w:rPr>
      </w:pPr>
      <w:r>
        <w:rPr>
          <w:rFonts w:ascii="仿宋_GB2312" w:eastAsia="仿宋_GB2312"/>
          <w:sz w:val="32"/>
          <w:szCs w:val="32"/>
        </w:rPr>
        <w:t>十、其他重要事项的情况说明</w:t>
      </w:r>
    </w:p>
    <w:p>
      <w:pPr>
        <w:spacing w:after="0" w:line="240" w:lineRule="auto"/>
        <w:rPr>
          <w:rFonts w:ascii="仿宋_GB2312" w:eastAsia="仿宋_GB2312"/>
          <w:sz w:val="32"/>
          <w:szCs w:val="32"/>
        </w:rPr>
      </w:pPr>
      <w:r>
        <w:rPr>
          <w:rFonts w:ascii="仿宋_GB2312" w:eastAsia="仿宋_GB2312"/>
          <w:sz w:val="32"/>
          <w:szCs w:val="32"/>
        </w:rPr>
        <w:t>（一）机关运行经费及公用经费支出情况</w:t>
      </w:r>
    </w:p>
    <w:p>
      <w:pPr>
        <w:spacing w:after="0" w:line="240" w:lineRule="auto"/>
        <w:rPr>
          <w:rFonts w:ascii="仿宋_GB2312" w:eastAsia="仿宋_GB2312"/>
          <w:sz w:val="32"/>
          <w:szCs w:val="32"/>
        </w:rPr>
      </w:pPr>
      <w:r>
        <w:rPr>
          <w:rFonts w:ascii="仿宋_GB2312" w:eastAsia="仿宋_GB2312"/>
          <w:sz w:val="32"/>
          <w:szCs w:val="32"/>
        </w:rPr>
        <w:t>（二）政府采购情况</w:t>
      </w:r>
    </w:p>
    <w:p>
      <w:pPr>
        <w:spacing w:after="0" w:line="240" w:lineRule="auto"/>
        <w:rPr>
          <w:rFonts w:ascii="仿宋_GB2312" w:eastAsia="仿宋_GB2312"/>
          <w:sz w:val="32"/>
          <w:szCs w:val="32"/>
        </w:rPr>
      </w:pPr>
      <w:r>
        <w:rPr>
          <w:rFonts w:ascii="仿宋_GB2312" w:eastAsia="仿宋_GB2312"/>
          <w:sz w:val="32"/>
          <w:szCs w:val="32"/>
        </w:rPr>
        <w:t>（三）国有资产占用情况说明</w:t>
      </w:r>
    </w:p>
    <w:p>
      <w:pPr>
        <w:spacing w:after="0" w:line="240" w:lineRule="auto"/>
        <w:rPr>
          <w:rFonts w:ascii="仿宋_GB2312" w:eastAsia="仿宋_GB2312"/>
          <w:sz w:val="32"/>
          <w:szCs w:val="32"/>
        </w:rPr>
      </w:pPr>
      <w:r>
        <w:rPr>
          <w:rFonts w:ascii="仿宋_GB2312" w:eastAsia="仿宋_GB2312"/>
          <w:sz w:val="32"/>
          <w:szCs w:val="32"/>
        </w:rPr>
        <w:t>十一、预算绩效的情况说明</w:t>
      </w:r>
    </w:p>
    <w:p>
      <w:pPr>
        <w:spacing w:after="0" w:line="240" w:lineRule="auto"/>
        <w:rPr>
          <w:rFonts w:ascii="仿宋_GB2312" w:eastAsia="仿宋_GB2312"/>
          <w:sz w:val="32"/>
          <w:szCs w:val="32"/>
        </w:rPr>
      </w:pPr>
      <w:r>
        <w:rPr>
          <w:rFonts w:ascii="仿宋_GB2312" w:eastAsia="仿宋_GB2312"/>
          <w:sz w:val="32"/>
          <w:szCs w:val="32"/>
        </w:rPr>
        <w:t>十二、其他需说明的事项</w:t>
      </w:r>
    </w:p>
    <w:p>
      <w:pPr>
        <w:spacing w:after="0" w:line="240" w:lineRule="auto"/>
        <w:rPr>
          <w:rFonts w:ascii="仿宋_GB2312" w:eastAsia="仿宋_GB2312"/>
          <w:sz w:val="32"/>
          <w:szCs w:val="32"/>
        </w:rPr>
      </w:pPr>
      <w:r>
        <w:rPr>
          <w:rFonts w:ascii="仿宋_GB2312" w:eastAsia="仿宋_GB2312"/>
          <w:b/>
          <w:sz w:val="32"/>
          <w:szCs w:val="32"/>
        </w:rPr>
        <w:t>第三部分专业名词解释</w:t>
      </w:r>
    </w:p>
    <w:p>
      <w:pPr>
        <w:spacing w:after="0" w:line="240" w:lineRule="auto"/>
        <w:rPr>
          <w:rFonts w:ascii="仿宋_GB2312" w:eastAsia="仿宋_GB2312"/>
          <w:sz w:val="32"/>
          <w:szCs w:val="32"/>
        </w:rPr>
      </w:pPr>
      <w:r>
        <w:rPr>
          <w:rFonts w:ascii="仿宋_GB2312" w:eastAsia="仿宋_GB2312"/>
          <w:b/>
          <w:sz w:val="32"/>
          <w:szCs w:val="32"/>
        </w:rPr>
        <w:t>第四部分部门决算报表（见附表）</w:t>
      </w:r>
    </w:p>
    <w:p>
      <w:pPr>
        <w:spacing w:after="0" w:line="240" w:lineRule="auto"/>
        <w:rPr>
          <w:rFonts w:ascii="仿宋_GB2312" w:eastAsia="仿宋_GB2312"/>
          <w:sz w:val="32"/>
          <w:szCs w:val="32"/>
        </w:rPr>
      </w:pPr>
      <w:r>
        <w:rPr>
          <w:rFonts w:ascii="仿宋_GB2312" w:eastAsia="仿宋_GB2312"/>
          <w:sz w:val="32"/>
          <w:szCs w:val="32"/>
        </w:rPr>
        <w:t>一、《收入支出决算总表》</w:t>
      </w:r>
    </w:p>
    <w:p>
      <w:pPr>
        <w:spacing w:after="0" w:line="240" w:lineRule="auto"/>
        <w:rPr>
          <w:rFonts w:ascii="仿宋_GB2312" w:eastAsia="仿宋_GB2312"/>
          <w:sz w:val="32"/>
          <w:szCs w:val="32"/>
        </w:rPr>
      </w:pPr>
      <w:r>
        <w:rPr>
          <w:rFonts w:ascii="仿宋_GB2312" w:eastAsia="仿宋_GB2312"/>
          <w:sz w:val="32"/>
          <w:szCs w:val="32"/>
        </w:rPr>
        <w:t>二、《收入决算表》</w:t>
      </w:r>
    </w:p>
    <w:p>
      <w:pPr>
        <w:spacing w:after="0" w:line="240" w:lineRule="auto"/>
        <w:rPr>
          <w:rFonts w:ascii="仿宋_GB2312" w:eastAsia="仿宋_GB2312"/>
          <w:sz w:val="32"/>
          <w:szCs w:val="32"/>
        </w:rPr>
      </w:pPr>
      <w:r>
        <w:rPr>
          <w:rFonts w:ascii="仿宋_GB2312" w:eastAsia="仿宋_GB2312"/>
          <w:sz w:val="32"/>
          <w:szCs w:val="32"/>
        </w:rPr>
        <w:t>三、《支出决算表》</w:t>
      </w:r>
    </w:p>
    <w:p>
      <w:pPr>
        <w:spacing w:after="0" w:line="240" w:lineRule="auto"/>
        <w:rPr>
          <w:rFonts w:ascii="仿宋_GB2312" w:eastAsia="仿宋_GB2312"/>
          <w:sz w:val="32"/>
          <w:szCs w:val="32"/>
        </w:rPr>
      </w:pPr>
      <w:r>
        <w:rPr>
          <w:rFonts w:ascii="仿宋_GB2312" w:eastAsia="仿宋_GB2312"/>
          <w:sz w:val="32"/>
          <w:szCs w:val="32"/>
        </w:rPr>
        <w:t>四、《财政拨款收入支出决算总表》</w:t>
      </w:r>
    </w:p>
    <w:p>
      <w:pPr>
        <w:spacing w:after="0" w:line="240" w:lineRule="auto"/>
        <w:rPr>
          <w:rFonts w:ascii="仿宋_GB2312" w:eastAsia="仿宋_GB2312"/>
          <w:sz w:val="32"/>
          <w:szCs w:val="32"/>
        </w:rPr>
      </w:pPr>
      <w:r>
        <w:rPr>
          <w:rFonts w:ascii="仿宋_GB2312" w:eastAsia="仿宋_GB2312"/>
          <w:sz w:val="32"/>
          <w:szCs w:val="32"/>
        </w:rPr>
        <w:t>五、《一般公共预算财政拨款支出决算表》</w:t>
      </w:r>
    </w:p>
    <w:p>
      <w:pPr>
        <w:spacing w:after="0" w:line="240" w:lineRule="auto"/>
        <w:rPr>
          <w:rFonts w:ascii="仿宋_GB2312" w:eastAsia="仿宋_GB2312"/>
          <w:sz w:val="32"/>
          <w:szCs w:val="32"/>
        </w:rPr>
      </w:pPr>
      <w:r>
        <w:rPr>
          <w:rFonts w:ascii="仿宋_GB2312" w:eastAsia="仿宋_GB2312"/>
          <w:sz w:val="32"/>
          <w:szCs w:val="32"/>
        </w:rPr>
        <w:t>六、《一般公共预算财政拨款基本支出决算表》</w:t>
      </w:r>
    </w:p>
    <w:p>
      <w:pPr>
        <w:spacing w:after="0" w:line="240" w:lineRule="auto"/>
        <w:rPr>
          <w:rFonts w:ascii="仿宋_GB2312" w:eastAsia="仿宋_GB2312"/>
          <w:sz w:val="32"/>
          <w:szCs w:val="32"/>
        </w:rPr>
      </w:pPr>
      <w:r>
        <w:rPr>
          <w:rFonts w:ascii="仿宋_GB2312" w:eastAsia="仿宋_GB2312"/>
          <w:sz w:val="32"/>
          <w:szCs w:val="32"/>
        </w:rPr>
        <w:t>七、《政府性基金预算财政拨款收入支出决算表》</w:t>
      </w:r>
    </w:p>
    <w:p>
      <w:pPr>
        <w:spacing w:after="0" w:line="240" w:lineRule="auto"/>
        <w:rPr>
          <w:rFonts w:ascii="仿宋_GB2312" w:eastAsia="仿宋_GB2312"/>
          <w:sz w:val="32"/>
          <w:szCs w:val="32"/>
        </w:rPr>
      </w:pPr>
      <w:r>
        <w:rPr>
          <w:rFonts w:ascii="仿宋_GB2312" w:eastAsia="仿宋_GB2312"/>
          <w:sz w:val="32"/>
          <w:szCs w:val="32"/>
        </w:rPr>
        <w:t>八、《国有资本经营预算财政拨款收入支出决算表》</w:t>
      </w:r>
    </w:p>
    <w:p>
      <w:pPr>
        <w:spacing w:after="0" w:line="240" w:lineRule="auto"/>
        <w:rPr>
          <w:rFonts w:ascii="仿宋_GB2312" w:eastAsia="仿宋_GB2312"/>
          <w:sz w:val="32"/>
          <w:szCs w:val="32"/>
        </w:rPr>
      </w:pPr>
      <w:r>
        <w:rPr>
          <w:rFonts w:ascii="仿宋_GB2312" w:eastAsia="仿宋_GB2312"/>
          <w:sz w:val="32"/>
          <w:szCs w:val="32"/>
        </w:rPr>
        <w:t>九、《财政拨款“三公”经费支出决算表》</w:t>
      </w:r>
    </w:p>
    <w:p>
      <w:r>
        <w:rPr>
          <w:sz w:val="0"/>
          <w:szCs w:val="0"/>
        </w:rPr>
        <w:br w:type="page"/>
      </w:r>
    </w:p>
    <w:p>
      <w:pPr>
        <w:spacing w:after="0" w:line="240" w:lineRule="auto"/>
        <w:jc w:val="center"/>
        <w:outlineLvl w:val="0"/>
        <w:rPr>
          <w:rFonts w:ascii="黑体" w:eastAsia="黑体"/>
          <w:sz w:val="32"/>
          <w:szCs w:val="32"/>
        </w:rPr>
      </w:pPr>
      <w:r>
        <w:rPr>
          <w:rFonts w:ascii="黑体" w:eastAsia="黑体"/>
          <w:sz w:val="32"/>
          <w:szCs w:val="32"/>
        </w:rPr>
        <w:t>第一部分单位概况</w:t>
      </w:r>
    </w:p>
    <w:p>
      <w:pPr>
        <w:spacing w:after="0" w:line="240" w:lineRule="auto"/>
        <w:ind w:firstLine="640" w:firstLineChars="200"/>
        <w:outlineLvl w:val="1"/>
        <w:rPr>
          <w:rFonts w:ascii="黑体" w:eastAsia="黑体"/>
          <w:sz w:val="32"/>
          <w:szCs w:val="32"/>
        </w:rPr>
      </w:pPr>
      <w:r>
        <w:rPr>
          <w:rFonts w:ascii="黑体" w:eastAsia="黑体"/>
          <w:sz w:val="32"/>
          <w:szCs w:val="32"/>
        </w:rPr>
        <w:t>一、主要职能</w:t>
      </w:r>
    </w:p>
    <w:p>
      <w:pPr>
        <w:snapToGrid w:val="0"/>
        <w:spacing w:line="560" w:lineRule="exact"/>
        <w:ind w:firstLine="640" w:firstLineChars="200"/>
        <w:rPr>
          <w:rFonts w:ascii="仿宋_GB2312" w:eastAsia="仿宋_GB2312"/>
          <w:sz w:val="32"/>
          <w:szCs w:val="32"/>
          <w:lang w:val="zh-Hans"/>
        </w:rPr>
      </w:pPr>
      <w:r>
        <w:rPr>
          <w:rFonts w:hint="eastAsia" w:ascii="仿宋_GB2312" w:eastAsia="仿宋_GB2312"/>
          <w:sz w:val="32"/>
          <w:szCs w:val="32"/>
          <w:lang w:val="zh-Hans"/>
        </w:rPr>
        <w:t>（一）组织实施库尔勒市“三农”工作的发展战略、中长期规划、重大政策。参与农业农村有关</w:t>
      </w:r>
      <w:r>
        <w:rPr>
          <w:rFonts w:hint="eastAsia" w:ascii="仿宋_GB2312" w:eastAsia="仿宋_GB2312"/>
          <w:sz w:val="32"/>
          <w:szCs w:val="32"/>
        </w:rPr>
        <w:t>政策</w:t>
      </w:r>
      <w:r>
        <w:rPr>
          <w:rFonts w:hint="eastAsia" w:ascii="仿宋_GB2312" w:eastAsia="仿宋_GB2312"/>
          <w:sz w:val="32"/>
          <w:szCs w:val="32"/>
          <w:lang w:val="zh-Hans"/>
        </w:rPr>
        <w:t>规章的制定、库尔勒市涉农的财税、价格、收储、金融保险等政策研究。指导监督农业综合执法。</w:t>
      </w:r>
    </w:p>
    <w:p>
      <w:pPr>
        <w:snapToGrid w:val="0"/>
        <w:spacing w:line="560" w:lineRule="exact"/>
        <w:ind w:firstLine="640" w:firstLineChars="200"/>
        <w:rPr>
          <w:rFonts w:ascii="仿宋_GB2312" w:eastAsia="仿宋_GB2312"/>
          <w:sz w:val="32"/>
          <w:szCs w:val="32"/>
          <w:lang w:val="zh-Hans"/>
        </w:rPr>
      </w:pPr>
      <w:r>
        <w:rPr>
          <w:rFonts w:hint="eastAsia" w:ascii="仿宋_GB2312" w:eastAsia="仿宋_GB2312"/>
          <w:sz w:val="32"/>
          <w:szCs w:val="32"/>
          <w:lang w:val="zh-Hans"/>
        </w:rPr>
        <w:t>（二）统筹推动发展农村社会事业、农村公共服务、农村文化、农村基础设施和乡村治理。牵头组织改善农村人居环境</w:t>
      </w:r>
      <w:r>
        <w:rPr>
          <w:rFonts w:hint="eastAsia" w:ascii="仿宋_GB2312" w:eastAsia="仿宋_GB2312"/>
          <w:sz w:val="32"/>
          <w:szCs w:val="32"/>
        </w:rPr>
        <w:t>；</w:t>
      </w:r>
      <w:r>
        <w:rPr>
          <w:rFonts w:hint="eastAsia" w:ascii="仿宋_GB2312" w:eastAsia="仿宋_GB2312"/>
          <w:sz w:val="32"/>
          <w:szCs w:val="32"/>
          <w:lang w:val="zh-Hans"/>
        </w:rPr>
        <w:t>指导农村精神文明和优秀农耕文化建设，指导农牧业行业安全生产工作。</w:t>
      </w:r>
    </w:p>
    <w:p>
      <w:pPr>
        <w:snapToGrid w:val="0"/>
        <w:spacing w:line="560" w:lineRule="exact"/>
        <w:ind w:firstLine="640" w:firstLineChars="200"/>
        <w:rPr>
          <w:rFonts w:ascii="仿宋_GB2312" w:eastAsia="仿宋_GB2312"/>
          <w:sz w:val="32"/>
          <w:szCs w:val="32"/>
          <w:lang w:val="zh-Hans"/>
        </w:rPr>
      </w:pPr>
      <w:r>
        <w:rPr>
          <w:rFonts w:hint="eastAsia" w:ascii="仿宋_GB2312" w:eastAsia="仿宋_GB2312"/>
          <w:sz w:val="32"/>
          <w:szCs w:val="32"/>
          <w:lang w:val="zh-Hans"/>
        </w:rPr>
        <w:t>（三）贯彻深化农村经济体制改革和巩固完善农村基本经营制度的政策。负责农民承包地、农村宅基地改革和管理有关工作。负责农村集体产权制度改革，指导农村集体经济组织发展和集体资产管理，指导农民合作经济组织、农业社会化服务体系、新型农业经营主体建设与发展。</w:t>
      </w:r>
    </w:p>
    <w:p>
      <w:pPr>
        <w:snapToGrid w:val="0"/>
        <w:spacing w:line="560" w:lineRule="exact"/>
        <w:ind w:firstLine="640" w:firstLineChars="200"/>
        <w:rPr>
          <w:rFonts w:ascii="仿宋_GB2312" w:eastAsia="仿宋_GB2312"/>
          <w:sz w:val="32"/>
          <w:szCs w:val="32"/>
          <w:lang w:val="zh-Hans"/>
        </w:rPr>
      </w:pPr>
      <w:r>
        <w:rPr>
          <w:rFonts w:hint="eastAsia" w:ascii="仿宋_GB2312" w:eastAsia="仿宋_GB2312"/>
          <w:sz w:val="32"/>
          <w:szCs w:val="32"/>
          <w:lang w:val="zh-Hans"/>
        </w:rPr>
        <w:t>（四）指导乡村特色产业、农产品加工业、休闲农业和乡镇企业发展，提出促进大宗农产品流通建议，培育、保护农业品牌，发布农业农村经济信息，监测分析农业农村经济运行，承担农业统计和农业农村信息化有关工作。</w:t>
      </w:r>
    </w:p>
    <w:p>
      <w:pPr>
        <w:snapToGrid w:val="0"/>
        <w:spacing w:line="560" w:lineRule="exact"/>
        <w:ind w:firstLine="640" w:firstLineChars="200"/>
        <w:rPr>
          <w:rFonts w:ascii="仿宋_GB2312" w:eastAsia="仿宋_GB2312"/>
          <w:sz w:val="32"/>
          <w:szCs w:val="32"/>
          <w:lang w:val="zh-Hans"/>
        </w:rPr>
      </w:pPr>
      <w:r>
        <w:rPr>
          <w:rFonts w:hint="eastAsia" w:ascii="仿宋_GB2312" w:eastAsia="仿宋_GB2312"/>
          <w:sz w:val="32"/>
          <w:szCs w:val="32"/>
          <w:lang w:val="zh-Hans"/>
        </w:rPr>
        <w:t>（五）负责种植业、市属国有农场、农业机械化等农业各产业的监督管理。指导粮食、棉花、蔬菜等主要农产品生产。组织构建现代农业产业体系、生产体系、经营体系，指导农业标准化生产。指导饲草良种体系建设、饲草生产加工流通、草牧业转型升级、农牧交错带产业结构调整。负责渔业监督管理。</w:t>
      </w:r>
    </w:p>
    <w:p>
      <w:pPr>
        <w:snapToGrid w:val="0"/>
        <w:spacing w:line="560" w:lineRule="exact"/>
        <w:ind w:firstLine="640" w:firstLineChars="200"/>
        <w:rPr>
          <w:rFonts w:ascii="仿宋_GB2312" w:eastAsia="仿宋_GB2312"/>
          <w:sz w:val="32"/>
          <w:szCs w:val="32"/>
          <w:lang w:val="zh-Hans"/>
        </w:rPr>
      </w:pPr>
      <w:r>
        <w:rPr>
          <w:rFonts w:hint="eastAsia" w:ascii="仿宋_GB2312" w:eastAsia="仿宋_GB2312"/>
          <w:sz w:val="32"/>
          <w:szCs w:val="32"/>
          <w:lang w:val="zh-Hans"/>
        </w:rPr>
        <w:t>（六）负责农畜产品质量安全监督管理。组织开展农产品质量安全监测、追溯、风险评估。参与制定农畜产品质量安全、兽医行业、动物疫病防治、饲料饲草业、畜禽屠宰行业有关标准和技术规范，会同有关部门组织实施。指导农畜产品检验检测体系建设，组织农畜产品质量安全的监督管理和兽医实验室考核评估。负责农业转基因生物安全监督管理和农业植物新品种保护。</w:t>
      </w:r>
    </w:p>
    <w:p>
      <w:pPr>
        <w:snapToGrid w:val="0"/>
        <w:spacing w:line="560" w:lineRule="exact"/>
        <w:ind w:firstLine="640" w:firstLineChars="200"/>
        <w:rPr>
          <w:rFonts w:ascii="仿宋_GB2312" w:eastAsia="仿宋_GB2312"/>
          <w:sz w:val="32"/>
          <w:szCs w:val="32"/>
          <w:lang w:val="zh-Hans"/>
        </w:rPr>
      </w:pPr>
      <w:r>
        <w:rPr>
          <w:rFonts w:hint="eastAsia" w:ascii="仿宋_GB2312" w:eastAsia="仿宋_GB2312"/>
          <w:sz w:val="32"/>
          <w:szCs w:val="32"/>
          <w:lang w:val="zh-Hans"/>
        </w:rPr>
        <w:t>（七）组织农牧业资源区划工作。指导农用地、农牧业生物物种资源的保护与管理，畜禽遗传资源保护与利用。负责耕地及永久基本农田质量保护，指导农畜产品产地环境管理和农牧业清洁生产，负责畜禽粪污资源化利用、病死畜禽无害化处理等工作。指导设施农业、生态循环农业、节水农业发展以及农村可再生能源综合开发利用、农业生物产业发展。承担外来物种相关管理工作。</w:t>
      </w:r>
    </w:p>
    <w:p>
      <w:pPr>
        <w:snapToGrid w:val="0"/>
        <w:spacing w:line="560" w:lineRule="exact"/>
        <w:ind w:firstLine="640" w:firstLineChars="200"/>
        <w:rPr>
          <w:rFonts w:ascii="仿宋_GB2312" w:eastAsia="仿宋_GB2312"/>
          <w:sz w:val="32"/>
          <w:szCs w:val="32"/>
          <w:lang w:val="zh-Hans"/>
        </w:rPr>
      </w:pPr>
      <w:r>
        <w:rPr>
          <w:rFonts w:hint="eastAsia" w:ascii="仿宋_GB2312" w:eastAsia="仿宋_GB2312"/>
          <w:sz w:val="32"/>
          <w:szCs w:val="32"/>
          <w:lang w:val="zh-Hans"/>
        </w:rPr>
        <w:t>（八）负责库尔勒市有关农业生产资料、农业投入品、兽药和饲料、渔业的监督管理。依法开展农作物种子、农药等农业投入品的行政许可。负责畜禽养殖场备案管理、组织农业生产资料市场体系建设，参与有关农业生产资料地方标准拟订并监督实施。</w:t>
      </w:r>
    </w:p>
    <w:p>
      <w:pPr>
        <w:snapToGrid w:val="0"/>
        <w:spacing w:line="560" w:lineRule="exact"/>
        <w:ind w:firstLine="640" w:firstLineChars="200"/>
        <w:rPr>
          <w:rFonts w:ascii="仿宋_GB2312" w:eastAsia="仿宋_GB2312"/>
          <w:sz w:val="32"/>
          <w:szCs w:val="32"/>
          <w:lang w:val="zh-Hans"/>
        </w:rPr>
      </w:pPr>
      <w:r>
        <w:rPr>
          <w:rFonts w:hint="eastAsia" w:ascii="仿宋_GB2312" w:eastAsia="仿宋_GB2312"/>
          <w:sz w:val="32"/>
          <w:szCs w:val="32"/>
          <w:lang w:val="zh-Hans"/>
        </w:rPr>
        <w:t>（九）负责农牧业防灾减灾、农作物重大病虫害防治、动物疫病防治和疫情处置工作。负责兽医医政、药政管理和兽医从业人员培训及管理。组织实施动物疫病监测和风险评估，监督指导动物疫情扑灭工作。负责动物防疫应急管理。指导植物防疫检疫体系建设，组织、监督市内植物防疫检疫工作，根据授权发布疫情并组织处置。</w:t>
      </w:r>
    </w:p>
    <w:p>
      <w:pPr>
        <w:snapToGrid w:val="0"/>
        <w:spacing w:line="560" w:lineRule="exact"/>
        <w:ind w:firstLine="640" w:firstLineChars="200"/>
        <w:rPr>
          <w:rFonts w:ascii="仿宋_GB2312" w:eastAsia="仿宋_GB2312"/>
          <w:sz w:val="32"/>
          <w:szCs w:val="32"/>
          <w:lang w:val="zh-Hans"/>
        </w:rPr>
      </w:pPr>
      <w:r>
        <w:rPr>
          <w:rFonts w:hint="eastAsia" w:ascii="仿宋_GB2312" w:eastAsia="仿宋_GB2312"/>
          <w:sz w:val="32"/>
          <w:szCs w:val="32"/>
          <w:lang w:val="zh-Hans"/>
        </w:rPr>
        <w:t>（十）负责农牧业投资管理。提出农牧业投融资体制机制改革建议。编制中央、自治区、自治州投资安排的农牧业投资项目建设规划，提出农牧业投资规模和方向、扶持农业农村发展及畜牧业发展财政项目的建议，按规定权限审批农牧业投资项目，负责农牧业投资项目组织实施和监督管理。</w:t>
      </w:r>
    </w:p>
    <w:p>
      <w:pPr>
        <w:snapToGrid w:val="0"/>
        <w:spacing w:line="560" w:lineRule="exact"/>
        <w:ind w:firstLine="640" w:firstLineChars="200"/>
        <w:rPr>
          <w:rFonts w:ascii="仿宋_GB2312" w:eastAsia="仿宋_GB2312"/>
          <w:sz w:val="32"/>
          <w:szCs w:val="32"/>
          <w:lang w:val="zh-Hans"/>
        </w:rPr>
      </w:pPr>
      <w:r>
        <w:rPr>
          <w:rFonts w:hint="eastAsia" w:ascii="仿宋_GB2312" w:eastAsia="仿宋_GB2312"/>
          <w:sz w:val="32"/>
          <w:szCs w:val="32"/>
          <w:lang w:val="zh-Hans"/>
        </w:rPr>
        <w:t>（十一）承担农牧业科技体制改革和农牧业科技创新体系建设。指导农牧业产业技术体系和农技推广体系建设，组织开展农牧业领域的高新技术和应用技术研究、科技成果转化和技术推广。负责农业转基因生物安全监督管理和农业植物新品种保护。</w:t>
      </w:r>
    </w:p>
    <w:p>
      <w:pPr>
        <w:snapToGrid w:val="0"/>
        <w:spacing w:line="560" w:lineRule="exact"/>
        <w:ind w:firstLine="640" w:firstLineChars="200"/>
        <w:rPr>
          <w:rFonts w:ascii="仿宋_GB2312" w:eastAsia="仿宋_GB2312"/>
          <w:sz w:val="32"/>
          <w:szCs w:val="32"/>
          <w:lang w:val="zh-Hans"/>
        </w:rPr>
      </w:pPr>
      <w:r>
        <w:rPr>
          <w:rFonts w:hint="eastAsia" w:ascii="仿宋_GB2312" w:eastAsia="仿宋_GB2312"/>
          <w:sz w:val="32"/>
          <w:szCs w:val="32"/>
          <w:lang w:val="zh-Hans"/>
        </w:rPr>
        <w:t>（十二）指导农牧业农村人才工作。拟订农牧业农村人才队伍建设规划并组织实施，指导农牧业教育和农牧业职业技能开发，指导新型职业农民培育、农牧业科技人才培养和农村实用人才培训工作。</w:t>
      </w:r>
    </w:p>
    <w:p>
      <w:pPr>
        <w:snapToGrid w:val="0"/>
        <w:spacing w:line="560" w:lineRule="exact"/>
        <w:ind w:firstLine="640" w:firstLineChars="200"/>
        <w:rPr>
          <w:rFonts w:ascii="仿宋_GB2312" w:eastAsia="仿宋_GB2312"/>
          <w:sz w:val="32"/>
          <w:szCs w:val="32"/>
          <w:lang w:val="zh-Hans"/>
        </w:rPr>
      </w:pPr>
      <w:r>
        <w:rPr>
          <w:rFonts w:hint="eastAsia" w:ascii="仿宋_GB2312" w:eastAsia="仿宋_GB2312"/>
          <w:sz w:val="32"/>
          <w:szCs w:val="32"/>
          <w:lang w:val="zh-Hans"/>
        </w:rPr>
        <w:t>（十三）组织开展农业对外合作工作。承办库尔勒市农业涉外事务，参与库尔勒市农业贸易促进和有关国际交流合作，参与库尔勒市农业对外援助政策和规划制定，协助有关部门组织实施有关农业援外项目。</w:t>
      </w:r>
    </w:p>
    <w:p>
      <w:pPr>
        <w:snapToGrid w:val="0"/>
        <w:spacing w:line="560" w:lineRule="exact"/>
        <w:ind w:firstLine="640" w:firstLineChars="200"/>
        <w:rPr>
          <w:rFonts w:ascii="仿宋_GB2312" w:eastAsia="仿宋_GB2312"/>
          <w:sz w:val="32"/>
          <w:szCs w:val="32"/>
        </w:rPr>
      </w:pPr>
      <w:r>
        <w:rPr>
          <w:rFonts w:hint="eastAsia" w:ascii="仿宋_GB2312" w:eastAsia="仿宋_GB2312"/>
          <w:sz w:val="32"/>
          <w:szCs w:val="32"/>
          <w:lang w:val="zh-Hans"/>
        </w:rPr>
        <w:t>（十四）完成市党委、市人民政府交办的其他任务</w:t>
      </w:r>
      <w:r>
        <w:rPr>
          <w:rFonts w:hint="eastAsia" w:ascii="仿宋_GB2312" w:eastAsia="仿宋_GB2312"/>
          <w:sz w:val="32"/>
          <w:szCs w:val="32"/>
        </w:rPr>
        <w:t>。</w:t>
      </w:r>
    </w:p>
    <w:p>
      <w:pPr>
        <w:spacing w:after="0" w:line="240" w:lineRule="auto"/>
        <w:ind w:firstLine="640" w:firstLineChars="200"/>
        <w:outlineLvl w:val="1"/>
        <w:rPr>
          <w:rFonts w:ascii="黑体" w:eastAsia="黑体"/>
          <w:sz w:val="32"/>
          <w:szCs w:val="32"/>
        </w:rPr>
      </w:pPr>
      <w:r>
        <w:rPr>
          <w:rFonts w:ascii="黑体" w:eastAsia="黑体"/>
          <w:sz w:val="32"/>
          <w:szCs w:val="32"/>
        </w:rPr>
        <w:t>二、机构设置及人员情况</w:t>
      </w:r>
    </w:p>
    <w:p>
      <w:pPr>
        <w:spacing w:after="0" w:line="240" w:lineRule="auto"/>
        <w:ind w:firstLine="640" w:firstLineChars="200"/>
        <w:jc w:val="both"/>
        <w:rPr>
          <w:rFonts w:ascii="仿宋_GB2312" w:eastAsia="仿宋_GB2312"/>
          <w:sz w:val="32"/>
          <w:szCs w:val="32"/>
        </w:rPr>
      </w:pPr>
      <w:r>
        <w:rPr>
          <w:rFonts w:ascii="仿宋_GB2312" w:eastAsia="仿宋_GB2312"/>
          <w:sz w:val="32"/>
          <w:szCs w:val="32"/>
        </w:rPr>
        <w:t>库尔勒市农业农村局2024年度，实有人数186人，其中：在职人员68人，减少3人；离休人员0人，较上年无变化；退休人员118人，增加6人。</w:t>
      </w:r>
    </w:p>
    <w:p>
      <w:pPr>
        <w:snapToGrid w:val="0"/>
        <w:spacing w:line="560" w:lineRule="exact"/>
        <w:ind w:firstLine="660"/>
        <w:outlineLvl w:val="0"/>
        <w:rPr>
          <w:rFonts w:eastAsia="方正仿宋_GBK"/>
          <w:sz w:val="31"/>
          <w:szCs w:val="32"/>
        </w:rPr>
      </w:pPr>
      <w:r>
        <w:rPr>
          <w:rFonts w:ascii="仿宋_GB2312" w:eastAsia="仿宋_GB2312"/>
          <w:sz w:val="32"/>
          <w:szCs w:val="32"/>
        </w:rPr>
        <w:t>库尔勒市农业农村局无下属预算单位，下设</w:t>
      </w:r>
      <w:r>
        <w:rPr>
          <w:rFonts w:hint="eastAsia" w:ascii="仿宋_GB2312" w:eastAsia="仿宋_GB2312"/>
          <w:sz w:val="32"/>
          <w:szCs w:val="32"/>
          <w:lang w:eastAsia="zh-CN"/>
        </w:rPr>
        <w:t>11</w:t>
      </w:r>
      <w:r>
        <w:rPr>
          <w:rFonts w:ascii="仿宋_GB2312" w:eastAsia="仿宋_GB2312"/>
          <w:sz w:val="32"/>
          <w:szCs w:val="32"/>
        </w:rPr>
        <w:t>个</w:t>
      </w:r>
      <w:r>
        <w:rPr>
          <w:rFonts w:hint="eastAsia" w:ascii="仿宋_GB2312" w:eastAsia="仿宋_GB2312"/>
          <w:sz w:val="32"/>
          <w:szCs w:val="32"/>
          <w:lang w:eastAsia="zh-CN"/>
        </w:rPr>
        <w:t>处室</w:t>
      </w:r>
      <w:r>
        <w:rPr>
          <w:rFonts w:ascii="仿宋_GB2312" w:eastAsia="仿宋_GB2312"/>
          <w:sz w:val="32"/>
          <w:szCs w:val="32"/>
        </w:rPr>
        <w:t>，</w:t>
      </w:r>
      <w:r>
        <w:rPr>
          <w:rFonts w:hint="eastAsia" w:ascii="仿宋_GB2312" w:eastAsia="仿宋_GB2312" w:cs="宋体"/>
          <w:bCs/>
          <w:sz w:val="32"/>
          <w:szCs w:val="32"/>
        </w:rPr>
        <w:t>分别是：</w:t>
      </w:r>
      <w:r>
        <w:rPr>
          <w:rFonts w:hint="eastAsia" w:ascii="仿宋_GB2312" w:eastAsia="仿宋_GB2312"/>
          <w:sz w:val="32"/>
          <w:szCs w:val="32"/>
        </w:rPr>
        <w:t>办公室、农业项目管理办公室、政策法规办公室、农村社会事业促进办公室、科技教育办公室、农业生产管理办公室、农村改革与合作经济指导办公室、农畜水产品质量安全监管办公室、农业机械化管理办公室、农办秘书室、畜牧兽医办公室。</w:t>
      </w:r>
    </w:p>
    <w:p>
      <w:pPr>
        <w:rPr>
          <w:lang w:eastAsia="zh-CN"/>
        </w:rPr>
      </w:pPr>
      <w:r>
        <w:rPr>
          <w:sz w:val="0"/>
          <w:szCs w:val="0"/>
        </w:rPr>
        <w:br w:type="page"/>
      </w:r>
    </w:p>
    <w:p>
      <w:pPr>
        <w:spacing w:after="0" w:line="240" w:lineRule="auto"/>
        <w:jc w:val="center"/>
        <w:outlineLvl w:val="0"/>
        <w:rPr>
          <w:rFonts w:ascii="黑体" w:eastAsia="黑体"/>
          <w:sz w:val="32"/>
          <w:szCs w:val="32"/>
        </w:rPr>
      </w:pPr>
      <w:r>
        <w:rPr>
          <w:rFonts w:ascii="黑体" w:eastAsia="黑体"/>
          <w:sz w:val="32"/>
          <w:szCs w:val="32"/>
        </w:rPr>
        <w:t>第二部分部门决算情况说明</w:t>
      </w:r>
    </w:p>
    <w:p>
      <w:pPr>
        <w:spacing w:after="0" w:line="240" w:lineRule="auto"/>
        <w:ind w:firstLine="640" w:firstLineChars="200"/>
        <w:outlineLvl w:val="1"/>
        <w:rPr>
          <w:rFonts w:ascii="黑体" w:eastAsia="黑体"/>
          <w:sz w:val="32"/>
          <w:szCs w:val="32"/>
        </w:rPr>
      </w:pPr>
      <w:r>
        <w:rPr>
          <w:rFonts w:ascii="黑体" w:eastAsia="黑体"/>
          <w:sz w:val="32"/>
          <w:szCs w:val="32"/>
        </w:rPr>
        <w:t>一、收入支出决算总体情况说明</w:t>
      </w:r>
    </w:p>
    <w:p>
      <w:pPr>
        <w:spacing w:after="0" w:line="240" w:lineRule="auto"/>
        <w:ind w:firstLine="640" w:firstLineChars="200"/>
        <w:jc w:val="both"/>
        <w:rPr>
          <w:rFonts w:ascii="仿宋_GB2312" w:eastAsia="仿宋_GB2312"/>
          <w:sz w:val="32"/>
          <w:szCs w:val="32"/>
        </w:rPr>
      </w:pPr>
      <w:r>
        <w:rPr>
          <w:rFonts w:ascii="仿宋_GB2312" w:eastAsia="仿宋_GB2312"/>
          <w:sz w:val="32"/>
          <w:szCs w:val="32"/>
        </w:rPr>
        <w:t>2024年度收入总计28,432.18万元，其中：本年收入合计28,432.18万元，使用非财政拨款结余（含专用结余）0.00万元，年初结转和结余0.00万元。</w:t>
      </w:r>
    </w:p>
    <w:p>
      <w:pPr>
        <w:spacing w:after="0" w:line="240" w:lineRule="auto"/>
        <w:ind w:firstLine="640" w:firstLineChars="200"/>
        <w:jc w:val="both"/>
        <w:rPr>
          <w:rFonts w:ascii="仿宋_GB2312" w:eastAsia="仿宋_GB2312"/>
          <w:sz w:val="32"/>
          <w:szCs w:val="32"/>
        </w:rPr>
      </w:pPr>
      <w:r>
        <w:rPr>
          <w:rFonts w:ascii="仿宋_GB2312" w:eastAsia="仿宋_GB2312"/>
          <w:sz w:val="32"/>
          <w:szCs w:val="32"/>
        </w:rPr>
        <w:t>2024年度支出总计28,432.18万元，其中：本年支出合计28,432.18万元，结余分配0.00万元，年末结转和结余0.00万元。</w:t>
      </w:r>
    </w:p>
    <w:p>
      <w:pPr>
        <w:spacing w:after="0" w:line="240" w:lineRule="auto"/>
        <w:ind w:firstLine="640" w:firstLineChars="200"/>
        <w:jc w:val="both"/>
        <w:rPr>
          <w:rFonts w:ascii="仿宋_GB2312" w:eastAsia="仿宋_GB2312"/>
          <w:sz w:val="32"/>
          <w:szCs w:val="32"/>
        </w:rPr>
      </w:pPr>
      <w:r>
        <w:rPr>
          <w:rFonts w:ascii="仿宋_GB2312" w:eastAsia="仿宋_GB2312"/>
          <w:sz w:val="32"/>
          <w:szCs w:val="32"/>
        </w:rPr>
        <w:t>收入支出总体与上年相比，增加8,715.50万元，增长44.20%，主要原因是：</w:t>
      </w:r>
      <w:r>
        <w:rPr>
          <w:rFonts w:ascii="仿宋_GB2312" w:eastAsia="仿宋_GB2312"/>
          <w:sz w:val="32"/>
          <w:szCs w:val="32"/>
          <w:lang w:eastAsia="zh-CN"/>
        </w:rPr>
        <w:t>农业保险保费补贴</w:t>
      </w:r>
      <w:r>
        <w:rPr>
          <w:rFonts w:hint="eastAsia" w:ascii="仿宋_GB2312" w:eastAsia="仿宋_GB2312"/>
          <w:sz w:val="32"/>
          <w:szCs w:val="32"/>
          <w:lang w:eastAsia="zh-CN"/>
        </w:rPr>
        <w:t>、高标准农田</w:t>
      </w:r>
      <w:r>
        <w:rPr>
          <w:rFonts w:ascii="仿宋_GB2312" w:eastAsia="仿宋_GB2312"/>
          <w:sz w:val="32"/>
          <w:szCs w:val="32"/>
          <w:lang w:eastAsia="zh-CN"/>
        </w:rPr>
        <w:t>建设</w:t>
      </w:r>
      <w:r>
        <w:rPr>
          <w:rFonts w:hint="eastAsia" w:ascii="仿宋_GB2312" w:eastAsia="仿宋_GB2312"/>
          <w:sz w:val="32"/>
          <w:szCs w:val="32"/>
        </w:rPr>
        <w:t>项目资金</w:t>
      </w:r>
      <w:r>
        <w:rPr>
          <w:rFonts w:hint="eastAsia" w:ascii="仿宋_GB2312" w:eastAsia="仿宋_GB2312"/>
          <w:sz w:val="32"/>
          <w:szCs w:val="32"/>
          <w:lang w:eastAsia="zh-CN"/>
        </w:rPr>
        <w:t>增加</w:t>
      </w:r>
      <w:r>
        <w:rPr>
          <w:rFonts w:hint="eastAsia" w:ascii="仿宋_GB2312" w:eastAsia="仿宋_GB2312"/>
          <w:sz w:val="32"/>
          <w:szCs w:val="32"/>
        </w:rPr>
        <w:t>、职工到达正常退休年限正常退休导致收入支出总体</w:t>
      </w:r>
      <w:r>
        <w:rPr>
          <w:rFonts w:hint="eastAsia" w:ascii="仿宋_GB2312" w:eastAsia="仿宋_GB2312"/>
          <w:sz w:val="32"/>
          <w:szCs w:val="32"/>
          <w:lang w:eastAsia="zh-CN"/>
        </w:rPr>
        <w:t>上涨</w:t>
      </w:r>
      <w:r>
        <w:rPr>
          <w:rFonts w:hint="eastAsia" w:ascii="仿宋_GB2312" w:eastAsia="仿宋_GB2312"/>
          <w:sz w:val="32"/>
          <w:szCs w:val="32"/>
        </w:rPr>
        <w:t>。</w:t>
      </w:r>
    </w:p>
    <w:p>
      <w:pPr>
        <w:spacing w:after="0" w:line="240" w:lineRule="auto"/>
        <w:ind w:firstLine="640" w:firstLineChars="200"/>
        <w:outlineLvl w:val="1"/>
        <w:rPr>
          <w:rFonts w:ascii="黑体" w:eastAsia="黑体"/>
          <w:sz w:val="32"/>
          <w:szCs w:val="32"/>
        </w:rPr>
      </w:pPr>
      <w:r>
        <w:rPr>
          <w:rFonts w:ascii="黑体" w:eastAsia="黑体"/>
          <w:sz w:val="32"/>
          <w:szCs w:val="32"/>
        </w:rPr>
        <w:t>二、收入决算情况说明</w:t>
      </w:r>
    </w:p>
    <w:p>
      <w:pPr>
        <w:spacing w:after="0" w:line="240" w:lineRule="auto"/>
        <w:ind w:firstLine="640" w:firstLineChars="200"/>
        <w:jc w:val="both"/>
        <w:rPr>
          <w:rFonts w:ascii="仿宋_GB2312" w:eastAsia="仿宋_GB2312"/>
          <w:sz w:val="32"/>
          <w:szCs w:val="32"/>
        </w:rPr>
      </w:pPr>
      <w:r>
        <w:rPr>
          <w:rFonts w:ascii="仿宋_GB2312" w:eastAsia="仿宋_GB2312"/>
          <w:sz w:val="32"/>
          <w:szCs w:val="32"/>
        </w:rPr>
        <w:t>本年收入28,432.18万元，其中：财政拨款收入28,388.08万元,占99.84%；上级补助收入0.00万元,占0.00%；事业收入0.00万元，占0.00%；经营收入0.00万元,占0.00%；附属单位上缴收入0.00万元，占0.00%；其他收入44.10万元，占0.16%。</w:t>
      </w:r>
    </w:p>
    <w:p>
      <w:pPr>
        <w:spacing w:after="0" w:line="240" w:lineRule="auto"/>
        <w:ind w:firstLine="640" w:firstLineChars="200"/>
        <w:outlineLvl w:val="1"/>
        <w:rPr>
          <w:rFonts w:ascii="黑体" w:eastAsia="黑体"/>
          <w:sz w:val="32"/>
          <w:szCs w:val="32"/>
        </w:rPr>
      </w:pPr>
      <w:r>
        <w:rPr>
          <w:rFonts w:ascii="黑体" w:eastAsia="黑体"/>
          <w:sz w:val="32"/>
          <w:szCs w:val="32"/>
        </w:rPr>
        <w:t>三、支出决算情况说明</w:t>
      </w:r>
    </w:p>
    <w:p>
      <w:pPr>
        <w:spacing w:after="0" w:line="240" w:lineRule="auto"/>
        <w:ind w:firstLine="640" w:firstLineChars="200"/>
        <w:jc w:val="both"/>
        <w:rPr>
          <w:rFonts w:ascii="仿宋_GB2312" w:eastAsia="仿宋_GB2312"/>
          <w:sz w:val="32"/>
          <w:szCs w:val="32"/>
        </w:rPr>
      </w:pPr>
      <w:r>
        <w:rPr>
          <w:rFonts w:ascii="仿宋_GB2312" w:eastAsia="仿宋_GB2312"/>
          <w:sz w:val="32"/>
          <w:szCs w:val="32"/>
        </w:rPr>
        <w:t>本年支出28,432.18万元，其中：基本支出1,360.32万元，占4.78%；项目支出27,071.86万元，占95.22%；上缴上级支出0.00万元，占0.00%；经营支出0.00万元，占0.00%；对附属单位补助支出0.00万元，占0.00%。</w:t>
      </w:r>
    </w:p>
    <w:p>
      <w:pPr>
        <w:spacing w:after="0" w:line="240" w:lineRule="auto"/>
        <w:ind w:firstLine="640" w:firstLineChars="200"/>
        <w:outlineLvl w:val="1"/>
        <w:rPr>
          <w:rFonts w:ascii="黑体" w:eastAsia="黑体"/>
          <w:sz w:val="32"/>
          <w:szCs w:val="32"/>
        </w:rPr>
      </w:pPr>
      <w:r>
        <w:rPr>
          <w:rFonts w:ascii="黑体" w:eastAsia="黑体"/>
          <w:sz w:val="32"/>
          <w:szCs w:val="32"/>
        </w:rPr>
        <w:t>四、财政拨款收入支出决算总体情况说明</w:t>
      </w:r>
    </w:p>
    <w:p>
      <w:pPr>
        <w:spacing w:after="0" w:line="240" w:lineRule="auto"/>
        <w:ind w:firstLine="640" w:firstLineChars="200"/>
        <w:jc w:val="both"/>
        <w:rPr>
          <w:rFonts w:ascii="仿宋_GB2312" w:eastAsia="仿宋_GB2312"/>
          <w:sz w:val="32"/>
          <w:szCs w:val="32"/>
        </w:rPr>
      </w:pPr>
      <w:r>
        <w:rPr>
          <w:rFonts w:ascii="仿宋_GB2312" w:eastAsia="仿宋_GB2312"/>
          <w:sz w:val="32"/>
          <w:szCs w:val="32"/>
        </w:rPr>
        <w:t>2024年度财政拨款收入总计28,388.08万元，其中：年初财政拨款结转和结余0.00万元，本年财政拨款收入28,388.08万元。财政拨款支出总计28,388.08万元，其中：年末财政拨款结转和结余0.00万元，本年财政拨款支出28,388.08万元。</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rPr>
        <w:t>财政拨款收入支出总体与上年相比，增加9,009.87万元，增长46.49%，主要原因是：</w:t>
      </w:r>
      <w:r>
        <w:rPr>
          <w:rFonts w:ascii="仿宋_GB2312" w:eastAsia="仿宋_GB2312"/>
          <w:sz w:val="32"/>
          <w:szCs w:val="32"/>
          <w:lang w:eastAsia="zh-CN"/>
        </w:rPr>
        <w:t>农业保险保费补贴</w:t>
      </w:r>
      <w:r>
        <w:rPr>
          <w:rFonts w:hint="eastAsia" w:ascii="仿宋_GB2312" w:eastAsia="仿宋_GB2312"/>
          <w:sz w:val="32"/>
          <w:szCs w:val="32"/>
          <w:lang w:eastAsia="zh-CN"/>
        </w:rPr>
        <w:t>、高标准农田</w:t>
      </w:r>
      <w:r>
        <w:rPr>
          <w:rFonts w:ascii="仿宋_GB2312" w:eastAsia="仿宋_GB2312"/>
          <w:sz w:val="32"/>
          <w:szCs w:val="32"/>
          <w:lang w:eastAsia="zh-CN"/>
        </w:rPr>
        <w:t>建设</w:t>
      </w:r>
      <w:r>
        <w:rPr>
          <w:rFonts w:hint="eastAsia" w:ascii="仿宋_GB2312" w:eastAsia="仿宋_GB2312"/>
          <w:sz w:val="32"/>
          <w:szCs w:val="32"/>
        </w:rPr>
        <w:t>项目资金</w:t>
      </w:r>
      <w:r>
        <w:rPr>
          <w:rFonts w:hint="eastAsia" w:ascii="仿宋_GB2312" w:eastAsia="仿宋_GB2312"/>
          <w:sz w:val="32"/>
          <w:szCs w:val="32"/>
          <w:lang w:eastAsia="zh-CN"/>
        </w:rPr>
        <w:t>增加、</w:t>
      </w:r>
      <w:r>
        <w:rPr>
          <w:rFonts w:hint="eastAsia" w:ascii="仿宋_GB2312" w:eastAsia="仿宋_GB2312"/>
          <w:sz w:val="32"/>
          <w:szCs w:val="32"/>
        </w:rPr>
        <w:t>职工到达正常退休年限正常退休导致收入支出总体</w:t>
      </w:r>
      <w:r>
        <w:rPr>
          <w:rFonts w:hint="eastAsia" w:ascii="仿宋_GB2312" w:eastAsia="仿宋_GB2312"/>
          <w:sz w:val="32"/>
          <w:szCs w:val="32"/>
          <w:lang w:eastAsia="zh-CN"/>
        </w:rPr>
        <w:t>上涨</w:t>
      </w:r>
      <w:r>
        <w:rPr>
          <w:rFonts w:ascii="仿宋_GB2312" w:eastAsia="仿宋_GB2312"/>
          <w:sz w:val="32"/>
          <w:szCs w:val="32"/>
        </w:rPr>
        <w:t>。与年初预算相比，年初预算数35,959.42万元，决算数28,388.08万元，预决算差异率-21.06%，主要原因是：</w:t>
      </w:r>
      <w:r>
        <w:rPr>
          <w:rFonts w:hint="eastAsia" w:ascii="仿宋_GB2312" w:eastAsia="仿宋_GB2312"/>
          <w:sz w:val="32"/>
          <w:szCs w:val="32"/>
          <w:lang w:eastAsia="zh-CN"/>
        </w:rPr>
        <w:t>年初</w:t>
      </w:r>
      <w:r>
        <w:rPr>
          <w:rFonts w:ascii="仿宋_GB2312" w:eastAsia="仿宋_GB2312"/>
          <w:sz w:val="32"/>
          <w:szCs w:val="32"/>
          <w:lang w:eastAsia="zh-CN"/>
        </w:rPr>
        <w:t>安排的巩固脱贫攻坚成果衔接</w:t>
      </w:r>
      <w:r>
        <w:rPr>
          <w:rFonts w:hint="eastAsia" w:ascii="仿宋_GB2312" w:eastAsia="仿宋_GB2312"/>
          <w:sz w:val="32"/>
          <w:szCs w:val="32"/>
          <w:lang w:eastAsia="zh-CN"/>
        </w:rPr>
        <w:t>乡村</w:t>
      </w:r>
      <w:r>
        <w:rPr>
          <w:rFonts w:ascii="仿宋_GB2312" w:eastAsia="仿宋_GB2312"/>
          <w:sz w:val="32"/>
          <w:szCs w:val="32"/>
          <w:lang w:eastAsia="zh-CN"/>
        </w:rPr>
        <w:t>振兴</w:t>
      </w:r>
      <w:r>
        <w:rPr>
          <w:rFonts w:hint="eastAsia" w:ascii="仿宋_GB2312" w:eastAsia="仿宋_GB2312"/>
          <w:sz w:val="32"/>
          <w:szCs w:val="32"/>
          <w:lang w:eastAsia="zh-CN"/>
        </w:rPr>
        <w:t>资金</w:t>
      </w:r>
      <w:r>
        <w:rPr>
          <w:rFonts w:ascii="仿宋_GB2312" w:eastAsia="仿宋_GB2312"/>
          <w:sz w:val="32"/>
          <w:szCs w:val="32"/>
          <w:lang w:eastAsia="zh-CN"/>
        </w:rPr>
        <w:t>根据</w:t>
      </w:r>
      <w:r>
        <w:rPr>
          <w:rFonts w:hint="eastAsia" w:ascii="仿宋_GB2312" w:eastAsia="仿宋_GB2312"/>
          <w:sz w:val="32"/>
          <w:szCs w:val="32"/>
          <w:lang w:eastAsia="zh-CN"/>
        </w:rPr>
        <w:t>乡村</w:t>
      </w:r>
      <w:r>
        <w:rPr>
          <w:rFonts w:ascii="仿宋_GB2312" w:eastAsia="仿宋_GB2312"/>
          <w:sz w:val="32"/>
          <w:szCs w:val="32"/>
          <w:lang w:eastAsia="zh-CN"/>
        </w:rPr>
        <w:t>振兴项目实施要求将资金指标调至乡镇</w:t>
      </w:r>
      <w:r>
        <w:rPr>
          <w:rFonts w:hint="eastAsia" w:ascii="仿宋_GB2312" w:eastAsia="仿宋_GB2312"/>
          <w:sz w:val="32"/>
          <w:szCs w:val="32"/>
          <w:lang w:eastAsia="zh-CN"/>
        </w:rPr>
        <w:t>、</w:t>
      </w:r>
      <w:r>
        <w:rPr>
          <w:rFonts w:hint="eastAsia" w:ascii="仿宋_GB2312" w:eastAsia="仿宋_GB2312"/>
          <w:sz w:val="32"/>
          <w:szCs w:val="32"/>
        </w:rPr>
        <w:t>项目资金支付缓慢</w:t>
      </w:r>
      <w:r>
        <w:rPr>
          <w:rFonts w:hint="eastAsia" w:ascii="仿宋_GB2312" w:eastAsia="仿宋_GB2312"/>
          <w:sz w:val="32"/>
          <w:szCs w:val="32"/>
          <w:lang w:eastAsia="zh-CN"/>
        </w:rPr>
        <w:t>导致</w:t>
      </w:r>
      <w:r>
        <w:rPr>
          <w:rFonts w:hint="eastAsia" w:ascii="仿宋_GB2312" w:eastAsia="仿宋_GB2312"/>
          <w:sz w:val="32"/>
          <w:szCs w:val="32"/>
          <w:lang w:val="zh-CN"/>
        </w:rPr>
        <w:t>支出</w:t>
      </w:r>
      <w:r>
        <w:rPr>
          <w:rFonts w:hint="eastAsia" w:ascii="仿宋_GB2312" w:eastAsia="仿宋_GB2312"/>
          <w:sz w:val="32"/>
          <w:szCs w:val="32"/>
          <w:lang w:val="zh-CN" w:eastAsia="zh-CN"/>
        </w:rPr>
        <w:t>减少</w:t>
      </w:r>
      <w:r>
        <w:rPr>
          <w:rFonts w:ascii="仿宋_GB2312" w:eastAsia="仿宋_GB2312"/>
          <w:sz w:val="32"/>
          <w:szCs w:val="32"/>
        </w:rPr>
        <w:t>。</w:t>
      </w:r>
    </w:p>
    <w:p>
      <w:pPr>
        <w:spacing w:after="0" w:line="240" w:lineRule="auto"/>
        <w:ind w:firstLine="640" w:firstLineChars="200"/>
        <w:outlineLvl w:val="1"/>
        <w:rPr>
          <w:rFonts w:ascii="黑体" w:eastAsia="黑体"/>
          <w:sz w:val="32"/>
          <w:szCs w:val="32"/>
        </w:rPr>
      </w:pPr>
      <w:r>
        <w:rPr>
          <w:rFonts w:ascii="黑体" w:eastAsia="黑体"/>
          <w:sz w:val="32"/>
          <w:szCs w:val="32"/>
        </w:rPr>
        <w:t>五、一般公共预算财政拨款支出决算情况说明</w:t>
      </w:r>
    </w:p>
    <w:p>
      <w:pPr>
        <w:spacing w:after="0" w:line="240" w:lineRule="auto"/>
        <w:ind w:firstLine="643" w:firstLineChars="200"/>
        <w:outlineLvl w:val="2"/>
        <w:rPr>
          <w:rFonts w:ascii="仿宋_GB2312" w:eastAsia="仿宋_GB2312"/>
          <w:sz w:val="32"/>
          <w:szCs w:val="32"/>
        </w:rPr>
      </w:pPr>
      <w:r>
        <w:rPr>
          <w:rFonts w:ascii="仿宋_GB2312" w:eastAsia="仿宋_GB2312"/>
          <w:b/>
          <w:sz w:val="32"/>
          <w:szCs w:val="32"/>
        </w:rPr>
        <w:t>（一）一般公共预算财政拨款支出决算总体情况</w:t>
      </w:r>
    </w:p>
    <w:p>
      <w:pPr>
        <w:spacing w:after="0" w:line="240" w:lineRule="auto"/>
        <w:ind w:firstLine="640" w:firstLineChars="200"/>
        <w:jc w:val="both"/>
        <w:rPr>
          <w:rFonts w:ascii="仿宋_GB2312" w:eastAsia="仿宋_GB2312"/>
          <w:sz w:val="32"/>
          <w:szCs w:val="32"/>
        </w:rPr>
      </w:pPr>
      <w:r>
        <w:rPr>
          <w:rFonts w:ascii="仿宋_GB2312" w:eastAsia="仿宋_GB2312"/>
          <w:sz w:val="32"/>
          <w:szCs w:val="32"/>
        </w:rPr>
        <w:t>2024年度一般公共预算财政拨款支出25,316.61万元，占本年支出合计的89.04%。与上年相比，增加12,194.69万元，增长92.93%，主要原因是：</w:t>
      </w:r>
      <w:r>
        <w:rPr>
          <w:rFonts w:ascii="仿宋_GB2312" w:eastAsia="仿宋_GB2312"/>
          <w:sz w:val="32"/>
          <w:szCs w:val="32"/>
          <w:lang w:eastAsia="zh-CN"/>
        </w:rPr>
        <w:t>农业保险保费补贴</w:t>
      </w:r>
      <w:r>
        <w:rPr>
          <w:rFonts w:hint="eastAsia" w:ascii="仿宋_GB2312" w:eastAsia="仿宋_GB2312"/>
          <w:sz w:val="32"/>
          <w:szCs w:val="32"/>
          <w:lang w:eastAsia="zh-CN"/>
        </w:rPr>
        <w:t>、高标准农田</w:t>
      </w:r>
      <w:r>
        <w:rPr>
          <w:rFonts w:ascii="仿宋_GB2312" w:eastAsia="仿宋_GB2312"/>
          <w:sz w:val="32"/>
          <w:szCs w:val="32"/>
          <w:lang w:eastAsia="zh-CN"/>
        </w:rPr>
        <w:t>建设</w:t>
      </w:r>
      <w:r>
        <w:rPr>
          <w:rFonts w:hint="eastAsia" w:ascii="仿宋_GB2312" w:eastAsia="仿宋_GB2312"/>
          <w:sz w:val="32"/>
          <w:szCs w:val="32"/>
        </w:rPr>
        <w:t>项目资金</w:t>
      </w:r>
      <w:r>
        <w:rPr>
          <w:rFonts w:hint="eastAsia" w:ascii="仿宋_GB2312" w:eastAsia="仿宋_GB2312"/>
          <w:sz w:val="32"/>
          <w:szCs w:val="32"/>
          <w:lang w:eastAsia="zh-CN"/>
        </w:rPr>
        <w:t>增加、</w:t>
      </w:r>
      <w:r>
        <w:rPr>
          <w:rFonts w:hint="eastAsia" w:ascii="仿宋_GB2312" w:eastAsia="仿宋_GB2312"/>
          <w:sz w:val="32"/>
          <w:szCs w:val="32"/>
        </w:rPr>
        <w:t>职工到达正常退休年限正常退休导致收入支出总体</w:t>
      </w:r>
      <w:r>
        <w:rPr>
          <w:rFonts w:hint="eastAsia" w:ascii="仿宋_GB2312" w:eastAsia="仿宋_GB2312"/>
          <w:sz w:val="32"/>
          <w:szCs w:val="32"/>
          <w:lang w:eastAsia="zh-CN"/>
        </w:rPr>
        <w:t>上涨</w:t>
      </w:r>
      <w:r>
        <w:rPr>
          <w:rFonts w:ascii="仿宋_GB2312" w:eastAsia="仿宋_GB2312"/>
          <w:sz w:val="32"/>
          <w:szCs w:val="32"/>
        </w:rPr>
        <w:t>。与年初预算相比，年初预算数35,054.42万元，决算数25,316.61万元，预决算差异率-27.78%，主要原因是：</w:t>
      </w:r>
      <w:r>
        <w:rPr>
          <w:rFonts w:hint="eastAsia" w:ascii="仿宋_GB2312" w:eastAsia="仿宋_GB2312"/>
          <w:sz w:val="32"/>
          <w:szCs w:val="32"/>
          <w:lang w:eastAsia="zh-CN"/>
        </w:rPr>
        <w:t>年初</w:t>
      </w:r>
      <w:r>
        <w:rPr>
          <w:rFonts w:ascii="仿宋_GB2312" w:eastAsia="仿宋_GB2312"/>
          <w:sz w:val="32"/>
          <w:szCs w:val="32"/>
          <w:lang w:eastAsia="zh-CN"/>
        </w:rPr>
        <w:t>安排的巩固脱贫攻坚成果衔接</w:t>
      </w:r>
      <w:r>
        <w:rPr>
          <w:rFonts w:hint="eastAsia" w:ascii="仿宋_GB2312" w:eastAsia="仿宋_GB2312"/>
          <w:sz w:val="32"/>
          <w:szCs w:val="32"/>
          <w:lang w:eastAsia="zh-CN"/>
        </w:rPr>
        <w:t>乡村</w:t>
      </w:r>
      <w:r>
        <w:rPr>
          <w:rFonts w:ascii="仿宋_GB2312" w:eastAsia="仿宋_GB2312"/>
          <w:sz w:val="32"/>
          <w:szCs w:val="32"/>
          <w:lang w:eastAsia="zh-CN"/>
        </w:rPr>
        <w:t>振兴</w:t>
      </w:r>
      <w:r>
        <w:rPr>
          <w:rFonts w:hint="eastAsia" w:ascii="仿宋_GB2312" w:eastAsia="仿宋_GB2312"/>
          <w:sz w:val="32"/>
          <w:szCs w:val="32"/>
          <w:lang w:eastAsia="zh-CN"/>
        </w:rPr>
        <w:t>资金</w:t>
      </w:r>
      <w:r>
        <w:rPr>
          <w:rFonts w:ascii="仿宋_GB2312" w:eastAsia="仿宋_GB2312"/>
          <w:sz w:val="32"/>
          <w:szCs w:val="32"/>
          <w:lang w:eastAsia="zh-CN"/>
        </w:rPr>
        <w:t>根据</w:t>
      </w:r>
      <w:r>
        <w:rPr>
          <w:rFonts w:hint="eastAsia" w:ascii="仿宋_GB2312" w:eastAsia="仿宋_GB2312"/>
          <w:sz w:val="32"/>
          <w:szCs w:val="32"/>
          <w:lang w:eastAsia="zh-CN"/>
        </w:rPr>
        <w:t>乡村</w:t>
      </w:r>
      <w:r>
        <w:rPr>
          <w:rFonts w:ascii="仿宋_GB2312" w:eastAsia="仿宋_GB2312"/>
          <w:sz w:val="32"/>
          <w:szCs w:val="32"/>
          <w:lang w:eastAsia="zh-CN"/>
        </w:rPr>
        <w:t>振兴项目实施要求将资金指标调至乡镇</w:t>
      </w:r>
      <w:r>
        <w:rPr>
          <w:rFonts w:hint="eastAsia" w:ascii="仿宋_GB2312" w:eastAsia="仿宋_GB2312"/>
          <w:sz w:val="32"/>
          <w:szCs w:val="32"/>
          <w:lang w:eastAsia="zh-CN"/>
        </w:rPr>
        <w:t>、</w:t>
      </w:r>
      <w:r>
        <w:rPr>
          <w:rFonts w:hint="eastAsia" w:ascii="仿宋_GB2312" w:eastAsia="仿宋_GB2312"/>
          <w:sz w:val="32"/>
          <w:szCs w:val="32"/>
        </w:rPr>
        <w:t>项目资金支付缓慢导致支出减少。</w:t>
      </w:r>
    </w:p>
    <w:p>
      <w:pPr>
        <w:spacing w:after="0" w:line="240" w:lineRule="auto"/>
        <w:ind w:firstLine="643" w:firstLineChars="200"/>
        <w:outlineLvl w:val="2"/>
        <w:rPr>
          <w:rFonts w:ascii="仿宋_GB2312" w:eastAsia="仿宋_GB2312"/>
          <w:sz w:val="32"/>
          <w:szCs w:val="32"/>
        </w:rPr>
      </w:pPr>
      <w:r>
        <w:rPr>
          <w:rFonts w:ascii="仿宋_GB2312" w:eastAsia="仿宋_GB2312"/>
          <w:b/>
          <w:sz w:val="32"/>
          <w:szCs w:val="32"/>
        </w:rPr>
        <w:t>（二）一般公共预算财政拨款支出决算结构情况</w:t>
      </w:r>
    </w:p>
    <w:p>
      <w:pPr>
        <w:spacing w:after="0" w:line="240" w:lineRule="auto"/>
        <w:ind w:firstLine="640" w:firstLineChars="200"/>
        <w:jc w:val="both"/>
        <w:rPr>
          <w:rFonts w:ascii="仿宋_GB2312" w:eastAsia="仿宋_GB2312"/>
          <w:sz w:val="32"/>
          <w:szCs w:val="32"/>
        </w:rPr>
      </w:pPr>
      <w:r>
        <w:rPr>
          <w:rFonts w:ascii="仿宋_GB2312" w:eastAsia="仿宋_GB2312"/>
          <w:sz w:val="32"/>
          <w:szCs w:val="32"/>
        </w:rPr>
        <w:t>节能环保支出（类）39.50万元，占0.16%。</w:t>
      </w:r>
    </w:p>
    <w:p>
      <w:pPr>
        <w:spacing w:after="0" w:line="240" w:lineRule="auto"/>
        <w:ind w:firstLine="640" w:firstLineChars="200"/>
        <w:jc w:val="both"/>
        <w:rPr>
          <w:rFonts w:ascii="仿宋_GB2312" w:eastAsia="仿宋_GB2312"/>
          <w:sz w:val="32"/>
          <w:szCs w:val="32"/>
        </w:rPr>
      </w:pPr>
      <w:r>
        <w:rPr>
          <w:rFonts w:ascii="仿宋_GB2312" w:eastAsia="仿宋_GB2312"/>
          <w:sz w:val="32"/>
          <w:szCs w:val="32"/>
        </w:rPr>
        <w:t>农林水支出（类）25,267.11万元，占99.80%。</w:t>
      </w:r>
    </w:p>
    <w:p>
      <w:pPr>
        <w:spacing w:after="0" w:line="240" w:lineRule="auto"/>
        <w:ind w:firstLine="640" w:firstLineChars="200"/>
        <w:jc w:val="both"/>
        <w:rPr>
          <w:rFonts w:ascii="仿宋_GB2312" w:eastAsia="仿宋_GB2312"/>
          <w:sz w:val="32"/>
          <w:szCs w:val="32"/>
        </w:rPr>
      </w:pPr>
      <w:r>
        <w:rPr>
          <w:rFonts w:ascii="仿宋_GB2312" w:eastAsia="仿宋_GB2312"/>
          <w:sz w:val="32"/>
          <w:szCs w:val="32"/>
        </w:rPr>
        <w:t>其他支出（类）10.00万元，占0.04%。</w:t>
      </w:r>
    </w:p>
    <w:p>
      <w:pPr>
        <w:spacing w:after="0" w:line="240" w:lineRule="auto"/>
        <w:ind w:firstLine="643" w:firstLineChars="200"/>
        <w:outlineLvl w:val="2"/>
        <w:rPr>
          <w:rFonts w:ascii="仿宋_GB2312" w:eastAsia="仿宋_GB2312"/>
          <w:sz w:val="32"/>
          <w:szCs w:val="32"/>
        </w:rPr>
      </w:pPr>
      <w:r>
        <w:rPr>
          <w:rFonts w:ascii="仿宋_GB2312" w:eastAsia="仿宋_GB2312"/>
          <w:b/>
          <w:sz w:val="32"/>
          <w:szCs w:val="32"/>
        </w:rPr>
        <w:t>（三）一般公共预算财政拨款支出决算具体情况</w:t>
      </w:r>
    </w:p>
    <w:p>
      <w:pPr>
        <w:numPr>
          <w:ilvl w:val="0"/>
          <w:numId w:val="1"/>
        </w:numPr>
        <w:spacing w:after="0"/>
        <w:rPr>
          <w:rFonts w:ascii="仿宋_GB2312" w:eastAsia="仿宋_GB2312"/>
          <w:sz w:val="32"/>
          <w:szCs w:val="32"/>
        </w:rPr>
      </w:pPr>
      <w:r>
        <w:rPr>
          <w:rFonts w:ascii="仿宋_GB2312" w:eastAsia="仿宋_GB2312"/>
          <w:sz w:val="32"/>
          <w:szCs w:val="32"/>
        </w:rPr>
        <w:t>一般公共服务支出（类）组织事务（款）其他组织事务支出（项）：支出决算数为0.00万元，比上年决算减少6.14万元，下降100.00%，主要原因是：</w:t>
      </w:r>
      <w:r>
        <w:rPr>
          <w:rFonts w:hint="eastAsia" w:ascii="仿宋_GB2312" w:eastAsia="仿宋_GB2312"/>
          <w:sz w:val="32"/>
          <w:szCs w:val="32"/>
          <w:lang w:val="zh-CN"/>
        </w:rPr>
        <w:t>当年安排</w:t>
      </w:r>
      <w:r>
        <w:rPr>
          <w:rFonts w:hint="eastAsia" w:ascii="仿宋_GB2312" w:eastAsia="仿宋_GB2312"/>
          <w:sz w:val="32"/>
          <w:szCs w:val="32"/>
          <w:lang w:val="zh-CN" w:eastAsia="zh-CN"/>
        </w:rPr>
        <w:t>的</w:t>
      </w:r>
      <w:r>
        <w:rPr>
          <w:rFonts w:hint="eastAsia" w:ascii="仿宋_GB2312" w:eastAsia="仿宋_GB2312"/>
          <w:sz w:val="32"/>
          <w:szCs w:val="32"/>
          <w:lang w:val="zh-CN"/>
        </w:rPr>
        <w:t>访惠聚工作队经费支出</w:t>
      </w:r>
      <w:r>
        <w:rPr>
          <w:rFonts w:hint="eastAsia" w:ascii="仿宋_GB2312" w:eastAsia="仿宋_GB2312"/>
          <w:sz w:val="32"/>
          <w:szCs w:val="32"/>
          <w:lang w:val="zh-CN" w:eastAsia="zh-CN"/>
        </w:rPr>
        <w:t>在</w:t>
      </w:r>
      <w:r>
        <w:rPr>
          <w:rFonts w:ascii="仿宋_GB2312" w:eastAsia="仿宋_GB2312"/>
          <w:sz w:val="32"/>
          <w:szCs w:val="32"/>
        </w:rPr>
        <w:t>其他支出（类）其他支出（款）其他支出（项）</w:t>
      </w:r>
      <w:r>
        <w:rPr>
          <w:rFonts w:hint="eastAsia" w:ascii="仿宋_GB2312" w:eastAsia="仿宋_GB2312"/>
          <w:sz w:val="32"/>
          <w:szCs w:val="32"/>
          <w:lang w:eastAsia="zh-CN"/>
        </w:rPr>
        <w:t>中</w:t>
      </w:r>
      <w:r>
        <w:rPr>
          <w:rFonts w:ascii="仿宋_GB2312" w:eastAsia="仿宋_GB2312"/>
          <w:sz w:val="32"/>
          <w:szCs w:val="32"/>
          <w:lang w:eastAsia="zh-CN"/>
        </w:rPr>
        <w:t>反映</w:t>
      </w:r>
      <w:r>
        <w:rPr>
          <w:rFonts w:hint="eastAsia" w:ascii="仿宋_GB2312" w:eastAsia="仿宋_GB2312"/>
          <w:sz w:val="32"/>
          <w:szCs w:val="32"/>
          <w:lang w:eastAsia="zh-CN"/>
        </w:rPr>
        <w:t>导致</w:t>
      </w:r>
      <w:r>
        <w:rPr>
          <w:rFonts w:ascii="仿宋_GB2312" w:eastAsia="仿宋_GB2312"/>
          <w:sz w:val="32"/>
          <w:szCs w:val="32"/>
          <w:lang w:eastAsia="zh-CN"/>
        </w:rPr>
        <w:t>支出减少</w:t>
      </w:r>
      <w:r>
        <w:rPr>
          <w:rFonts w:hint="eastAsia" w:ascii="仿宋_GB2312" w:eastAsia="仿宋_GB2312"/>
          <w:sz w:val="32"/>
          <w:szCs w:val="32"/>
          <w:lang w:eastAsia="zh-CN"/>
        </w:rPr>
        <w:t>。</w:t>
      </w:r>
    </w:p>
    <w:p>
      <w:pPr>
        <w:numPr>
          <w:ilvl w:val="0"/>
          <w:numId w:val="1"/>
        </w:numPr>
        <w:spacing w:after="0"/>
        <w:rPr>
          <w:rFonts w:ascii="仿宋_GB2312" w:eastAsia="仿宋_GB2312"/>
          <w:sz w:val="32"/>
          <w:szCs w:val="32"/>
        </w:rPr>
      </w:pPr>
      <w:r>
        <w:rPr>
          <w:rFonts w:ascii="仿宋_GB2312" w:eastAsia="仿宋_GB2312"/>
          <w:sz w:val="32"/>
          <w:szCs w:val="32"/>
        </w:rPr>
        <w:t>教育支出（类）进修及培训（款）培训支出（项）：支出决算数为0.00万元，比上年决算减少6.26万元，下降100.00%，主要原因是：</w:t>
      </w:r>
      <w:r>
        <w:rPr>
          <w:rFonts w:hint="eastAsia" w:ascii="仿宋_GB2312" w:eastAsia="仿宋_GB2312"/>
          <w:sz w:val="32"/>
          <w:szCs w:val="32"/>
          <w:lang w:val="zh-CN"/>
        </w:rPr>
        <w:t>当年安排</w:t>
      </w:r>
      <w:r>
        <w:rPr>
          <w:rFonts w:hint="eastAsia" w:ascii="仿宋_GB2312" w:eastAsia="仿宋_GB2312"/>
          <w:sz w:val="32"/>
          <w:szCs w:val="32"/>
          <w:lang w:val="zh-CN" w:eastAsia="zh-CN"/>
        </w:rPr>
        <w:t>的培训费</w:t>
      </w:r>
      <w:r>
        <w:rPr>
          <w:rFonts w:hint="eastAsia" w:ascii="仿宋_GB2312" w:eastAsia="仿宋_GB2312"/>
          <w:sz w:val="32"/>
          <w:szCs w:val="32"/>
          <w:lang w:val="zh-CN"/>
        </w:rPr>
        <w:t>支出</w:t>
      </w:r>
      <w:r>
        <w:rPr>
          <w:rFonts w:hint="eastAsia" w:ascii="仿宋_GB2312" w:eastAsia="仿宋_GB2312"/>
          <w:sz w:val="32"/>
          <w:szCs w:val="32"/>
          <w:lang w:val="zh-CN" w:eastAsia="zh-CN"/>
        </w:rPr>
        <w:t>在</w:t>
      </w:r>
      <w:r>
        <w:rPr>
          <w:rFonts w:ascii="仿宋_GB2312" w:eastAsia="仿宋_GB2312"/>
          <w:sz w:val="32"/>
          <w:szCs w:val="32"/>
        </w:rPr>
        <w:t>农林水支出（类）农业农村（款）行政运行（项）</w:t>
      </w:r>
      <w:r>
        <w:rPr>
          <w:rFonts w:hint="eastAsia" w:ascii="仿宋_GB2312" w:eastAsia="仿宋_GB2312"/>
          <w:sz w:val="32"/>
          <w:szCs w:val="32"/>
          <w:lang w:val="zh-CN" w:eastAsia="zh-CN"/>
        </w:rPr>
        <w:t>中</w:t>
      </w:r>
      <w:r>
        <w:rPr>
          <w:rFonts w:ascii="仿宋_GB2312" w:eastAsia="仿宋_GB2312"/>
          <w:sz w:val="32"/>
          <w:szCs w:val="32"/>
          <w:lang w:val="zh-CN" w:eastAsia="zh-CN"/>
        </w:rPr>
        <w:t>反映</w:t>
      </w:r>
      <w:r>
        <w:rPr>
          <w:rFonts w:hint="eastAsia" w:ascii="仿宋_GB2312" w:eastAsia="仿宋_GB2312"/>
          <w:sz w:val="32"/>
          <w:szCs w:val="32"/>
          <w:lang w:val="zh-CN" w:eastAsia="zh-CN"/>
        </w:rPr>
        <w:t>导致</w:t>
      </w:r>
      <w:r>
        <w:rPr>
          <w:rFonts w:ascii="仿宋_GB2312" w:eastAsia="仿宋_GB2312"/>
          <w:sz w:val="32"/>
          <w:szCs w:val="32"/>
          <w:lang w:val="zh-CN" w:eastAsia="zh-CN"/>
        </w:rPr>
        <w:t>支出减少。</w:t>
      </w:r>
    </w:p>
    <w:p>
      <w:pPr>
        <w:numPr>
          <w:ilvl w:val="0"/>
          <w:numId w:val="1"/>
        </w:numPr>
        <w:spacing w:after="0"/>
        <w:rPr>
          <w:rFonts w:ascii="仿宋_GB2312" w:eastAsia="仿宋_GB2312"/>
          <w:sz w:val="32"/>
          <w:szCs w:val="32"/>
        </w:rPr>
      </w:pPr>
      <w:r>
        <w:rPr>
          <w:rFonts w:ascii="仿宋_GB2312" w:eastAsia="仿宋_GB2312"/>
          <w:sz w:val="32"/>
          <w:szCs w:val="32"/>
        </w:rPr>
        <w:t>社会保障和就业支出（类）行政事业单位养老支出（款）行政单位离退休（项）：支出决算数为0.00万元，比上年决算减少20.37万元，下降100.00%，主要原因是：</w:t>
      </w:r>
      <w:r>
        <w:rPr>
          <w:rFonts w:hint="eastAsia" w:ascii="仿宋_GB2312" w:eastAsia="仿宋_GB2312"/>
          <w:sz w:val="32"/>
          <w:szCs w:val="32"/>
          <w:lang w:val="zh-CN"/>
        </w:rPr>
        <w:t>当年安排</w:t>
      </w:r>
      <w:r>
        <w:rPr>
          <w:rFonts w:hint="eastAsia" w:ascii="仿宋_GB2312" w:eastAsia="仿宋_GB2312"/>
          <w:sz w:val="32"/>
          <w:szCs w:val="32"/>
          <w:lang w:val="zh-CN" w:eastAsia="zh-CN"/>
        </w:rPr>
        <w:t>的退休人员抚恤金</w:t>
      </w:r>
      <w:r>
        <w:rPr>
          <w:rFonts w:hint="eastAsia" w:ascii="仿宋_GB2312" w:eastAsia="仿宋_GB2312"/>
          <w:sz w:val="32"/>
          <w:szCs w:val="32"/>
          <w:lang w:val="zh-CN"/>
        </w:rPr>
        <w:t>支出</w:t>
      </w:r>
      <w:r>
        <w:rPr>
          <w:rFonts w:hint="eastAsia" w:ascii="仿宋_GB2312" w:eastAsia="仿宋_GB2312"/>
          <w:sz w:val="32"/>
          <w:szCs w:val="32"/>
          <w:lang w:val="zh-CN" w:eastAsia="zh-CN"/>
        </w:rPr>
        <w:t>在</w:t>
      </w:r>
      <w:r>
        <w:rPr>
          <w:rFonts w:ascii="仿宋_GB2312" w:eastAsia="仿宋_GB2312"/>
          <w:sz w:val="32"/>
          <w:szCs w:val="32"/>
        </w:rPr>
        <w:t>农林水支出（类）农业农村（款）行政运行（项）</w:t>
      </w:r>
      <w:r>
        <w:rPr>
          <w:rFonts w:hint="eastAsia" w:ascii="仿宋_GB2312" w:eastAsia="仿宋_GB2312"/>
          <w:sz w:val="32"/>
          <w:szCs w:val="32"/>
          <w:lang w:val="zh-CN" w:eastAsia="zh-CN"/>
        </w:rPr>
        <w:t>中</w:t>
      </w:r>
      <w:r>
        <w:rPr>
          <w:rFonts w:ascii="仿宋_GB2312" w:eastAsia="仿宋_GB2312"/>
          <w:sz w:val="32"/>
          <w:szCs w:val="32"/>
          <w:lang w:val="zh-CN" w:eastAsia="zh-CN"/>
        </w:rPr>
        <w:t>反映</w:t>
      </w:r>
      <w:r>
        <w:rPr>
          <w:rFonts w:hint="eastAsia" w:ascii="仿宋_GB2312" w:eastAsia="仿宋_GB2312"/>
          <w:sz w:val="32"/>
          <w:szCs w:val="32"/>
          <w:lang w:val="zh-CN" w:eastAsia="zh-CN"/>
        </w:rPr>
        <w:t>导致</w:t>
      </w:r>
      <w:r>
        <w:rPr>
          <w:rFonts w:ascii="仿宋_GB2312" w:eastAsia="仿宋_GB2312"/>
          <w:sz w:val="32"/>
          <w:szCs w:val="32"/>
          <w:lang w:val="zh-CN" w:eastAsia="zh-CN"/>
        </w:rPr>
        <w:t>支出减少。</w:t>
      </w:r>
    </w:p>
    <w:p>
      <w:pPr>
        <w:numPr>
          <w:ilvl w:val="0"/>
          <w:numId w:val="1"/>
        </w:numPr>
        <w:spacing w:after="0"/>
        <w:rPr>
          <w:rFonts w:ascii="仿宋_GB2312" w:eastAsia="仿宋_GB2312"/>
          <w:sz w:val="32"/>
          <w:szCs w:val="32"/>
        </w:rPr>
      </w:pPr>
      <w:r>
        <w:rPr>
          <w:rFonts w:ascii="仿宋_GB2312" w:eastAsia="仿宋_GB2312"/>
          <w:sz w:val="32"/>
          <w:szCs w:val="32"/>
        </w:rPr>
        <w:t>节能环保支出（类）循环经济（款）循环经济（项）：支出决算数为39.50万元，比上年决算增加39.50万元，增长100.00%，主要原因是：</w:t>
      </w:r>
      <w:r>
        <w:rPr>
          <w:rFonts w:hint="eastAsia" w:ascii="仿宋_GB2312" w:eastAsia="仿宋_GB2312"/>
          <w:sz w:val="32"/>
          <w:szCs w:val="32"/>
          <w:lang w:eastAsia="zh-CN"/>
        </w:rPr>
        <w:t>当年</w:t>
      </w:r>
      <w:r>
        <w:rPr>
          <w:rFonts w:ascii="仿宋_GB2312" w:eastAsia="仿宋_GB2312"/>
          <w:sz w:val="32"/>
          <w:szCs w:val="32"/>
          <w:lang w:eastAsia="zh-CN"/>
        </w:rPr>
        <w:t>新增</w:t>
      </w:r>
      <w:r>
        <w:rPr>
          <w:rFonts w:ascii="仿宋_GB2312" w:eastAsia="仿宋_GB2312"/>
          <w:sz w:val="32"/>
          <w:szCs w:val="32"/>
        </w:rPr>
        <w:t>2021年农业绿色发展专项（畜禽粪污资源化利用整县推进项目）</w:t>
      </w:r>
      <w:r>
        <w:rPr>
          <w:rFonts w:hint="eastAsia" w:ascii="仿宋_GB2312" w:eastAsia="仿宋_GB2312"/>
          <w:sz w:val="32"/>
          <w:szCs w:val="32"/>
          <w:lang w:eastAsia="zh-CN"/>
        </w:rPr>
        <w:t>支出</w:t>
      </w:r>
      <w:r>
        <w:rPr>
          <w:rFonts w:ascii="仿宋_GB2312" w:eastAsia="仿宋_GB2312"/>
          <w:sz w:val="32"/>
          <w:szCs w:val="32"/>
          <w:lang w:eastAsia="zh-CN"/>
        </w:rPr>
        <w:t>导致支出增加。</w:t>
      </w:r>
    </w:p>
    <w:p>
      <w:pPr>
        <w:numPr>
          <w:ilvl w:val="0"/>
          <w:numId w:val="1"/>
        </w:numPr>
        <w:spacing w:after="0"/>
        <w:rPr>
          <w:rFonts w:ascii="仿宋_GB2312" w:eastAsia="仿宋_GB2312"/>
          <w:sz w:val="32"/>
          <w:szCs w:val="32"/>
        </w:rPr>
      </w:pPr>
      <w:r>
        <w:rPr>
          <w:rFonts w:ascii="仿宋_GB2312" w:eastAsia="仿宋_GB2312"/>
          <w:sz w:val="32"/>
          <w:szCs w:val="32"/>
        </w:rPr>
        <w:t>农林水支出（类）农业农村（款）行政运行（项）：支出决算数为1,360.32万元，比上年决算增加28.62万元，增长2.15%，主要原因是：</w:t>
      </w:r>
      <w:r>
        <w:rPr>
          <w:rFonts w:hint="eastAsia" w:ascii="仿宋_GB2312" w:eastAsia="仿宋_GB2312"/>
          <w:sz w:val="32"/>
          <w:szCs w:val="32"/>
          <w:lang w:val="zh-CN"/>
        </w:rPr>
        <w:t>新招录公务员导致经费增加。</w:t>
      </w:r>
    </w:p>
    <w:p>
      <w:pPr>
        <w:numPr>
          <w:ilvl w:val="0"/>
          <w:numId w:val="1"/>
        </w:numPr>
        <w:spacing w:after="0"/>
        <w:ind w:firstLineChars="0"/>
        <w:rPr>
          <w:rFonts w:ascii="仿宋_GB2312" w:eastAsia="仿宋_GB2312"/>
          <w:sz w:val="32"/>
          <w:szCs w:val="32"/>
        </w:rPr>
      </w:pPr>
      <w:r>
        <w:rPr>
          <w:rFonts w:ascii="仿宋_GB2312" w:eastAsia="仿宋_GB2312"/>
          <w:sz w:val="32"/>
          <w:szCs w:val="32"/>
        </w:rPr>
        <w:t>农林水支出（类）农业农村（款）病虫害控制（项）：支出决算数为53.72万元，比上年决算增加35.72万元，增长198.44%，主要原因是：</w:t>
      </w:r>
      <w:r>
        <w:rPr>
          <w:rFonts w:hint="eastAsia" w:ascii="仿宋_GB2312" w:eastAsia="仿宋_GB2312"/>
          <w:sz w:val="32"/>
          <w:szCs w:val="32"/>
          <w:lang w:eastAsia="zh-CN"/>
        </w:rPr>
        <w:t>新增</w:t>
      </w:r>
      <w:r>
        <w:rPr>
          <w:rFonts w:ascii="仿宋_GB2312" w:eastAsia="仿宋_GB2312"/>
          <w:sz w:val="32"/>
          <w:szCs w:val="32"/>
        </w:rPr>
        <w:t>2024年中央农业防灾减灾和水利救灾资金（动物防疫补助）</w:t>
      </w:r>
      <w:r>
        <w:rPr>
          <w:rFonts w:hint="eastAsia" w:ascii="仿宋_GB2312" w:eastAsia="仿宋_GB2312"/>
          <w:sz w:val="32"/>
          <w:szCs w:val="32"/>
          <w:lang w:eastAsia="zh-CN"/>
        </w:rPr>
        <w:t>补助资金</w:t>
      </w:r>
      <w:r>
        <w:rPr>
          <w:rFonts w:ascii="仿宋_GB2312" w:eastAsia="仿宋_GB2312"/>
          <w:sz w:val="32"/>
          <w:szCs w:val="32"/>
          <w:lang w:eastAsia="zh-CN"/>
        </w:rPr>
        <w:t>导致支出增加。</w:t>
      </w:r>
    </w:p>
    <w:p>
      <w:pPr>
        <w:numPr>
          <w:ilvl w:val="0"/>
          <w:numId w:val="1"/>
        </w:numPr>
        <w:spacing w:after="0"/>
        <w:ind w:firstLineChars="0"/>
        <w:rPr>
          <w:rFonts w:ascii="仿宋_GB2312" w:eastAsia="仿宋_GB2312"/>
          <w:sz w:val="32"/>
          <w:szCs w:val="32"/>
        </w:rPr>
      </w:pPr>
      <w:r>
        <w:rPr>
          <w:rFonts w:ascii="仿宋_GB2312" w:eastAsia="仿宋_GB2312"/>
          <w:sz w:val="32"/>
          <w:szCs w:val="32"/>
        </w:rPr>
        <w:t>农林水支出（类）农业农村（款）防灾救灾（项）：支出决算数为20.00万元，比上年决算减少273.68万元，下降93.19%，主要原因是：</w:t>
      </w:r>
      <w:r>
        <w:rPr>
          <w:rFonts w:hint="eastAsia" w:ascii="仿宋_GB2312" w:eastAsia="仿宋_GB2312"/>
          <w:sz w:val="32"/>
          <w:szCs w:val="32"/>
        </w:rPr>
        <w:t>农业防灾减灾和水利救灾</w:t>
      </w:r>
      <w:r>
        <w:rPr>
          <w:rFonts w:hint="eastAsia" w:ascii="仿宋_GB2312" w:eastAsia="仿宋_GB2312"/>
          <w:sz w:val="32"/>
          <w:szCs w:val="32"/>
          <w:lang w:eastAsia="zh-CN"/>
        </w:rPr>
        <w:t>资金</w:t>
      </w:r>
      <w:r>
        <w:rPr>
          <w:rFonts w:ascii="仿宋_GB2312" w:eastAsia="仿宋_GB2312"/>
          <w:sz w:val="32"/>
          <w:szCs w:val="32"/>
          <w:lang w:eastAsia="zh-CN"/>
        </w:rPr>
        <w:t>减少</w:t>
      </w:r>
      <w:r>
        <w:rPr>
          <w:rFonts w:hint="eastAsia" w:ascii="仿宋_GB2312" w:eastAsia="仿宋_GB2312"/>
          <w:sz w:val="32"/>
          <w:szCs w:val="32"/>
          <w:lang w:eastAsia="zh-CN"/>
        </w:rPr>
        <w:t>导致</w:t>
      </w:r>
      <w:r>
        <w:rPr>
          <w:rFonts w:ascii="仿宋_GB2312" w:eastAsia="仿宋_GB2312"/>
          <w:sz w:val="32"/>
          <w:szCs w:val="32"/>
          <w:lang w:eastAsia="zh-CN"/>
        </w:rPr>
        <w:t>支出减少。</w:t>
      </w:r>
    </w:p>
    <w:p>
      <w:pPr>
        <w:numPr>
          <w:ilvl w:val="0"/>
          <w:numId w:val="1"/>
        </w:numPr>
        <w:spacing w:after="0"/>
        <w:rPr>
          <w:rFonts w:ascii="仿宋_GB2312" w:eastAsia="仿宋_GB2312"/>
          <w:sz w:val="32"/>
          <w:szCs w:val="32"/>
        </w:rPr>
      </w:pPr>
      <w:r>
        <w:rPr>
          <w:rFonts w:ascii="仿宋_GB2312" w:eastAsia="仿宋_GB2312"/>
          <w:sz w:val="32"/>
          <w:szCs w:val="32"/>
        </w:rPr>
        <w:t>农林水支出（类）农业农村（款）稳定农民收入补贴（项）：支出决算数为837.20万元，比上年决算增加837.20万元，增长100.00%，主要原因是：</w:t>
      </w:r>
      <w:r>
        <w:rPr>
          <w:rFonts w:hint="eastAsia" w:ascii="仿宋_GB2312" w:eastAsia="仿宋_GB2312"/>
          <w:sz w:val="32"/>
          <w:szCs w:val="32"/>
          <w:lang w:eastAsia="zh-CN"/>
        </w:rPr>
        <w:t>2</w:t>
      </w:r>
      <w:r>
        <w:rPr>
          <w:rFonts w:ascii="仿宋_GB2312" w:eastAsia="仿宋_GB2312"/>
          <w:sz w:val="32"/>
          <w:szCs w:val="32"/>
          <w:lang w:eastAsia="zh-CN"/>
        </w:rPr>
        <w:t>023</w:t>
      </w:r>
      <w:r>
        <w:rPr>
          <w:rFonts w:hint="eastAsia" w:ascii="仿宋_GB2312" w:eastAsia="仿宋_GB2312"/>
          <w:sz w:val="32"/>
          <w:szCs w:val="32"/>
          <w:lang w:eastAsia="zh-CN"/>
        </w:rPr>
        <w:t>年耕</w:t>
      </w:r>
      <w:r>
        <w:rPr>
          <w:rFonts w:hint="eastAsia" w:ascii="仿宋_GB2312" w:eastAsia="仿宋_GB2312"/>
          <w:sz w:val="32"/>
          <w:szCs w:val="32"/>
        </w:rPr>
        <w:t>地地力保护补贴资金</w:t>
      </w:r>
      <w:r>
        <w:rPr>
          <w:rFonts w:hint="eastAsia" w:ascii="仿宋_GB2312" w:eastAsia="仿宋_GB2312"/>
          <w:sz w:val="32"/>
          <w:szCs w:val="32"/>
          <w:lang w:eastAsia="zh-CN"/>
        </w:rPr>
        <w:t>在</w:t>
      </w:r>
      <w:r>
        <w:rPr>
          <w:rFonts w:ascii="仿宋_GB2312" w:eastAsia="仿宋_GB2312"/>
          <w:sz w:val="32"/>
          <w:szCs w:val="32"/>
        </w:rPr>
        <w:t>农林水支出（类）农业农村（款）农业生产发展（项）</w:t>
      </w:r>
      <w:r>
        <w:rPr>
          <w:rFonts w:hint="eastAsia" w:ascii="仿宋_GB2312" w:eastAsia="仿宋_GB2312"/>
          <w:sz w:val="32"/>
          <w:szCs w:val="32"/>
          <w:lang w:eastAsia="zh-CN"/>
        </w:rPr>
        <w:t>中</w:t>
      </w:r>
      <w:r>
        <w:rPr>
          <w:rFonts w:ascii="仿宋_GB2312" w:eastAsia="仿宋_GB2312"/>
          <w:sz w:val="32"/>
          <w:szCs w:val="32"/>
          <w:lang w:eastAsia="zh-CN"/>
        </w:rPr>
        <w:t>反映</w:t>
      </w:r>
      <w:r>
        <w:rPr>
          <w:rFonts w:hint="eastAsia" w:ascii="仿宋_GB2312" w:eastAsia="仿宋_GB2312"/>
          <w:sz w:val="32"/>
          <w:szCs w:val="32"/>
          <w:lang w:eastAsia="zh-CN"/>
        </w:rPr>
        <w:t>，</w:t>
      </w:r>
      <w:r>
        <w:rPr>
          <w:rFonts w:ascii="仿宋_GB2312" w:eastAsia="仿宋_GB2312"/>
          <w:sz w:val="32"/>
          <w:szCs w:val="32"/>
          <w:lang w:eastAsia="zh-CN"/>
        </w:rPr>
        <w:t>当年单独反映导致</w:t>
      </w:r>
      <w:r>
        <w:rPr>
          <w:rFonts w:hint="eastAsia" w:ascii="仿宋_GB2312" w:eastAsia="仿宋_GB2312"/>
          <w:sz w:val="32"/>
          <w:szCs w:val="32"/>
          <w:lang w:eastAsia="zh-CN"/>
        </w:rPr>
        <w:t>支出增加</w:t>
      </w:r>
      <w:r>
        <w:rPr>
          <w:rFonts w:ascii="仿宋_GB2312" w:eastAsia="仿宋_GB2312"/>
          <w:sz w:val="32"/>
          <w:szCs w:val="32"/>
          <w:lang w:eastAsia="zh-CN"/>
        </w:rPr>
        <w:t>。</w:t>
      </w:r>
    </w:p>
    <w:p>
      <w:pPr>
        <w:numPr>
          <w:ilvl w:val="0"/>
          <w:numId w:val="1"/>
        </w:numPr>
        <w:spacing w:after="0"/>
        <w:rPr>
          <w:rFonts w:ascii="仿宋_GB2312" w:eastAsia="仿宋_GB2312"/>
          <w:sz w:val="32"/>
          <w:szCs w:val="32"/>
        </w:rPr>
      </w:pPr>
      <w:r>
        <w:rPr>
          <w:rFonts w:ascii="仿宋_GB2312" w:eastAsia="仿宋_GB2312"/>
          <w:sz w:val="32"/>
          <w:szCs w:val="32"/>
        </w:rPr>
        <w:t>农林水支出（类）农业农村（款）农业生产发展（项）：支出决算数为5,917.71万元，比上年决算增加1,276.43万元，增长27.50%，主要原因是：</w:t>
      </w:r>
      <w:r>
        <w:rPr>
          <w:rFonts w:hint="eastAsia" w:ascii="仿宋_GB2312" w:eastAsia="仿宋_GB2312"/>
          <w:sz w:val="32"/>
          <w:szCs w:val="32"/>
          <w:lang w:val="zh-CN" w:eastAsia="zh-CN"/>
        </w:rPr>
        <w:t>增加</w:t>
      </w:r>
      <w:r>
        <w:rPr>
          <w:rFonts w:hint="eastAsia" w:ascii="仿宋_GB2312" w:eastAsia="仿宋_GB2312"/>
          <w:sz w:val="32"/>
          <w:szCs w:val="32"/>
          <w:lang w:val="zh-CN"/>
        </w:rPr>
        <w:t>了</w:t>
      </w:r>
      <w:r>
        <w:rPr>
          <w:rFonts w:hint="eastAsia" w:ascii="仿宋_GB2312" w:eastAsia="仿宋_GB2312"/>
          <w:sz w:val="32"/>
          <w:szCs w:val="32"/>
          <w:lang w:val="zh-CN" w:eastAsia="zh-CN"/>
        </w:rPr>
        <w:t>粮改饲</w:t>
      </w:r>
      <w:r>
        <w:rPr>
          <w:rFonts w:hint="eastAsia" w:ascii="仿宋_GB2312" w:eastAsia="仿宋_GB2312"/>
          <w:sz w:val="32"/>
          <w:szCs w:val="32"/>
          <w:lang w:val="zh-CN"/>
        </w:rPr>
        <w:t>补贴</w:t>
      </w:r>
      <w:r>
        <w:rPr>
          <w:rFonts w:hint="eastAsia" w:ascii="仿宋_GB2312" w:eastAsia="仿宋_GB2312"/>
          <w:sz w:val="32"/>
          <w:szCs w:val="32"/>
          <w:lang w:val="zh-CN" w:eastAsia="zh-CN"/>
        </w:rPr>
        <w:t>、</w:t>
      </w:r>
      <w:r>
        <w:rPr>
          <w:rFonts w:hint="eastAsia" w:ascii="仿宋_GB2312" w:eastAsia="仿宋_GB2312"/>
          <w:sz w:val="32"/>
          <w:szCs w:val="32"/>
          <w:lang w:eastAsia="zh-CN"/>
        </w:rPr>
        <w:t>农机购置</w:t>
      </w:r>
      <w:r>
        <w:rPr>
          <w:rFonts w:hint="eastAsia" w:ascii="仿宋_GB2312" w:eastAsia="仿宋_GB2312"/>
          <w:sz w:val="32"/>
          <w:szCs w:val="32"/>
        </w:rPr>
        <w:t>补贴</w:t>
      </w:r>
      <w:r>
        <w:rPr>
          <w:rFonts w:hint="eastAsia" w:ascii="仿宋_GB2312" w:eastAsia="仿宋_GB2312"/>
          <w:sz w:val="32"/>
          <w:szCs w:val="32"/>
          <w:lang w:eastAsia="zh-CN"/>
        </w:rPr>
        <w:t>资金</w:t>
      </w:r>
      <w:r>
        <w:rPr>
          <w:rFonts w:hint="eastAsia" w:ascii="仿宋_GB2312" w:eastAsia="仿宋_GB2312"/>
          <w:sz w:val="32"/>
          <w:szCs w:val="32"/>
          <w:lang w:val="zh-CN"/>
        </w:rPr>
        <w:t>的支出导致支出</w:t>
      </w:r>
      <w:r>
        <w:rPr>
          <w:rFonts w:hint="eastAsia" w:ascii="仿宋_GB2312" w:eastAsia="仿宋_GB2312"/>
          <w:sz w:val="32"/>
          <w:szCs w:val="32"/>
          <w:lang w:val="zh-CN" w:eastAsia="zh-CN"/>
        </w:rPr>
        <w:t>增加</w:t>
      </w:r>
      <w:r>
        <w:rPr>
          <w:rFonts w:hint="eastAsia" w:ascii="仿宋_GB2312" w:eastAsia="仿宋_GB2312"/>
          <w:sz w:val="32"/>
          <w:szCs w:val="32"/>
          <w:lang w:val="zh-CN"/>
        </w:rPr>
        <w:t>。</w:t>
      </w:r>
    </w:p>
    <w:p>
      <w:pPr>
        <w:numPr>
          <w:ilvl w:val="0"/>
          <w:numId w:val="1"/>
        </w:numPr>
        <w:spacing w:after="0"/>
        <w:ind w:firstLineChars="0"/>
        <w:rPr>
          <w:rFonts w:ascii="仿宋_GB2312" w:eastAsia="仿宋_GB2312"/>
          <w:sz w:val="32"/>
          <w:szCs w:val="32"/>
        </w:rPr>
      </w:pPr>
      <w:r>
        <w:rPr>
          <w:rFonts w:ascii="仿宋_GB2312" w:eastAsia="仿宋_GB2312"/>
          <w:sz w:val="32"/>
          <w:szCs w:val="32"/>
        </w:rPr>
        <w:t>农林水支出（类）农业农村（款）农村合作经济（项）：支出决算数为1,490.38万元，比上年决算增加1,384.35万元，增长1,305.62%，主要原因是：</w:t>
      </w:r>
      <w:r>
        <w:rPr>
          <w:rFonts w:hint="eastAsia" w:ascii="仿宋_GB2312" w:eastAsia="仿宋_GB2312"/>
          <w:sz w:val="32"/>
          <w:szCs w:val="32"/>
        </w:rPr>
        <w:t>增加了</w:t>
      </w:r>
      <w:r>
        <w:rPr>
          <w:rFonts w:ascii="仿宋_GB2312" w:eastAsia="仿宋_GB2312"/>
          <w:sz w:val="32"/>
          <w:szCs w:val="32"/>
        </w:rPr>
        <w:t>2024年中央农业经营主体能力提升（第三批）大棚补贴，</w:t>
      </w:r>
      <w:r>
        <w:rPr>
          <w:rFonts w:hint="eastAsia" w:ascii="仿宋_GB2312" w:eastAsia="仿宋_GB2312"/>
          <w:sz w:val="32"/>
          <w:szCs w:val="32"/>
          <w:lang w:eastAsia="zh-CN"/>
        </w:rPr>
        <w:t>贷款</w:t>
      </w:r>
      <w:r>
        <w:rPr>
          <w:rFonts w:ascii="仿宋_GB2312" w:eastAsia="仿宋_GB2312"/>
          <w:sz w:val="32"/>
          <w:szCs w:val="32"/>
        </w:rPr>
        <w:t>贴息</w:t>
      </w:r>
      <w:r>
        <w:rPr>
          <w:rFonts w:hint="eastAsia" w:ascii="仿宋_GB2312" w:eastAsia="仿宋_GB2312"/>
          <w:sz w:val="32"/>
          <w:szCs w:val="32"/>
        </w:rPr>
        <w:t>补贴资金的支出导致支出增加。</w:t>
      </w:r>
    </w:p>
    <w:p>
      <w:pPr>
        <w:pStyle w:val="23"/>
        <w:numPr>
          <w:ilvl w:val="0"/>
          <w:numId w:val="1"/>
        </w:numPr>
        <w:ind w:firstLineChars="0"/>
        <w:rPr>
          <w:rFonts w:ascii="仿宋_GB2312" w:eastAsia="仿宋_GB2312"/>
          <w:sz w:val="32"/>
          <w:szCs w:val="32"/>
        </w:rPr>
      </w:pPr>
      <w:r>
        <w:rPr>
          <w:rFonts w:ascii="仿宋_GB2312" w:eastAsia="仿宋_GB2312"/>
          <w:sz w:val="32"/>
          <w:szCs w:val="32"/>
        </w:rPr>
        <w:t>农林水支出（类）农业农村（款）农业生态资源保护（项）：支出决算数为841.48万元，比上年决算减少274.82万元，下降24.62%，主要原因是</w:t>
      </w:r>
      <w:r>
        <w:rPr>
          <w:rFonts w:hint="eastAsia" w:ascii="仿宋_GB2312" w:eastAsia="仿宋_GB2312"/>
          <w:sz w:val="32"/>
          <w:szCs w:val="32"/>
          <w:lang w:eastAsia="zh-CN"/>
        </w:rPr>
        <w:t>：当</w:t>
      </w:r>
      <w:r>
        <w:rPr>
          <w:rFonts w:ascii="仿宋_GB2312" w:eastAsia="仿宋_GB2312"/>
          <w:sz w:val="32"/>
          <w:szCs w:val="32"/>
        </w:rPr>
        <w:t>年</w:t>
      </w:r>
      <w:r>
        <w:rPr>
          <w:rFonts w:hint="eastAsia" w:ascii="仿宋_GB2312" w:eastAsia="仿宋_GB2312"/>
          <w:sz w:val="32"/>
          <w:szCs w:val="32"/>
          <w:lang w:eastAsia="zh-CN"/>
        </w:rPr>
        <w:t>的耕地轮作补贴</w:t>
      </w:r>
      <w:r>
        <w:rPr>
          <w:rFonts w:ascii="仿宋_GB2312" w:eastAsia="仿宋_GB2312"/>
          <w:sz w:val="32"/>
          <w:szCs w:val="32"/>
          <w:lang w:eastAsia="zh-CN"/>
        </w:rPr>
        <w:t>资金</w:t>
      </w:r>
      <w:r>
        <w:rPr>
          <w:rFonts w:hint="eastAsia" w:ascii="仿宋_GB2312" w:eastAsia="仿宋_GB2312"/>
          <w:sz w:val="32"/>
          <w:szCs w:val="32"/>
          <w:lang w:eastAsia="zh-CN"/>
        </w:rPr>
        <w:t>在</w:t>
      </w:r>
      <w:r>
        <w:rPr>
          <w:rFonts w:ascii="仿宋_GB2312" w:eastAsia="仿宋_GB2312"/>
          <w:sz w:val="32"/>
          <w:szCs w:val="32"/>
        </w:rPr>
        <w:t>农林水支出（类）农业农村（款）耕地建设与利用（项）</w:t>
      </w:r>
      <w:r>
        <w:rPr>
          <w:rFonts w:hint="eastAsia" w:ascii="仿宋_GB2312" w:eastAsia="仿宋_GB2312"/>
          <w:sz w:val="32"/>
          <w:szCs w:val="32"/>
          <w:lang w:eastAsia="zh-CN"/>
        </w:rPr>
        <w:t>中</w:t>
      </w:r>
      <w:r>
        <w:rPr>
          <w:rFonts w:ascii="仿宋_GB2312" w:eastAsia="仿宋_GB2312"/>
          <w:sz w:val="32"/>
          <w:szCs w:val="32"/>
          <w:lang w:eastAsia="zh-CN"/>
        </w:rPr>
        <w:t>反映</w:t>
      </w:r>
      <w:r>
        <w:rPr>
          <w:rFonts w:hint="eastAsia" w:ascii="仿宋_GB2312" w:eastAsia="仿宋_GB2312"/>
          <w:sz w:val="32"/>
          <w:szCs w:val="32"/>
        </w:rPr>
        <w:t>导致支出</w:t>
      </w:r>
      <w:r>
        <w:rPr>
          <w:rFonts w:hint="eastAsia" w:ascii="仿宋_GB2312" w:eastAsia="仿宋_GB2312"/>
          <w:sz w:val="32"/>
          <w:szCs w:val="32"/>
          <w:lang w:eastAsia="zh-CN"/>
        </w:rPr>
        <w:t>减少</w:t>
      </w:r>
      <w:r>
        <w:rPr>
          <w:rFonts w:hint="eastAsia" w:ascii="仿宋_GB2312" w:eastAsia="仿宋_GB2312"/>
          <w:sz w:val="32"/>
          <w:szCs w:val="32"/>
        </w:rPr>
        <w:t>。</w:t>
      </w:r>
    </w:p>
    <w:p>
      <w:pPr>
        <w:numPr>
          <w:ilvl w:val="0"/>
          <w:numId w:val="1"/>
        </w:numPr>
        <w:spacing w:after="0"/>
        <w:rPr>
          <w:rFonts w:ascii="仿宋_GB2312" w:eastAsia="仿宋_GB2312"/>
          <w:sz w:val="32"/>
          <w:szCs w:val="32"/>
        </w:rPr>
      </w:pPr>
      <w:r>
        <w:rPr>
          <w:rFonts w:ascii="仿宋_GB2312" w:eastAsia="仿宋_GB2312"/>
          <w:sz w:val="32"/>
          <w:szCs w:val="32"/>
        </w:rPr>
        <w:t>农林水支出（类）农业农村（款）耕地建设与利用（项）：支出决算数为5,303.24万元，比上年决算增加4,090.46万元，增长337.28%，主要原因是：</w:t>
      </w:r>
      <w:r>
        <w:rPr>
          <w:rFonts w:hint="eastAsia" w:ascii="仿宋_GB2312" w:eastAsia="仿宋_GB2312"/>
          <w:sz w:val="32"/>
          <w:szCs w:val="32"/>
          <w:lang w:eastAsia="zh-CN"/>
        </w:rPr>
        <w:t>增加了2020</w:t>
      </w:r>
      <w:r>
        <w:rPr>
          <w:rFonts w:ascii="仿宋_GB2312" w:eastAsia="仿宋_GB2312"/>
          <w:sz w:val="32"/>
          <w:szCs w:val="32"/>
          <w:lang w:eastAsia="zh-CN"/>
        </w:rPr>
        <w:t>-2023</w:t>
      </w:r>
      <w:r>
        <w:rPr>
          <w:rFonts w:hint="eastAsia" w:ascii="仿宋_GB2312" w:eastAsia="仿宋_GB2312"/>
          <w:sz w:val="32"/>
          <w:szCs w:val="32"/>
          <w:lang w:eastAsia="zh-CN"/>
        </w:rPr>
        <w:t>年高标准</w:t>
      </w:r>
      <w:r>
        <w:rPr>
          <w:rFonts w:hint="eastAsia" w:ascii="仿宋_GB2312" w:eastAsia="仿宋_GB2312"/>
          <w:sz w:val="32"/>
          <w:szCs w:val="32"/>
        </w:rPr>
        <w:t>农田建设</w:t>
      </w:r>
      <w:r>
        <w:rPr>
          <w:rFonts w:hint="eastAsia" w:ascii="仿宋_GB2312" w:eastAsia="仿宋_GB2312"/>
          <w:sz w:val="32"/>
          <w:szCs w:val="32"/>
          <w:lang w:eastAsia="zh-CN"/>
        </w:rPr>
        <w:t>项目</w:t>
      </w:r>
      <w:r>
        <w:rPr>
          <w:rFonts w:hint="eastAsia" w:ascii="仿宋_GB2312" w:eastAsia="仿宋_GB2312"/>
          <w:sz w:val="32"/>
          <w:szCs w:val="32"/>
        </w:rPr>
        <w:t>资金</w:t>
      </w:r>
      <w:r>
        <w:rPr>
          <w:rFonts w:hint="eastAsia" w:ascii="仿宋_GB2312" w:eastAsia="仿宋_GB2312"/>
          <w:sz w:val="32"/>
          <w:szCs w:val="32"/>
          <w:lang w:eastAsia="zh-CN"/>
        </w:rPr>
        <w:t>的</w:t>
      </w:r>
      <w:r>
        <w:rPr>
          <w:rFonts w:ascii="仿宋_GB2312" w:eastAsia="仿宋_GB2312"/>
          <w:sz w:val="32"/>
          <w:szCs w:val="32"/>
          <w:lang w:eastAsia="zh-CN"/>
        </w:rPr>
        <w:t>支出导致支出增加。</w:t>
      </w:r>
    </w:p>
    <w:p>
      <w:pPr>
        <w:numPr>
          <w:ilvl w:val="0"/>
          <w:numId w:val="1"/>
        </w:numPr>
        <w:spacing w:after="0"/>
        <w:rPr>
          <w:rFonts w:ascii="仿宋_GB2312" w:eastAsia="仿宋_GB2312"/>
          <w:sz w:val="32"/>
          <w:szCs w:val="32"/>
        </w:rPr>
      </w:pPr>
      <w:r>
        <w:rPr>
          <w:rFonts w:ascii="仿宋_GB2312" w:eastAsia="仿宋_GB2312"/>
          <w:sz w:val="32"/>
          <w:szCs w:val="32"/>
        </w:rPr>
        <w:t>农林水支出（类）农业农村（款）其他农业农村支出（项）：支出决算数为2,001.11万元，比上年决算增加588.82万元，增长41.69%，主要原因是：</w:t>
      </w:r>
      <w:r>
        <w:rPr>
          <w:rFonts w:hint="eastAsia" w:ascii="仿宋_GB2312" w:eastAsia="仿宋_GB2312"/>
          <w:sz w:val="32"/>
          <w:szCs w:val="32"/>
          <w:lang w:eastAsia="zh-CN"/>
        </w:rPr>
        <w:t>增加了202</w:t>
      </w:r>
      <w:r>
        <w:rPr>
          <w:rFonts w:ascii="仿宋_GB2312" w:eastAsia="仿宋_GB2312"/>
          <w:sz w:val="32"/>
          <w:szCs w:val="32"/>
          <w:lang w:eastAsia="zh-CN"/>
        </w:rPr>
        <w:t>1-2022</w:t>
      </w:r>
      <w:r>
        <w:rPr>
          <w:rFonts w:hint="eastAsia" w:ascii="仿宋_GB2312" w:eastAsia="仿宋_GB2312"/>
          <w:sz w:val="32"/>
          <w:szCs w:val="32"/>
          <w:lang w:eastAsia="zh-CN"/>
        </w:rPr>
        <w:t>年优质棉基地</w:t>
      </w:r>
      <w:r>
        <w:rPr>
          <w:rFonts w:hint="eastAsia" w:ascii="仿宋_GB2312" w:eastAsia="仿宋_GB2312"/>
          <w:sz w:val="32"/>
          <w:szCs w:val="32"/>
        </w:rPr>
        <w:t>建设</w:t>
      </w:r>
      <w:r>
        <w:rPr>
          <w:rFonts w:hint="eastAsia" w:ascii="仿宋_GB2312" w:eastAsia="仿宋_GB2312"/>
          <w:sz w:val="32"/>
          <w:szCs w:val="32"/>
          <w:lang w:eastAsia="zh-CN"/>
        </w:rPr>
        <w:t>项目</w:t>
      </w:r>
      <w:r>
        <w:rPr>
          <w:rFonts w:hint="eastAsia" w:ascii="仿宋_GB2312" w:eastAsia="仿宋_GB2312"/>
          <w:sz w:val="32"/>
          <w:szCs w:val="32"/>
        </w:rPr>
        <w:t>资金</w:t>
      </w:r>
      <w:r>
        <w:rPr>
          <w:rFonts w:hint="eastAsia" w:ascii="仿宋_GB2312" w:eastAsia="仿宋_GB2312"/>
          <w:sz w:val="32"/>
          <w:szCs w:val="32"/>
          <w:lang w:eastAsia="zh-CN"/>
        </w:rPr>
        <w:t>的</w:t>
      </w:r>
      <w:r>
        <w:rPr>
          <w:rFonts w:ascii="仿宋_GB2312" w:eastAsia="仿宋_GB2312"/>
          <w:sz w:val="32"/>
          <w:szCs w:val="32"/>
          <w:lang w:eastAsia="zh-CN"/>
        </w:rPr>
        <w:t>支出导致支出增加。</w:t>
      </w:r>
    </w:p>
    <w:p>
      <w:pPr>
        <w:numPr>
          <w:ilvl w:val="0"/>
          <w:numId w:val="1"/>
        </w:numPr>
        <w:spacing w:after="0"/>
        <w:ind w:firstLineChars="0"/>
        <w:rPr>
          <w:rFonts w:ascii="仿宋_GB2312" w:eastAsia="仿宋_GB2312"/>
          <w:sz w:val="32"/>
          <w:szCs w:val="32"/>
        </w:rPr>
      </w:pPr>
      <w:r>
        <w:rPr>
          <w:rFonts w:ascii="仿宋_GB2312" w:eastAsia="仿宋_GB2312"/>
          <w:sz w:val="32"/>
          <w:szCs w:val="32"/>
        </w:rPr>
        <w:t>农林水支出（类）巩固脱贫攻坚成果衔接乡村振兴（款）生产发展（项）：支出决算数为388.41万元，比上年决算增加370.30万元，增长2,044.73%，主要原因是：</w:t>
      </w:r>
      <w:r>
        <w:rPr>
          <w:rFonts w:hint="eastAsia" w:ascii="仿宋_GB2312" w:eastAsia="仿宋_GB2312"/>
          <w:sz w:val="32"/>
          <w:szCs w:val="32"/>
          <w:lang w:eastAsia="zh-CN"/>
        </w:rPr>
        <w:t>增加了2024年财政衔接推进乡村振兴补助</w:t>
      </w:r>
      <w:r>
        <w:rPr>
          <w:rFonts w:hint="eastAsia" w:ascii="仿宋_GB2312" w:eastAsia="仿宋_GB2312"/>
          <w:sz w:val="32"/>
          <w:szCs w:val="32"/>
        </w:rPr>
        <w:t>资金</w:t>
      </w:r>
      <w:r>
        <w:rPr>
          <w:rFonts w:hint="eastAsia" w:ascii="仿宋_GB2312" w:eastAsia="仿宋_GB2312"/>
          <w:sz w:val="32"/>
          <w:szCs w:val="32"/>
          <w:lang w:eastAsia="zh-CN"/>
        </w:rPr>
        <w:t>的</w:t>
      </w:r>
      <w:r>
        <w:rPr>
          <w:rFonts w:ascii="仿宋_GB2312" w:eastAsia="仿宋_GB2312"/>
          <w:sz w:val="32"/>
          <w:szCs w:val="32"/>
          <w:lang w:eastAsia="zh-CN"/>
        </w:rPr>
        <w:t>支出导致支出增加。</w:t>
      </w:r>
    </w:p>
    <w:p>
      <w:pPr>
        <w:pStyle w:val="23"/>
        <w:numPr>
          <w:ilvl w:val="0"/>
          <w:numId w:val="1"/>
        </w:numPr>
        <w:ind w:firstLineChars="0"/>
        <w:rPr>
          <w:rFonts w:ascii="仿宋_GB2312" w:eastAsia="仿宋_GB2312"/>
          <w:sz w:val="32"/>
          <w:szCs w:val="32"/>
          <w:lang w:eastAsia="zh-CN"/>
        </w:rPr>
      </w:pPr>
      <w:r>
        <w:rPr>
          <w:rFonts w:ascii="仿宋_GB2312" w:eastAsia="仿宋_GB2312"/>
          <w:sz w:val="32"/>
          <w:szCs w:val="32"/>
        </w:rPr>
        <w:t>农林水支出（类）巩固脱贫攻坚成果衔接乡村振兴（款）其他巩固脱贫攻坚成果衔接乡村振兴支出（项）：支出决算数为218.72万元，比上年决算增加215.72万元，增长7,190.67%，主要原因是：</w:t>
      </w:r>
      <w:r>
        <w:rPr>
          <w:rFonts w:hint="eastAsia" w:ascii="仿宋_GB2312" w:eastAsia="仿宋_GB2312"/>
          <w:sz w:val="32"/>
          <w:szCs w:val="32"/>
          <w:lang w:eastAsia="zh-CN"/>
        </w:rPr>
        <w:t>增加了本级配套脱贫攻坚与</w:t>
      </w:r>
      <w:r>
        <w:rPr>
          <w:rFonts w:ascii="仿宋_GB2312" w:eastAsia="仿宋_GB2312"/>
          <w:sz w:val="32"/>
          <w:szCs w:val="32"/>
          <w:lang w:eastAsia="zh-CN"/>
        </w:rPr>
        <w:t>有限衔接</w:t>
      </w:r>
      <w:r>
        <w:rPr>
          <w:rFonts w:hint="eastAsia" w:ascii="仿宋_GB2312" w:eastAsia="仿宋_GB2312"/>
          <w:sz w:val="32"/>
          <w:szCs w:val="32"/>
          <w:lang w:eastAsia="zh-CN"/>
        </w:rPr>
        <w:t>资金</w:t>
      </w:r>
      <w:r>
        <w:rPr>
          <w:rFonts w:ascii="仿宋_GB2312" w:eastAsia="仿宋_GB2312"/>
          <w:sz w:val="32"/>
          <w:szCs w:val="32"/>
          <w:lang w:eastAsia="zh-CN"/>
        </w:rPr>
        <w:t>的支出导致支出增加。</w:t>
      </w:r>
    </w:p>
    <w:p>
      <w:pPr>
        <w:numPr>
          <w:ilvl w:val="0"/>
          <w:numId w:val="1"/>
        </w:numPr>
        <w:spacing w:after="0"/>
        <w:rPr>
          <w:rFonts w:ascii="仿宋_GB2312" w:eastAsia="仿宋_GB2312"/>
          <w:sz w:val="32"/>
          <w:szCs w:val="32"/>
        </w:rPr>
      </w:pPr>
      <w:r>
        <w:rPr>
          <w:rFonts w:ascii="仿宋_GB2312" w:eastAsia="仿宋_GB2312"/>
          <w:sz w:val="32"/>
          <w:szCs w:val="32"/>
        </w:rPr>
        <w:t>农林水支出（类）普惠金融发展支出（款）农业保险保费补贴（项）：支出决算数为6,834.81万元，比上年决算增加3,898.84万元，增长132.80%，主要原因是：</w:t>
      </w:r>
      <w:r>
        <w:rPr>
          <w:rFonts w:hint="eastAsia" w:ascii="仿宋_GB2312" w:eastAsia="仿宋_GB2312"/>
          <w:sz w:val="32"/>
          <w:szCs w:val="32"/>
          <w:lang w:eastAsia="zh-CN"/>
        </w:rPr>
        <w:t>增加了2022</w:t>
      </w:r>
      <w:r>
        <w:rPr>
          <w:rFonts w:ascii="仿宋_GB2312" w:eastAsia="仿宋_GB2312"/>
          <w:sz w:val="32"/>
          <w:szCs w:val="32"/>
          <w:lang w:eastAsia="zh-CN"/>
        </w:rPr>
        <w:t>-2023</w:t>
      </w:r>
      <w:r>
        <w:rPr>
          <w:rFonts w:hint="eastAsia" w:ascii="仿宋_GB2312" w:eastAsia="仿宋_GB2312"/>
          <w:sz w:val="32"/>
          <w:szCs w:val="32"/>
          <w:lang w:eastAsia="zh-CN"/>
        </w:rPr>
        <w:t>年农业保险保费</w:t>
      </w:r>
      <w:r>
        <w:rPr>
          <w:rFonts w:ascii="仿宋_GB2312" w:eastAsia="仿宋_GB2312"/>
          <w:sz w:val="32"/>
          <w:szCs w:val="32"/>
          <w:lang w:eastAsia="zh-CN"/>
        </w:rPr>
        <w:t>补贴资金的支出导致支出增加。</w:t>
      </w:r>
    </w:p>
    <w:p>
      <w:pPr>
        <w:numPr>
          <w:ilvl w:val="0"/>
          <w:numId w:val="1"/>
        </w:numPr>
        <w:spacing w:after="0"/>
        <w:ind w:firstLineChars="0"/>
        <w:rPr>
          <w:rFonts w:ascii="仿宋_GB2312" w:eastAsia="仿宋_GB2312"/>
          <w:sz w:val="32"/>
          <w:szCs w:val="32"/>
        </w:rPr>
      </w:pPr>
      <w:r>
        <w:rPr>
          <w:rFonts w:ascii="仿宋_GB2312" w:eastAsia="仿宋_GB2312"/>
          <w:sz w:val="32"/>
          <w:szCs w:val="32"/>
        </w:rPr>
        <w:t>其他支出（类）其他支出（款）其他支出（项）：支出决算数为10.00万元，比上年决算增加10.00万元，增长100.00%，主要原因是：</w:t>
      </w:r>
      <w:r>
        <w:rPr>
          <w:rFonts w:hint="eastAsia" w:ascii="仿宋_GB2312" w:eastAsia="仿宋_GB2312"/>
          <w:sz w:val="32"/>
          <w:szCs w:val="32"/>
          <w:lang w:val="zh-CN" w:eastAsia="zh-CN"/>
        </w:rPr>
        <w:t>2</w:t>
      </w:r>
      <w:r>
        <w:rPr>
          <w:rFonts w:ascii="仿宋_GB2312" w:eastAsia="仿宋_GB2312"/>
          <w:sz w:val="32"/>
          <w:szCs w:val="32"/>
          <w:lang w:val="zh-CN" w:eastAsia="zh-CN"/>
        </w:rPr>
        <w:t>023</w:t>
      </w:r>
      <w:r>
        <w:rPr>
          <w:rFonts w:hint="eastAsia" w:ascii="仿宋_GB2312" w:eastAsia="仿宋_GB2312"/>
          <w:sz w:val="32"/>
          <w:szCs w:val="32"/>
          <w:lang w:val="zh-CN"/>
        </w:rPr>
        <w:t>年安排</w:t>
      </w:r>
      <w:r>
        <w:rPr>
          <w:rFonts w:hint="eastAsia" w:ascii="仿宋_GB2312" w:eastAsia="仿宋_GB2312"/>
          <w:sz w:val="32"/>
          <w:szCs w:val="32"/>
          <w:lang w:val="zh-CN" w:eastAsia="zh-CN"/>
        </w:rPr>
        <w:t>的</w:t>
      </w:r>
      <w:r>
        <w:rPr>
          <w:rFonts w:hint="eastAsia" w:ascii="仿宋_GB2312" w:eastAsia="仿宋_GB2312"/>
          <w:sz w:val="32"/>
          <w:szCs w:val="32"/>
          <w:lang w:val="zh-CN"/>
        </w:rPr>
        <w:t>访惠聚工作队经费支出</w:t>
      </w:r>
      <w:r>
        <w:rPr>
          <w:rFonts w:hint="eastAsia" w:ascii="仿宋_GB2312" w:eastAsia="仿宋_GB2312"/>
          <w:sz w:val="32"/>
          <w:szCs w:val="32"/>
          <w:lang w:val="zh-CN" w:eastAsia="zh-CN"/>
        </w:rPr>
        <w:t>在</w:t>
      </w:r>
      <w:r>
        <w:rPr>
          <w:rFonts w:ascii="仿宋_GB2312" w:eastAsia="仿宋_GB2312"/>
          <w:sz w:val="32"/>
          <w:szCs w:val="32"/>
        </w:rPr>
        <w:t>一般公共服务支出（类）组织事务（款）其他组织事务支出（项）</w:t>
      </w:r>
      <w:r>
        <w:rPr>
          <w:rFonts w:hint="eastAsia" w:ascii="仿宋_GB2312" w:eastAsia="仿宋_GB2312"/>
          <w:sz w:val="32"/>
          <w:szCs w:val="32"/>
          <w:lang w:eastAsia="zh-CN"/>
        </w:rPr>
        <w:t>中</w:t>
      </w:r>
      <w:r>
        <w:rPr>
          <w:rFonts w:ascii="仿宋_GB2312" w:eastAsia="仿宋_GB2312"/>
          <w:sz w:val="32"/>
          <w:szCs w:val="32"/>
          <w:lang w:eastAsia="zh-CN"/>
        </w:rPr>
        <w:t>反映</w:t>
      </w:r>
      <w:r>
        <w:rPr>
          <w:rFonts w:hint="eastAsia" w:ascii="仿宋_GB2312" w:eastAsia="仿宋_GB2312"/>
          <w:sz w:val="32"/>
          <w:szCs w:val="32"/>
          <w:lang w:eastAsia="zh-CN"/>
        </w:rPr>
        <w:t>导致</w:t>
      </w:r>
      <w:r>
        <w:rPr>
          <w:rFonts w:ascii="仿宋_GB2312" w:eastAsia="仿宋_GB2312"/>
          <w:sz w:val="32"/>
          <w:szCs w:val="32"/>
          <w:lang w:eastAsia="zh-CN"/>
        </w:rPr>
        <w:t>支出增加</w:t>
      </w:r>
      <w:r>
        <w:rPr>
          <w:rFonts w:hint="eastAsia" w:ascii="仿宋_GB2312" w:eastAsia="仿宋_GB2312"/>
          <w:sz w:val="32"/>
          <w:szCs w:val="32"/>
          <w:lang w:eastAsia="zh-CN"/>
        </w:rPr>
        <w:t>。</w:t>
      </w:r>
    </w:p>
    <w:p>
      <w:pPr>
        <w:spacing w:after="0" w:line="240" w:lineRule="auto"/>
        <w:ind w:firstLine="640" w:firstLineChars="200"/>
        <w:outlineLvl w:val="1"/>
        <w:rPr>
          <w:rFonts w:ascii="黑体" w:eastAsia="黑体"/>
          <w:sz w:val="32"/>
          <w:szCs w:val="32"/>
        </w:rPr>
      </w:pPr>
      <w:r>
        <w:rPr>
          <w:rFonts w:ascii="黑体" w:eastAsia="黑体"/>
          <w:sz w:val="32"/>
          <w:szCs w:val="32"/>
        </w:rPr>
        <w:t>六、一般公共预算财政拨款基本支出决算情况说明</w:t>
      </w:r>
    </w:p>
    <w:p>
      <w:pPr>
        <w:spacing w:after="0" w:line="240" w:lineRule="auto"/>
        <w:ind w:firstLine="640" w:firstLineChars="200"/>
        <w:jc w:val="both"/>
        <w:rPr>
          <w:rFonts w:ascii="仿宋_GB2312" w:eastAsia="仿宋_GB2312"/>
          <w:sz w:val="32"/>
          <w:szCs w:val="32"/>
        </w:rPr>
      </w:pPr>
      <w:r>
        <w:rPr>
          <w:rFonts w:ascii="仿宋_GB2312" w:eastAsia="仿宋_GB2312"/>
          <w:sz w:val="32"/>
          <w:szCs w:val="32"/>
        </w:rPr>
        <w:t>2024年度一般公共预算财政拨款基本支出1,360.32万元，其中：人员经费1,278.01万元，包括：基本工资、津贴补贴、奖金、机关事业单位基本养老保险缴费、职业年金缴费、职工基本医疗保险缴费、公务员医疗补助缴费、其他社会保障缴费、住房公积金、其他工资福利支出、退休费、抚恤金、生活补助和奖励金。</w:t>
      </w:r>
    </w:p>
    <w:p>
      <w:pPr>
        <w:spacing w:after="0" w:line="240" w:lineRule="auto"/>
        <w:ind w:firstLine="640" w:firstLineChars="200"/>
        <w:jc w:val="both"/>
        <w:rPr>
          <w:rFonts w:ascii="仿宋_GB2312" w:eastAsia="仿宋_GB2312"/>
          <w:sz w:val="32"/>
          <w:szCs w:val="32"/>
        </w:rPr>
      </w:pPr>
      <w:r>
        <w:rPr>
          <w:rFonts w:ascii="仿宋_GB2312" w:eastAsia="仿宋_GB2312"/>
          <w:sz w:val="32"/>
          <w:szCs w:val="32"/>
        </w:rPr>
        <w:t>公用经费82.31万元，包括：办公费、水费、邮电费、物业管理费、差旅费、维修（护）费、培训费、专用材料费、委托业务费、工会经费、福利费和公务用车运行维护费。</w:t>
      </w:r>
    </w:p>
    <w:p>
      <w:pPr>
        <w:spacing w:after="0" w:line="240" w:lineRule="auto"/>
        <w:ind w:firstLine="640" w:firstLineChars="200"/>
        <w:outlineLvl w:val="1"/>
        <w:rPr>
          <w:rFonts w:ascii="黑体" w:eastAsia="黑体"/>
          <w:sz w:val="32"/>
          <w:szCs w:val="32"/>
        </w:rPr>
      </w:pPr>
      <w:r>
        <w:rPr>
          <w:rFonts w:ascii="黑体" w:eastAsia="黑体"/>
          <w:sz w:val="32"/>
          <w:szCs w:val="32"/>
        </w:rPr>
        <w:t>七、政府性基金预算财政拨款收入支出决算情况说明</w:t>
      </w:r>
    </w:p>
    <w:p>
      <w:pPr>
        <w:spacing w:after="0" w:line="240" w:lineRule="auto"/>
        <w:ind w:firstLine="640" w:firstLineChars="200"/>
        <w:jc w:val="both"/>
        <w:rPr>
          <w:rFonts w:ascii="仿宋_GB2312" w:eastAsia="仿宋_GB2312"/>
          <w:sz w:val="32"/>
          <w:szCs w:val="32"/>
        </w:rPr>
      </w:pPr>
      <w:r>
        <w:rPr>
          <w:rFonts w:ascii="仿宋_GB2312" w:eastAsia="仿宋_GB2312"/>
          <w:sz w:val="32"/>
          <w:szCs w:val="32"/>
        </w:rPr>
        <w:t>2024年度政府性基金预算财政拨款收入总计3,071.47万元，其中：年初结转和结余0.00万元，本年收入3,071.47万元。政府性基金预算财政拨款支出总计3,071.47万元，其中：年末结转和结余0.00万元，本年支出3,071.47万元。</w:t>
      </w:r>
    </w:p>
    <w:p>
      <w:pPr>
        <w:spacing w:line="560" w:lineRule="exact"/>
        <w:ind w:firstLine="640" w:firstLineChars="200"/>
        <w:rPr>
          <w:rFonts w:ascii="仿宋_GB2312" w:eastAsia="仿宋_GB2312"/>
          <w:sz w:val="32"/>
          <w:szCs w:val="32"/>
          <w:lang w:val="zh-CN"/>
        </w:rPr>
      </w:pPr>
      <w:r>
        <w:rPr>
          <w:rFonts w:ascii="仿宋_GB2312" w:eastAsia="仿宋_GB2312"/>
          <w:sz w:val="32"/>
          <w:szCs w:val="32"/>
        </w:rPr>
        <w:t>政府性基金预算财政拨款收入支出总体与上年相比，减少3,184.81万元，下降50.91%，主要原因是：</w:t>
      </w:r>
      <w:r>
        <w:rPr>
          <w:rFonts w:hint="eastAsia" w:ascii="仿宋_GB2312" w:eastAsia="仿宋_GB2312"/>
          <w:sz w:val="32"/>
          <w:szCs w:val="32"/>
        </w:rPr>
        <w:t>农村基础设施建设项目资金开支减少</w:t>
      </w:r>
      <w:r>
        <w:rPr>
          <w:rFonts w:hint="eastAsia" w:ascii="仿宋_GB2312" w:eastAsia="仿宋_GB2312"/>
          <w:sz w:val="32"/>
          <w:szCs w:val="32"/>
          <w:lang w:eastAsia="zh-CN"/>
        </w:rPr>
        <w:t>导致</w:t>
      </w:r>
      <w:r>
        <w:rPr>
          <w:rFonts w:ascii="仿宋_GB2312" w:eastAsia="仿宋_GB2312"/>
          <w:sz w:val="32"/>
          <w:szCs w:val="32"/>
          <w:lang w:eastAsia="zh-CN"/>
        </w:rPr>
        <w:t>支出减少</w:t>
      </w:r>
      <w:r>
        <w:rPr>
          <w:rFonts w:hint="eastAsia" w:ascii="仿宋_GB2312" w:eastAsia="仿宋_GB2312"/>
          <w:sz w:val="32"/>
          <w:szCs w:val="32"/>
        </w:rPr>
        <w:t>。</w:t>
      </w:r>
      <w:r>
        <w:rPr>
          <w:rFonts w:ascii="仿宋_GB2312" w:eastAsia="仿宋_GB2312"/>
          <w:sz w:val="32"/>
          <w:szCs w:val="32"/>
        </w:rPr>
        <w:t>与年初预算相比，年初预算数905.00万元，决算数3,071.47万元，预决算差异率239.39%，主要原因是：</w:t>
      </w:r>
      <w:r>
        <w:rPr>
          <w:rFonts w:hint="eastAsia" w:ascii="仿宋_GB2312" w:eastAsia="仿宋_GB2312"/>
          <w:sz w:val="32"/>
          <w:szCs w:val="32"/>
          <w:lang w:val="zh-CN"/>
        </w:rPr>
        <w:t>增加上级年中追加项目导致支出增加。</w:t>
      </w:r>
    </w:p>
    <w:p>
      <w:pPr>
        <w:spacing w:after="0" w:line="240" w:lineRule="auto"/>
        <w:ind w:firstLine="640" w:firstLineChars="200"/>
        <w:jc w:val="both"/>
        <w:rPr>
          <w:rFonts w:ascii="仿宋_GB2312" w:eastAsia="仿宋_GB2312"/>
          <w:sz w:val="32"/>
          <w:szCs w:val="32"/>
        </w:rPr>
      </w:pPr>
      <w:r>
        <w:rPr>
          <w:rFonts w:ascii="仿宋_GB2312" w:eastAsia="仿宋_GB2312"/>
          <w:sz w:val="32"/>
          <w:szCs w:val="32"/>
        </w:rPr>
        <w:t>政府性基金预算财政拨款支出3,071.47万元。</w:t>
      </w:r>
    </w:p>
    <w:p>
      <w:pPr>
        <w:numPr>
          <w:ilvl w:val="0"/>
          <w:numId w:val="2"/>
        </w:numPr>
        <w:spacing w:after="0"/>
        <w:rPr>
          <w:rFonts w:ascii="仿宋_GB2312" w:eastAsia="仿宋_GB2312"/>
          <w:sz w:val="32"/>
          <w:szCs w:val="32"/>
        </w:rPr>
      </w:pPr>
      <w:r>
        <w:rPr>
          <w:rFonts w:ascii="仿宋_GB2312" w:eastAsia="仿宋_GB2312"/>
          <w:sz w:val="32"/>
          <w:szCs w:val="32"/>
        </w:rPr>
        <w:t>城乡社区支出（类）国有土地使用权出让收入安排的支出（款）农村基础设施建设支出（项）：支出决算数为100.10万元，比上年决算减少70.91万元，下降41.47%，主要原因是：</w:t>
      </w:r>
      <w:r>
        <w:rPr>
          <w:rFonts w:hint="eastAsia" w:ascii="仿宋_GB2312" w:eastAsia="仿宋_GB2312"/>
          <w:sz w:val="32"/>
          <w:szCs w:val="32"/>
          <w:lang w:eastAsia="zh-CN"/>
        </w:rPr>
        <w:t>本年高标准农田建设项目</w:t>
      </w:r>
      <w:r>
        <w:rPr>
          <w:rFonts w:ascii="仿宋_GB2312" w:eastAsia="仿宋_GB2312"/>
          <w:sz w:val="32"/>
          <w:szCs w:val="32"/>
          <w:lang w:eastAsia="zh-CN"/>
        </w:rPr>
        <w:t>资金的</w:t>
      </w:r>
      <w:r>
        <w:rPr>
          <w:rFonts w:hint="eastAsia" w:ascii="仿宋_GB2312" w:eastAsia="仿宋_GB2312"/>
          <w:sz w:val="32"/>
          <w:szCs w:val="32"/>
          <w:lang w:eastAsia="zh-CN"/>
        </w:rPr>
        <w:t>支出不在</w:t>
      </w:r>
      <w:r>
        <w:rPr>
          <w:rFonts w:ascii="仿宋_GB2312" w:eastAsia="仿宋_GB2312"/>
          <w:sz w:val="32"/>
          <w:szCs w:val="32"/>
          <w:lang w:eastAsia="zh-CN"/>
        </w:rPr>
        <w:t>本科目中</w:t>
      </w:r>
      <w:r>
        <w:rPr>
          <w:rFonts w:hint="eastAsia" w:ascii="仿宋_GB2312" w:eastAsia="仿宋_GB2312"/>
          <w:sz w:val="32"/>
          <w:szCs w:val="32"/>
          <w:lang w:eastAsia="zh-CN"/>
        </w:rPr>
        <w:t>反映，单独反映</w:t>
      </w:r>
      <w:r>
        <w:rPr>
          <w:rFonts w:ascii="仿宋_GB2312" w:eastAsia="仿宋_GB2312"/>
          <w:sz w:val="32"/>
          <w:szCs w:val="32"/>
          <w:lang w:eastAsia="zh-CN"/>
        </w:rPr>
        <w:t>导致支出减少。</w:t>
      </w:r>
    </w:p>
    <w:p>
      <w:pPr>
        <w:numPr>
          <w:ilvl w:val="0"/>
          <w:numId w:val="2"/>
        </w:numPr>
        <w:spacing w:after="0"/>
        <w:rPr>
          <w:rFonts w:ascii="仿宋_GB2312" w:eastAsia="仿宋_GB2312"/>
          <w:sz w:val="32"/>
          <w:szCs w:val="32"/>
        </w:rPr>
      </w:pPr>
      <w:r>
        <w:rPr>
          <w:rFonts w:ascii="仿宋_GB2312" w:eastAsia="仿宋_GB2312"/>
          <w:sz w:val="32"/>
          <w:szCs w:val="32"/>
        </w:rPr>
        <w:t>城乡社区支出（类）国有土地使用权出让收入安排的支出（款）农业生产发展支出（项）：支出决算数为1,718.01万元，比上年决算减少3,823.12万元，下降69.00%，主要原因是：</w:t>
      </w:r>
      <w:r>
        <w:rPr>
          <w:rFonts w:hint="eastAsia" w:ascii="仿宋_GB2312" w:eastAsia="仿宋_GB2312"/>
          <w:sz w:val="32"/>
          <w:szCs w:val="32"/>
          <w:lang w:eastAsia="zh-CN"/>
        </w:rPr>
        <w:t>本年高标准农田建设项目</w:t>
      </w:r>
      <w:r>
        <w:rPr>
          <w:rFonts w:ascii="仿宋_GB2312" w:eastAsia="仿宋_GB2312"/>
          <w:sz w:val="32"/>
          <w:szCs w:val="32"/>
          <w:lang w:eastAsia="zh-CN"/>
        </w:rPr>
        <w:t>资金的</w:t>
      </w:r>
      <w:r>
        <w:rPr>
          <w:rFonts w:hint="eastAsia" w:ascii="仿宋_GB2312" w:eastAsia="仿宋_GB2312"/>
          <w:sz w:val="32"/>
          <w:szCs w:val="32"/>
          <w:lang w:eastAsia="zh-CN"/>
        </w:rPr>
        <w:t>支出不在</w:t>
      </w:r>
      <w:r>
        <w:rPr>
          <w:rFonts w:ascii="仿宋_GB2312" w:eastAsia="仿宋_GB2312"/>
          <w:sz w:val="32"/>
          <w:szCs w:val="32"/>
          <w:lang w:eastAsia="zh-CN"/>
        </w:rPr>
        <w:t>本科目中</w:t>
      </w:r>
      <w:r>
        <w:rPr>
          <w:rFonts w:hint="eastAsia" w:ascii="仿宋_GB2312" w:eastAsia="仿宋_GB2312"/>
          <w:sz w:val="32"/>
          <w:szCs w:val="32"/>
          <w:lang w:eastAsia="zh-CN"/>
        </w:rPr>
        <w:t>反映，单独反映</w:t>
      </w:r>
      <w:r>
        <w:rPr>
          <w:rFonts w:ascii="仿宋_GB2312" w:eastAsia="仿宋_GB2312"/>
          <w:sz w:val="32"/>
          <w:szCs w:val="32"/>
          <w:lang w:eastAsia="zh-CN"/>
        </w:rPr>
        <w:t>导致支出减少。</w:t>
      </w:r>
    </w:p>
    <w:p>
      <w:pPr>
        <w:numPr>
          <w:ilvl w:val="0"/>
          <w:numId w:val="2"/>
        </w:numPr>
        <w:spacing w:after="0"/>
        <w:ind w:firstLineChars="0"/>
        <w:rPr>
          <w:rFonts w:ascii="仿宋_GB2312" w:eastAsia="仿宋_GB2312"/>
          <w:sz w:val="32"/>
          <w:szCs w:val="32"/>
        </w:rPr>
      </w:pPr>
      <w:r>
        <w:rPr>
          <w:rFonts w:ascii="仿宋_GB2312" w:eastAsia="仿宋_GB2312"/>
          <w:sz w:val="32"/>
          <w:szCs w:val="32"/>
        </w:rPr>
        <w:t>城乡社区支出（类）国有土地使用权出让收入安排的支出（款）农业农村生态环境支出（项）：支出决算数为1,048.77万元，比上年决算增加504.62万元，增长92.74%，主要原因是：</w:t>
      </w:r>
      <w:r>
        <w:rPr>
          <w:rFonts w:hint="eastAsia" w:ascii="仿宋_GB2312" w:eastAsia="仿宋_GB2312"/>
          <w:sz w:val="32"/>
          <w:szCs w:val="32"/>
          <w:lang w:eastAsia="zh-CN"/>
        </w:rPr>
        <w:t>增加</w:t>
      </w:r>
      <w:r>
        <w:rPr>
          <w:rFonts w:ascii="仿宋_GB2312" w:eastAsia="仿宋_GB2312"/>
          <w:sz w:val="32"/>
          <w:szCs w:val="32"/>
          <w:lang w:eastAsia="zh-CN"/>
        </w:rPr>
        <w:t>了</w:t>
      </w:r>
      <w:r>
        <w:rPr>
          <w:rFonts w:ascii="仿宋_GB2312" w:eastAsia="仿宋_GB2312"/>
          <w:sz w:val="32"/>
          <w:szCs w:val="32"/>
        </w:rPr>
        <w:t>2022年中央农业资源及保护补贴资金（</w:t>
      </w:r>
      <w:r>
        <w:rPr>
          <w:rFonts w:hint="eastAsia" w:ascii="仿宋_GB2312" w:eastAsia="仿宋_GB2312"/>
          <w:sz w:val="32"/>
          <w:szCs w:val="32"/>
          <w:lang w:eastAsia="zh-CN"/>
        </w:rPr>
        <w:t>地膜</w:t>
      </w:r>
      <w:r>
        <w:rPr>
          <w:rFonts w:ascii="仿宋_GB2312" w:eastAsia="仿宋_GB2312"/>
          <w:sz w:val="32"/>
          <w:szCs w:val="32"/>
        </w:rPr>
        <w:t>）</w:t>
      </w:r>
      <w:r>
        <w:rPr>
          <w:rFonts w:hint="eastAsia" w:ascii="仿宋_GB2312" w:eastAsia="仿宋_GB2312"/>
          <w:sz w:val="32"/>
          <w:szCs w:val="32"/>
          <w:lang w:eastAsia="zh-CN"/>
        </w:rPr>
        <w:t>的</w:t>
      </w:r>
      <w:r>
        <w:rPr>
          <w:rFonts w:ascii="仿宋_GB2312" w:eastAsia="仿宋_GB2312"/>
          <w:sz w:val="32"/>
          <w:szCs w:val="32"/>
          <w:lang w:eastAsia="zh-CN"/>
        </w:rPr>
        <w:t>支出导致支出增加。</w:t>
      </w:r>
    </w:p>
    <w:p>
      <w:pPr>
        <w:numPr>
          <w:ilvl w:val="0"/>
          <w:numId w:val="2"/>
        </w:numPr>
        <w:spacing w:after="0"/>
        <w:ind w:firstLineChars="0"/>
        <w:rPr>
          <w:rFonts w:ascii="仿宋_GB2312" w:eastAsia="仿宋_GB2312"/>
          <w:sz w:val="32"/>
          <w:szCs w:val="32"/>
        </w:rPr>
      </w:pPr>
      <w:r>
        <w:rPr>
          <w:rFonts w:ascii="仿宋_GB2312" w:eastAsia="仿宋_GB2312"/>
          <w:sz w:val="32"/>
          <w:szCs w:val="32"/>
        </w:rPr>
        <w:t>资源勘探工业信息等支出（类）超长期特别国债安排的支出（款）制造业（项）：支出决算数为129.62万元，比上年决算增加129.62万元，增长100.00%，主要原因是：</w:t>
      </w:r>
      <w:r>
        <w:rPr>
          <w:rFonts w:hint="eastAsia" w:ascii="仿宋_GB2312" w:eastAsia="仿宋_GB2312"/>
          <w:sz w:val="32"/>
          <w:szCs w:val="32"/>
          <w:lang w:eastAsia="zh-CN"/>
        </w:rPr>
        <w:t>当</w:t>
      </w:r>
      <w:r>
        <w:rPr>
          <w:rFonts w:ascii="仿宋_GB2312" w:eastAsia="仿宋_GB2312"/>
          <w:sz w:val="32"/>
          <w:szCs w:val="32"/>
        </w:rPr>
        <w:t>年</w:t>
      </w:r>
      <w:r>
        <w:rPr>
          <w:rFonts w:hint="eastAsia" w:ascii="仿宋_GB2312" w:eastAsia="仿宋_GB2312"/>
          <w:sz w:val="32"/>
          <w:szCs w:val="32"/>
          <w:lang w:eastAsia="zh-CN"/>
        </w:rPr>
        <w:t>的</w:t>
      </w:r>
      <w:r>
        <w:rPr>
          <w:rFonts w:ascii="仿宋_GB2312" w:eastAsia="仿宋_GB2312"/>
          <w:sz w:val="32"/>
          <w:szCs w:val="32"/>
        </w:rPr>
        <w:t>超长期特别国债支持农业机械报废更新资金</w:t>
      </w:r>
      <w:r>
        <w:rPr>
          <w:rFonts w:hint="eastAsia" w:ascii="仿宋_GB2312" w:eastAsia="仿宋_GB2312"/>
          <w:sz w:val="32"/>
          <w:szCs w:val="32"/>
          <w:lang w:eastAsia="zh-CN"/>
        </w:rPr>
        <w:t>在本</w:t>
      </w:r>
      <w:r>
        <w:rPr>
          <w:rFonts w:ascii="仿宋_GB2312" w:eastAsia="仿宋_GB2312"/>
          <w:sz w:val="32"/>
          <w:szCs w:val="32"/>
          <w:lang w:eastAsia="zh-CN"/>
        </w:rPr>
        <w:t>科目中反映导致支出增加。</w:t>
      </w:r>
    </w:p>
    <w:p>
      <w:pPr>
        <w:spacing w:after="0"/>
        <w:ind w:firstLine="480" w:firstLineChars="150"/>
        <w:rPr>
          <w:rFonts w:ascii="仿宋_GB2312" w:eastAsia="仿宋_GB2312"/>
          <w:sz w:val="32"/>
          <w:szCs w:val="32"/>
        </w:rPr>
      </w:pPr>
      <w:r>
        <w:rPr>
          <w:rFonts w:hint="eastAsia" w:ascii="仿宋_GB2312" w:eastAsia="仿宋_GB2312"/>
          <w:sz w:val="32"/>
          <w:szCs w:val="32"/>
          <w:lang w:eastAsia="zh-CN"/>
        </w:rPr>
        <w:t>5.</w:t>
      </w:r>
      <w:r>
        <w:rPr>
          <w:rFonts w:ascii="仿宋_GB2312" w:eastAsia="仿宋_GB2312"/>
          <w:sz w:val="32"/>
          <w:szCs w:val="32"/>
        </w:rPr>
        <w:t>其他支出（类）彩票公益金安排的支出（款）用于巩固脱贫攻坚成果衔接乡村振兴的彩票公益金支出（项）：支出决算数为74.98万元，比上年决算增加74.98万元，增长100.00%，主要原因是：</w:t>
      </w:r>
      <w:r>
        <w:rPr>
          <w:rFonts w:hint="eastAsia" w:ascii="仿宋_GB2312" w:eastAsia="仿宋_GB2312"/>
          <w:sz w:val="32"/>
          <w:szCs w:val="32"/>
          <w:lang w:eastAsia="zh-CN"/>
        </w:rPr>
        <w:t>当年的</w:t>
      </w:r>
      <w:r>
        <w:rPr>
          <w:rFonts w:hint="eastAsia" w:ascii="仿宋_GB2312" w:eastAsia="仿宋_GB2312"/>
          <w:sz w:val="32"/>
          <w:szCs w:val="32"/>
        </w:rPr>
        <w:t>自治州财政衔接推进乡村振兴补助资金</w:t>
      </w:r>
      <w:r>
        <w:rPr>
          <w:rFonts w:hint="eastAsia" w:ascii="仿宋_GB2312" w:eastAsia="仿宋_GB2312"/>
          <w:sz w:val="32"/>
          <w:szCs w:val="32"/>
          <w:lang w:eastAsia="zh-CN"/>
        </w:rPr>
        <w:t>在本</w:t>
      </w:r>
      <w:r>
        <w:rPr>
          <w:rFonts w:ascii="仿宋_GB2312" w:eastAsia="仿宋_GB2312"/>
          <w:sz w:val="32"/>
          <w:szCs w:val="32"/>
          <w:lang w:eastAsia="zh-CN"/>
        </w:rPr>
        <w:t>科目中反映导致支出增加。</w:t>
      </w:r>
    </w:p>
    <w:p>
      <w:pPr>
        <w:spacing w:after="0" w:line="240" w:lineRule="auto"/>
        <w:ind w:firstLine="640" w:firstLineChars="200"/>
        <w:outlineLvl w:val="1"/>
        <w:rPr>
          <w:rFonts w:ascii="黑体" w:eastAsia="黑体"/>
          <w:sz w:val="32"/>
          <w:szCs w:val="32"/>
        </w:rPr>
      </w:pPr>
      <w:r>
        <w:rPr>
          <w:rFonts w:ascii="黑体" w:eastAsia="黑体"/>
          <w:sz w:val="32"/>
          <w:szCs w:val="32"/>
        </w:rPr>
        <w:t>八、国有资本经营预算财政拨款收入支出决算情况说明</w:t>
      </w:r>
    </w:p>
    <w:p>
      <w:pPr>
        <w:spacing w:after="0" w:line="240" w:lineRule="auto"/>
        <w:ind w:firstLine="640" w:firstLineChars="200"/>
        <w:jc w:val="both"/>
        <w:rPr>
          <w:rFonts w:ascii="仿宋_GB2312" w:eastAsia="仿宋_GB2312"/>
          <w:sz w:val="32"/>
          <w:szCs w:val="32"/>
        </w:rPr>
      </w:pPr>
      <w:r>
        <w:rPr>
          <w:rFonts w:ascii="仿宋_GB2312" w:eastAsia="仿宋_GB2312"/>
          <w:sz w:val="32"/>
          <w:szCs w:val="32"/>
        </w:rPr>
        <w:t>本单位本年度无国有资本经营预算财政拨款收入、支出及结转和结余，国有资本经营预算财政拨款收入支出决算表为空表。</w:t>
      </w:r>
    </w:p>
    <w:p>
      <w:pPr>
        <w:spacing w:after="0" w:line="240" w:lineRule="auto"/>
        <w:ind w:firstLine="640" w:firstLineChars="200"/>
        <w:outlineLvl w:val="1"/>
        <w:rPr>
          <w:rFonts w:ascii="黑体" w:eastAsia="黑体"/>
          <w:sz w:val="32"/>
          <w:szCs w:val="32"/>
        </w:rPr>
      </w:pPr>
      <w:r>
        <w:rPr>
          <w:rFonts w:ascii="黑体" w:eastAsia="黑体"/>
          <w:sz w:val="32"/>
          <w:szCs w:val="32"/>
        </w:rPr>
        <w:t>九、财政拨款“三公”经费支出决算情况说明</w:t>
      </w:r>
    </w:p>
    <w:p>
      <w:pPr>
        <w:spacing w:line="560" w:lineRule="exact"/>
        <w:ind w:firstLine="640" w:firstLineChars="200"/>
        <w:rPr>
          <w:rFonts w:ascii="仿宋_GB2312" w:eastAsia="仿宋_GB2312"/>
          <w:sz w:val="32"/>
          <w:szCs w:val="32"/>
          <w:lang w:val="zh-CN"/>
        </w:rPr>
      </w:pPr>
      <w:r>
        <w:rPr>
          <w:rFonts w:ascii="仿宋_GB2312" w:eastAsia="仿宋_GB2312"/>
          <w:sz w:val="32"/>
          <w:szCs w:val="32"/>
        </w:rPr>
        <w:t>2024年度财政拨款“三公”经费支出12.00万元，与上年相比无变化，主要原因是：</w:t>
      </w:r>
      <w:r>
        <w:rPr>
          <w:rFonts w:hint="eastAsia" w:ascii="仿宋_GB2312" w:eastAsia="仿宋_GB2312"/>
          <w:sz w:val="32"/>
          <w:szCs w:val="32"/>
          <w:lang w:eastAsia="zh-CN"/>
        </w:rPr>
        <w:t>与上年</w:t>
      </w:r>
      <w:r>
        <w:rPr>
          <w:rFonts w:ascii="仿宋_GB2312" w:eastAsia="仿宋_GB2312"/>
          <w:sz w:val="32"/>
          <w:szCs w:val="32"/>
          <w:lang w:eastAsia="zh-CN"/>
        </w:rPr>
        <w:t>持平</w:t>
      </w:r>
      <w:r>
        <w:rPr>
          <w:rFonts w:ascii="仿宋_GB2312" w:eastAsia="仿宋_GB2312"/>
          <w:sz w:val="32"/>
          <w:szCs w:val="32"/>
        </w:rPr>
        <w:t>。其中：因公出国（境）费支出0.00万元,占0.00%，与上年相比无变化，主要原因是：</w:t>
      </w:r>
      <w:r>
        <w:rPr>
          <w:rFonts w:hint="eastAsia" w:ascii="仿宋_GB2312" w:eastAsia="仿宋_GB2312"/>
          <w:sz w:val="32"/>
          <w:szCs w:val="32"/>
        </w:rPr>
        <w:t>本年无因公出国（境）费支出，与上年相比无变动；</w:t>
      </w:r>
      <w:r>
        <w:rPr>
          <w:rFonts w:ascii="仿宋_GB2312" w:eastAsia="仿宋_GB2312"/>
          <w:sz w:val="32"/>
          <w:szCs w:val="32"/>
        </w:rPr>
        <w:t>公务用车购置及运行维护费支出12.00万元，占100.00%，与上年相比无变化，主要原因是：</w:t>
      </w:r>
      <w:r>
        <w:rPr>
          <w:rFonts w:hint="eastAsia" w:ascii="仿宋_GB2312" w:eastAsia="仿宋_GB2312"/>
          <w:sz w:val="32"/>
          <w:szCs w:val="32"/>
          <w:lang w:eastAsia="zh-CN"/>
        </w:rPr>
        <w:t>与上年</w:t>
      </w:r>
      <w:r>
        <w:rPr>
          <w:rFonts w:ascii="仿宋_GB2312" w:eastAsia="仿宋_GB2312"/>
          <w:sz w:val="32"/>
          <w:szCs w:val="32"/>
          <w:lang w:eastAsia="zh-CN"/>
        </w:rPr>
        <w:t>持平</w:t>
      </w:r>
      <w:r>
        <w:rPr>
          <w:rFonts w:ascii="仿宋_GB2312" w:eastAsia="仿宋_GB2312"/>
          <w:sz w:val="32"/>
          <w:szCs w:val="32"/>
        </w:rPr>
        <w:t>；公务接待费支出0.00万元，占0.00%，与上年相比无变化，主要原因是：</w:t>
      </w:r>
      <w:r>
        <w:rPr>
          <w:rFonts w:hint="eastAsia" w:ascii="仿宋_GB2312" w:eastAsia="仿宋_GB2312"/>
          <w:sz w:val="32"/>
          <w:szCs w:val="32"/>
        </w:rPr>
        <w:t>本年未安排公务接待费支出，无开支内容</w:t>
      </w:r>
      <w:r>
        <w:rPr>
          <w:rFonts w:hint="eastAsia" w:ascii="仿宋_GB2312" w:eastAsia="仿宋_GB2312"/>
          <w:sz w:val="32"/>
          <w:szCs w:val="32"/>
          <w:lang w:val="zh-CN"/>
        </w:rPr>
        <w:t>。</w:t>
      </w:r>
    </w:p>
    <w:p>
      <w:pPr>
        <w:spacing w:after="0" w:line="240" w:lineRule="auto"/>
        <w:ind w:firstLine="640" w:firstLineChars="200"/>
        <w:rPr>
          <w:rFonts w:ascii="仿宋_GB2312" w:eastAsia="仿宋_GB2312"/>
          <w:sz w:val="32"/>
          <w:szCs w:val="32"/>
        </w:rPr>
      </w:pPr>
      <w:r>
        <w:rPr>
          <w:rFonts w:ascii="仿宋_GB2312" w:eastAsia="仿宋_GB2312"/>
          <w:sz w:val="32"/>
          <w:szCs w:val="32"/>
        </w:rPr>
        <w:t>具体情况如下：</w:t>
      </w:r>
    </w:p>
    <w:p>
      <w:pPr>
        <w:spacing w:after="0" w:line="240" w:lineRule="auto"/>
        <w:ind w:firstLine="640" w:firstLineChars="200"/>
        <w:jc w:val="both"/>
        <w:rPr>
          <w:rFonts w:ascii="仿宋_GB2312" w:eastAsia="仿宋_GB2312"/>
          <w:sz w:val="32"/>
          <w:szCs w:val="32"/>
        </w:rPr>
      </w:pPr>
      <w:r>
        <w:rPr>
          <w:rFonts w:ascii="仿宋_GB2312" w:eastAsia="仿宋_GB2312"/>
          <w:sz w:val="32"/>
          <w:szCs w:val="32"/>
        </w:rPr>
        <w:t>因公出国（境）费支出0.00万元，开支内容包括。单位全年安排的因公出国（境）团组0个，因公出国（境）0人次。</w:t>
      </w:r>
    </w:p>
    <w:p>
      <w:pPr>
        <w:spacing w:after="0" w:line="240" w:lineRule="auto"/>
        <w:ind w:firstLine="640" w:firstLineChars="200"/>
        <w:jc w:val="both"/>
        <w:rPr>
          <w:rFonts w:ascii="仿宋_GB2312" w:eastAsia="仿宋_GB2312"/>
          <w:sz w:val="32"/>
          <w:szCs w:val="32"/>
        </w:rPr>
      </w:pPr>
      <w:r>
        <w:rPr>
          <w:rFonts w:ascii="仿宋_GB2312" w:eastAsia="仿宋_GB2312"/>
          <w:sz w:val="32"/>
          <w:szCs w:val="32"/>
        </w:rPr>
        <w:t>公务用车购置及运行维护费12.00万元，其中：公务用车购置费0.00万元，公务用车运行维护费12.00万元。公务用车运行维护费开支内容包括</w:t>
      </w:r>
      <w:r>
        <w:rPr>
          <w:rFonts w:hint="eastAsia" w:ascii="仿宋_GB2312" w:eastAsia="仿宋_GB2312"/>
          <w:sz w:val="32"/>
          <w:szCs w:val="32"/>
        </w:rPr>
        <w:t>车辆维修费、车辆燃油费、车辆保险费等。公</w:t>
      </w:r>
      <w:r>
        <w:rPr>
          <w:rFonts w:ascii="仿宋_GB2312" w:eastAsia="仿宋_GB2312"/>
          <w:sz w:val="32"/>
          <w:szCs w:val="32"/>
        </w:rPr>
        <w:t>务用车购置数0辆，公务用车保有量5辆。国有资产占用情况中固定资产车辆53辆，与公务用车保有量差异原因是：</w:t>
      </w:r>
      <w:r>
        <w:rPr>
          <w:rFonts w:hint="eastAsia" w:ascii="仿宋_GB2312" w:eastAsia="仿宋_GB2312"/>
          <w:sz w:val="32"/>
          <w:szCs w:val="32"/>
          <w:lang w:val="zh-CN"/>
        </w:rPr>
        <w:t>其中有项目资金购买的</w:t>
      </w:r>
      <w:r>
        <w:rPr>
          <w:rFonts w:hint="eastAsia" w:ascii="仿宋_GB2312" w:eastAsia="仿宋_GB2312" w:cs="仿宋"/>
          <w:sz w:val="32"/>
          <w:szCs w:val="32"/>
        </w:rPr>
        <w:t>吸污车、绿化喷洒车、压缩式垃圾车、吸粪车，</w:t>
      </w:r>
      <w:r>
        <w:rPr>
          <w:rFonts w:hint="eastAsia" w:ascii="仿宋_GB2312" w:eastAsia="仿宋_GB2312"/>
          <w:sz w:val="32"/>
          <w:szCs w:val="32"/>
          <w:lang w:val="zh-CN"/>
        </w:rPr>
        <w:t>已到使用年限等待报废车辆，</w:t>
      </w:r>
      <w:r>
        <w:rPr>
          <w:rFonts w:hint="eastAsia" w:ascii="仿宋_GB2312" w:eastAsia="仿宋_GB2312" w:cs="仿宋"/>
          <w:sz w:val="32"/>
          <w:szCs w:val="32"/>
        </w:rPr>
        <w:t>统一拍卖，待调拨的车辆</w:t>
      </w:r>
      <w:r>
        <w:rPr>
          <w:rFonts w:hint="eastAsia" w:ascii="仿宋_GB2312" w:eastAsia="仿宋_GB2312"/>
          <w:sz w:val="32"/>
          <w:szCs w:val="32"/>
        </w:rPr>
        <w:t>。</w:t>
      </w:r>
    </w:p>
    <w:p>
      <w:pPr>
        <w:spacing w:after="0" w:line="240" w:lineRule="auto"/>
        <w:ind w:firstLine="640" w:firstLineChars="200"/>
        <w:jc w:val="both"/>
        <w:rPr>
          <w:rFonts w:ascii="仿宋_GB2312" w:eastAsia="仿宋_GB2312"/>
          <w:sz w:val="32"/>
          <w:szCs w:val="32"/>
        </w:rPr>
      </w:pPr>
      <w:r>
        <w:rPr>
          <w:rFonts w:ascii="仿宋_GB2312" w:eastAsia="仿宋_GB2312"/>
          <w:sz w:val="32"/>
          <w:szCs w:val="32"/>
        </w:rPr>
        <w:t>公务接待费0.00万元，开支内容包括。单位全年安排的国内公务接待0批次，0人次。</w:t>
      </w:r>
    </w:p>
    <w:p>
      <w:pPr>
        <w:spacing w:after="0" w:line="240" w:lineRule="auto"/>
        <w:ind w:firstLine="640" w:firstLineChars="200"/>
        <w:jc w:val="both"/>
        <w:rPr>
          <w:rFonts w:ascii="仿宋_GB2312" w:eastAsia="仿宋_GB2312"/>
          <w:sz w:val="32"/>
          <w:szCs w:val="32"/>
        </w:rPr>
      </w:pPr>
      <w:r>
        <w:rPr>
          <w:rFonts w:ascii="仿宋_GB2312" w:eastAsia="仿宋_GB2312"/>
          <w:sz w:val="32"/>
          <w:szCs w:val="32"/>
        </w:rPr>
        <w:t>与全年预算相比，财政拨款“三公”经费支出全年预算数12.00万元，决算数12.00万元，预决算差异率0.00%，主要原因是：</w:t>
      </w:r>
      <w:r>
        <w:rPr>
          <w:rFonts w:hint="eastAsia" w:ascii="仿宋_GB2312" w:eastAsia="仿宋_GB2312"/>
          <w:sz w:val="32"/>
          <w:szCs w:val="32"/>
        </w:rPr>
        <w:t>预决算一致无差异</w:t>
      </w:r>
      <w:r>
        <w:rPr>
          <w:rFonts w:ascii="仿宋_GB2312" w:eastAsia="仿宋_GB2312"/>
          <w:sz w:val="32"/>
          <w:szCs w:val="32"/>
        </w:rPr>
        <w:t>。其中：因公出国（境）费全年预算数0.00万元，决算数0.00万元，预决算差异率0.00%，主要原因是：</w:t>
      </w:r>
      <w:r>
        <w:rPr>
          <w:rFonts w:hint="eastAsia" w:ascii="仿宋_GB2312" w:eastAsia="仿宋_GB2312"/>
          <w:sz w:val="32"/>
          <w:szCs w:val="32"/>
          <w:lang w:val="zh-CN"/>
        </w:rPr>
        <w:t>单位无因公出国（境）人员</w:t>
      </w:r>
      <w:r>
        <w:rPr>
          <w:rFonts w:hint="eastAsia" w:ascii="仿宋_GB2312" w:eastAsia="仿宋_GB2312"/>
          <w:sz w:val="32"/>
          <w:szCs w:val="32"/>
        </w:rPr>
        <w:t>。</w:t>
      </w:r>
      <w:r>
        <w:rPr>
          <w:rFonts w:ascii="仿宋_GB2312" w:eastAsia="仿宋_GB2312"/>
          <w:sz w:val="32"/>
          <w:szCs w:val="32"/>
        </w:rPr>
        <w:t>公务用车购置费全年预算数0.00万元，决算数0.00万元，预决算差异率0.00%，主要原因是：</w:t>
      </w:r>
      <w:r>
        <w:rPr>
          <w:rFonts w:hint="eastAsia" w:ascii="仿宋_GB2312" w:eastAsia="仿宋_GB2312"/>
          <w:sz w:val="32"/>
          <w:szCs w:val="32"/>
          <w:lang w:val="zh-CN"/>
        </w:rPr>
        <w:t>单位无公务用车购置</w:t>
      </w:r>
      <w:r>
        <w:rPr>
          <w:rFonts w:ascii="仿宋_GB2312" w:eastAsia="仿宋_GB2312"/>
          <w:sz w:val="32"/>
          <w:szCs w:val="32"/>
        </w:rPr>
        <w:t>。公务用车运行维护费全年预算数12.00万元，决算数12.00万元，预决算差异率0.00%，主要原因是：</w:t>
      </w:r>
      <w:r>
        <w:rPr>
          <w:rFonts w:hint="eastAsia" w:ascii="仿宋_GB2312" w:eastAsia="仿宋_GB2312"/>
          <w:sz w:val="32"/>
          <w:szCs w:val="32"/>
          <w:lang w:val="zh-CN"/>
        </w:rPr>
        <w:t>与上年基本持平</w:t>
      </w:r>
      <w:r>
        <w:rPr>
          <w:rFonts w:ascii="仿宋_GB2312" w:eastAsia="仿宋_GB2312"/>
          <w:sz w:val="32"/>
          <w:szCs w:val="32"/>
        </w:rPr>
        <w:t>。公务接待费全年预算数0.00万元，决算数0.00万元，预决算差异率0.00%，主要原因是：</w:t>
      </w:r>
      <w:r>
        <w:rPr>
          <w:rFonts w:hint="eastAsia" w:ascii="仿宋_GB2312" w:eastAsia="仿宋_GB2312"/>
          <w:sz w:val="32"/>
          <w:szCs w:val="32"/>
          <w:lang w:val="zh-CN"/>
        </w:rPr>
        <w:t>单位无公务接待费</w:t>
      </w:r>
      <w:r>
        <w:rPr>
          <w:rFonts w:hint="eastAsia" w:ascii="仿宋_GB2312" w:eastAsia="仿宋_GB2312"/>
          <w:sz w:val="32"/>
          <w:szCs w:val="32"/>
        </w:rPr>
        <w:t>。</w:t>
      </w:r>
    </w:p>
    <w:p>
      <w:pPr>
        <w:spacing w:after="0" w:line="240" w:lineRule="auto"/>
        <w:ind w:firstLine="640" w:firstLineChars="200"/>
        <w:outlineLvl w:val="1"/>
        <w:rPr>
          <w:rFonts w:ascii="黑体" w:eastAsia="黑体"/>
          <w:sz w:val="32"/>
          <w:szCs w:val="32"/>
        </w:rPr>
      </w:pPr>
      <w:r>
        <w:rPr>
          <w:rFonts w:ascii="黑体" w:eastAsia="黑体"/>
          <w:sz w:val="32"/>
          <w:szCs w:val="32"/>
        </w:rPr>
        <w:t>十、其他重要事项的情况说明</w:t>
      </w:r>
    </w:p>
    <w:p>
      <w:pPr>
        <w:spacing w:after="0" w:line="240" w:lineRule="auto"/>
        <w:ind w:firstLine="643" w:firstLineChars="200"/>
        <w:outlineLvl w:val="2"/>
        <w:rPr>
          <w:rFonts w:ascii="仿宋_GB2312" w:eastAsia="仿宋_GB2312"/>
          <w:sz w:val="32"/>
          <w:szCs w:val="32"/>
        </w:rPr>
      </w:pPr>
      <w:r>
        <w:rPr>
          <w:rFonts w:ascii="仿宋_GB2312" w:eastAsia="仿宋_GB2312"/>
          <w:b/>
          <w:sz w:val="32"/>
          <w:szCs w:val="32"/>
        </w:rPr>
        <w:t>（一）机关运行经费及公用经费支出情况</w:t>
      </w:r>
    </w:p>
    <w:p>
      <w:pPr>
        <w:spacing w:line="560" w:lineRule="exact"/>
        <w:ind w:firstLine="640" w:firstLineChars="200"/>
        <w:rPr>
          <w:rFonts w:ascii="仿宋_GB2312" w:eastAsia="仿宋_GB2312"/>
          <w:sz w:val="32"/>
          <w:szCs w:val="32"/>
          <w:lang w:val="zh-CN"/>
        </w:rPr>
      </w:pPr>
      <w:r>
        <w:rPr>
          <w:rFonts w:ascii="仿宋_GB2312" w:eastAsia="仿宋_GB2312"/>
          <w:sz w:val="32"/>
          <w:szCs w:val="32"/>
        </w:rPr>
        <w:t>2024年度库尔勒市农业农村局单位机关运行经费支出82.31万元，比上年增加14.39万元，增长21.19%，主要原因是：</w:t>
      </w:r>
      <w:r>
        <w:rPr>
          <w:rFonts w:hint="eastAsia" w:ascii="仿宋_GB2312" w:eastAsia="仿宋_GB2312"/>
          <w:sz w:val="32"/>
          <w:szCs w:val="32"/>
          <w:lang w:val="zh-CN"/>
        </w:rPr>
        <w:t>新招录公务员导致机关运行经费增加。</w:t>
      </w:r>
    </w:p>
    <w:p>
      <w:pPr>
        <w:spacing w:after="0" w:line="240" w:lineRule="auto"/>
        <w:ind w:firstLine="643" w:firstLineChars="200"/>
        <w:outlineLvl w:val="2"/>
        <w:rPr>
          <w:rFonts w:ascii="仿宋_GB2312" w:eastAsia="仿宋_GB2312"/>
          <w:sz w:val="32"/>
          <w:szCs w:val="32"/>
        </w:rPr>
      </w:pPr>
      <w:r>
        <w:rPr>
          <w:rFonts w:ascii="仿宋_GB2312" w:eastAsia="仿宋_GB2312"/>
          <w:b/>
          <w:sz w:val="32"/>
          <w:szCs w:val="32"/>
        </w:rPr>
        <w:t>（二）政府采购情况</w:t>
      </w:r>
    </w:p>
    <w:p>
      <w:pPr>
        <w:spacing w:after="0" w:line="240" w:lineRule="auto"/>
        <w:ind w:firstLine="640" w:firstLineChars="200"/>
        <w:jc w:val="both"/>
        <w:rPr>
          <w:rFonts w:ascii="仿宋_GB2312" w:eastAsia="仿宋_GB2312"/>
          <w:sz w:val="32"/>
          <w:szCs w:val="32"/>
        </w:rPr>
      </w:pPr>
      <w:r>
        <w:rPr>
          <w:rFonts w:ascii="仿宋_GB2312" w:eastAsia="仿宋_GB2312"/>
          <w:sz w:val="32"/>
          <w:szCs w:val="32"/>
        </w:rPr>
        <w:t>2024年度政府采购支出总额119.85万元，其中：政府采购货物支出0.00万元、政府采购工程支出21.95万元、政府采购服务支出97.90万元。</w:t>
      </w:r>
    </w:p>
    <w:p>
      <w:pPr>
        <w:spacing w:after="0" w:line="240" w:lineRule="auto"/>
        <w:ind w:firstLine="640" w:firstLineChars="200"/>
        <w:jc w:val="both"/>
        <w:rPr>
          <w:rFonts w:ascii="仿宋_GB2312" w:eastAsia="仿宋_GB2312"/>
          <w:sz w:val="32"/>
          <w:szCs w:val="32"/>
        </w:rPr>
      </w:pPr>
      <w:r>
        <w:rPr>
          <w:rFonts w:ascii="仿宋_GB2312" w:eastAsia="仿宋_GB2312"/>
          <w:sz w:val="32"/>
          <w:szCs w:val="32"/>
        </w:rPr>
        <w:t>授予中小企业合同金额119.23万元，占政府采购支出总额的99.48%，其中：授予小微企业合同金额30.73万元，占政府采购支出总额的25.64%。</w:t>
      </w:r>
    </w:p>
    <w:p>
      <w:pPr>
        <w:spacing w:after="0" w:line="240" w:lineRule="auto"/>
        <w:ind w:firstLine="643" w:firstLineChars="200"/>
        <w:outlineLvl w:val="2"/>
        <w:rPr>
          <w:rFonts w:ascii="仿宋_GB2312" w:eastAsia="仿宋_GB2312"/>
          <w:sz w:val="32"/>
          <w:szCs w:val="32"/>
        </w:rPr>
      </w:pPr>
      <w:r>
        <w:rPr>
          <w:rFonts w:ascii="仿宋_GB2312" w:eastAsia="仿宋_GB2312"/>
          <w:b/>
          <w:sz w:val="32"/>
          <w:szCs w:val="32"/>
        </w:rPr>
        <w:t>（三）国有资产占用情况说明</w:t>
      </w:r>
    </w:p>
    <w:p>
      <w:pPr>
        <w:spacing w:line="560" w:lineRule="exact"/>
        <w:ind w:firstLine="640" w:firstLineChars="200"/>
        <w:rPr>
          <w:rFonts w:ascii="仿宋_GB2312" w:eastAsia="仿宋_GB2312"/>
          <w:sz w:val="32"/>
          <w:szCs w:val="32"/>
        </w:rPr>
      </w:pPr>
      <w:r>
        <w:rPr>
          <w:rFonts w:ascii="仿宋_GB2312" w:eastAsia="仿宋_GB2312"/>
          <w:sz w:val="32"/>
          <w:szCs w:val="32"/>
        </w:rPr>
        <w:t>截至2024年12月31日，房屋11,995.51平方米，价值2,681.92万元。车辆53辆，价值1,246.30万元，其中：副部（省）级及以上领导用车0辆、主要负责人用车0辆、机要通信用车0辆、应急保障用车0辆、执法执勤用车2辆、特种专业技术用车0辆、离退休干部服务用车0辆、其他用车51辆，其他用车主要是：</w:t>
      </w:r>
      <w:r>
        <w:rPr>
          <w:rFonts w:hint="eastAsia" w:ascii="仿宋_GB2312" w:eastAsia="仿宋_GB2312"/>
          <w:sz w:val="32"/>
          <w:szCs w:val="32"/>
          <w:lang w:val="zh-CN"/>
        </w:rPr>
        <w:t>项目资金购买的</w:t>
      </w:r>
      <w:r>
        <w:rPr>
          <w:rFonts w:hint="eastAsia" w:ascii="仿宋_GB2312" w:eastAsia="仿宋_GB2312" w:cs="仿宋"/>
          <w:sz w:val="32"/>
          <w:szCs w:val="32"/>
        </w:rPr>
        <w:t>吸污车、绿化喷洒车、压缩式垃圾车、吸粪车，</w:t>
      </w:r>
      <w:r>
        <w:rPr>
          <w:rFonts w:hint="eastAsia" w:ascii="仿宋_GB2312" w:eastAsia="仿宋_GB2312"/>
          <w:sz w:val="32"/>
          <w:szCs w:val="32"/>
          <w:lang w:val="zh-CN"/>
        </w:rPr>
        <w:t>已到使用年限等待报废车辆，</w:t>
      </w:r>
      <w:r>
        <w:rPr>
          <w:rFonts w:hint="eastAsia" w:ascii="仿宋_GB2312" w:eastAsia="仿宋_GB2312" w:cs="仿宋"/>
          <w:sz w:val="32"/>
          <w:szCs w:val="32"/>
        </w:rPr>
        <w:t>统一拍卖，待调拨的车辆</w:t>
      </w:r>
      <w:r>
        <w:rPr>
          <w:rFonts w:ascii="仿宋_GB2312" w:eastAsia="仿宋_GB2312"/>
          <w:sz w:val="32"/>
          <w:szCs w:val="32"/>
        </w:rPr>
        <w:t>;单价100万元（含）以上设备（不含车辆）11台（套）。</w:t>
      </w:r>
    </w:p>
    <w:p>
      <w:pPr>
        <w:spacing w:after="0" w:line="240" w:lineRule="auto"/>
        <w:ind w:firstLine="640" w:firstLineChars="200"/>
        <w:outlineLvl w:val="1"/>
        <w:rPr>
          <w:rFonts w:ascii="黑体" w:eastAsia="黑体"/>
          <w:sz w:val="32"/>
          <w:szCs w:val="32"/>
        </w:rPr>
      </w:pPr>
      <w:r>
        <w:rPr>
          <w:rFonts w:ascii="黑体" w:eastAsia="黑体"/>
          <w:sz w:val="32"/>
          <w:szCs w:val="32"/>
        </w:rPr>
        <w:t>十一、预算绩效的情况说明</w:t>
      </w:r>
    </w:p>
    <w:p>
      <w:pPr>
        <w:spacing w:after="0" w:line="240" w:lineRule="auto"/>
        <w:ind w:firstLine="640" w:firstLineChars="200"/>
        <w:jc w:val="both"/>
        <w:rPr>
          <w:rFonts w:ascii="仿宋_GB2312" w:eastAsia="仿宋_GB2312"/>
          <w:sz w:val="32"/>
          <w:szCs w:val="32"/>
        </w:rPr>
      </w:pPr>
      <w:r>
        <w:rPr>
          <w:rFonts w:ascii="仿宋_GB2312" w:eastAsia="仿宋_GB2312"/>
          <w:sz w:val="32"/>
          <w:szCs w:val="32"/>
        </w:rPr>
        <w:t>根据预算绩效管理要求，本单位2024年度预算绩效管理形成整体支出绩效自评表1个，全年预算总额</w:t>
      </w:r>
      <w:r>
        <w:rPr>
          <w:rFonts w:hint="eastAsia" w:ascii="仿宋_GB2312" w:eastAsia="仿宋_GB2312"/>
          <w:sz w:val="32"/>
          <w:szCs w:val="32"/>
          <w:lang w:eastAsia="zh-CN"/>
        </w:rPr>
        <w:t>2</w:t>
      </w:r>
      <w:r>
        <w:rPr>
          <w:rFonts w:ascii="仿宋_GB2312" w:eastAsia="仿宋_GB2312"/>
          <w:sz w:val="32"/>
          <w:szCs w:val="32"/>
          <w:lang w:eastAsia="zh-CN"/>
        </w:rPr>
        <w:t>8432.18</w:t>
      </w:r>
      <w:r>
        <w:rPr>
          <w:rFonts w:ascii="仿宋_GB2312" w:eastAsia="仿宋_GB2312"/>
          <w:sz w:val="32"/>
          <w:szCs w:val="32"/>
        </w:rPr>
        <w:t>万元，实际执行总额</w:t>
      </w:r>
      <w:r>
        <w:rPr>
          <w:rFonts w:ascii="仿宋_GB2312" w:eastAsia="仿宋_GB2312"/>
          <w:sz w:val="32"/>
          <w:szCs w:val="32"/>
          <w:lang w:eastAsia="zh-CN"/>
        </w:rPr>
        <w:t>28432.18</w:t>
      </w:r>
      <w:r>
        <w:rPr>
          <w:rFonts w:ascii="仿宋_GB2312" w:eastAsia="仿宋_GB2312"/>
          <w:sz w:val="32"/>
          <w:szCs w:val="32"/>
        </w:rPr>
        <w:t>万元；预算绩效评价项目</w:t>
      </w:r>
      <w:r>
        <w:rPr>
          <w:rFonts w:ascii="仿宋_GB2312" w:eastAsia="仿宋_GB2312"/>
          <w:sz w:val="32"/>
          <w:szCs w:val="32"/>
          <w:lang w:eastAsia="zh-CN"/>
        </w:rPr>
        <w:t>33</w:t>
      </w:r>
      <w:r>
        <w:rPr>
          <w:rFonts w:ascii="仿宋_GB2312" w:eastAsia="仿宋_GB2312"/>
          <w:sz w:val="32"/>
          <w:szCs w:val="32"/>
        </w:rPr>
        <w:t>个，全年预算数</w:t>
      </w:r>
      <w:r>
        <w:rPr>
          <w:rFonts w:ascii="仿宋_GB2312" w:eastAsia="仿宋_GB2312"/>
          <w:sz w:val="32"/>
          <w:szCs w:val="32"/>
          <w:lang w:eastAsia="zh-CN"/>
        </w:rPr>
        <w:t>25685.64</w:t>
      </w:r>
      <w:r>
        <w:rPr>
          <w:rFonts w:ascii="仿宋_GB2312" w:eastAsia="仿宋_GB2312"/>
          <w:sz w:val="32"/>
          <w:szCs w:val="32"/>
        </w:rPr>
        <w:t>万元，全年执行数</w:t>
      </w:r>
      <w:r>
        <w:rPr>
          <w:rFonts w:ascii="仿宋_GB2312" w:eastAsia="仿宋_GB2312"/>
          <w:sz w:val="32"/>
          <w:szCs w:val="32"/>
          <w:lang w:eastAsia="zh-CN"/>
        </w:rPr>
        <w:t>19661.38</w:t>
      </w:r>
      <w:r>
        <w:rPr>
          <w:rFonts w:ascii="仿宋_GB2312" w:eastAsia="仿宋_GB2312"/>
          <w:sz w:val="32"/>
          <w:szCs w:val="32"/>
        </w:rPr>
        <w:t>万元。预算绩效管理取得的成效：</w:t>
      </w:r>
      <w:r>
        <w:rPr>
          <w:rFonts w:hint="eastAsia" w:ascii="仿宋_GB2312" w:eastAsia="仿宋_GB2312"/>
          <w:sz w:val="32"/>
          <w:szCs w:val="32"/>
        </w:rPr>
        <w:t>一是高度重视。高度重视中央财政绩效评价工作，积极加强部门之间沟通协调，在总结以往工作经验的基础上，按照财政局通知要求，认真开展绩效自评工作。二是明确责任。明确了绩效自评工作责任分工和完成时限，并提出了具体要求。三是严格监督和管理项目资金。严格按照合同约定和工程建设进度支付资金，每笔工程款的支付均按照施工单位申请、监理审核、项目管理部门确认、财务部门审查、领导审批等程序进行。发现的问题及原因：一是项目实施缺乏计划性，审批手续未及时提供，导致财政资金申请困难。二是财务基础工作还需进一步夯实，财务工作人员少，工作压力大，财务工作水平仍需要进一步提高。</w:t>
      </w:r>
      <w:r>
        <w:rPr>
          <w:rFonts w:ascii="仿宋_GB2312" w:eastAsia="仿宋_GB2312"/>
          <w:sz w:val="32"/>
          <w:szCs w:val="32"/>
        </w:rPr>
        <w:t>下一步改进措施：</w:t>
      </w:r>
      <w:r>
        <w:rPr>
          <w:rFonts w:hint="eastAsia" w:ascii="仿宋_GB2312" w:eastAsia="仿宋_GB2312"/>
          <w:sz w:val="32"/>
          <w:szCs w:val="32"/>
        </w:rPr>
        <w:t>一是财务上，会计核算要更加详细，为本单位各项工作的开展、总结、评估提供有效的数据资料支撑，为各项业务工作更好的开展提供帮助；二是从源头上强化对专项资金预算管理实行专项资金预算管理，结合单位实际，按轻重缓急统筹安排编制预算，提高预算编制科学和合理性，优化资金结构。</w:t>
      </w:r>
      <w:r>
        <w:rPr>
          <w:rFonts w:ascii="仿宋_GB2312" w:eastAsia="仿宋_GB2312"/>
          <w:sz w:val="32"/>
          <w:szCs w:val="32"/>
        </w:rPr>
        <w:t>具体附部门整体支出绩效自评表，项目支出绩效自评表和部门评价报告。</w:t>
      </w:r>
    </w:p>
    <w:p>
      <w:pPr>
        <w:spacing w:after="0" w:line="240" w:lineRule="auto"/>
        <w:ind w:firstLine="640" w:firstLineChars="200"/>
        <w:outlineLvl w:val="1"/>
        <w:rPr>
          <w:rFonts w:ascii="黑体" w:eastAsia="黑体"/>
          <w:sz w:val="32"/>
          <w:szCs w:val="32"/>
        </w:rPr>
      </w:pPr>
      <w:r>
        <w:rPr>
          <w:rFonts w:ascii="黑体" w:eastAsia="黑体"/>
          <w:sz w:val="32"/>
          <w:szCs w:val="32"/>
        </w:rPr>
        <w:t>十二、其他需说明的事项</w:t>
      </w:r>
    </w:p>
    <w:p>
      <w:pPr>
        <w:spacing w:after="0" w:line="240" w:lineRule="auto"/>
        <w:ind w:firstLine="640" w:firstLineChars="200"/>
        <w:jc w:val="both"/>
        <w:rPr>
          <w:rFonts w:ascii="仿宋_GB2312" w:eastAsia="仿宋_GB2312"/>
          <w:sz w:val="32"/>
          <w:szCs w:val="32"/>
        </w:rPr>
      </w:pPr>
      <w:r>
        <w:rPr>
          <w:rFonts w:ascii="仿宋_GB2312" w:eastAsia="仿宋_GB2312"/>
          <w:sz w:val="32"/>
          <w:szCs w:val="32"/>
        </w:rPr>
        <w:t>本单位无其他需说明事项。</w:t>
      </w:r>
    </w:p>
    <w:p>
      <w:pPr>
        <w:spacing w:after="0" w:line="240" w:lineRule="auto"/>
        <w:ind w:firstLine="640" w:firstLineChars="200"/>
        <w:rPr>
          <w:rFonts w:ascii="仿宋_GB2312" w:eastAsia="仿宋_GB2312"/>
          <w:sz w:val="32"/>
          <w:szCs w:val="32"/>
        </w:rPr>
      </w:pPr>
    </w:p>
    <w:p>
      <w:r>
        <w:rPr>
          <w:sz w:val="0"/>
          <w:szCs w:val="0"/>
        </w:rPr>
        <w:br w:type="page"/>
      </w:r>
    </w:p>
    <w:p>
      <w:pPr>
        <w:spacing w:after="0" w:line="240" w:lineRule="auto"/>
        <w:jc w:val="center"/>
        <w:outlineLvl w:val="0"/>
        <w:rPr>
          <w:rFonts w:ascii="黑体" w:eastAsia="黑体"/>
          <w:sz w:val="32"/>
          <w:szCs w:val="32"/>
        </w:rPr>
      </w:pPr>
      <w:r>
        <w:rPr>
          <w:rFonts w:ascii="黑体" w:eastAsia="黑体"/>
          <w:sz w:val="32"/>
          <w:szCs w:val="32"/>
        </w:rPr>
        <w:t>第三部分专业名词解释</w:t>
      </w:r>
    </w:p>
    <w:p>
      <w:pPr>
        <w:spacing w:after="0" w:line="240" w:lineRule="auto"/>
        <w:ind w:firstLine="643" w:firstLineChars="200"/>
        <w:rPr>
          <w:rFonts w:ascii="仿宋_GB2312" w:eastAsia="仿宋_GB2312"/>
          <w:sz w:val="32"/>
          <w:szCs w:val="32"/>
        </w:rPr>
      </w:pPr>
      <w:r>
        <w:rPr>
          <w:rFonts w:ascii="仿宋_GB2312" w:eastAsia="仿宋_GB2312"/>
          <w:b/>
          <w:sz w:val="32"/>
          <w:szCs w:val="32"/>
        </w:rPr>
        <w:t>一、财政拨款收入：</w:t>
      </w:r>
      <w:r>
        <w:rPr>
          <w:rFonts w:ascii="仿宋_GB2312" w:eastAsia="仿宋_GB2312"/>
          <w:sz w:val="32"/>
          <w:szCs w:val="32"/>
        </w:rPr>
        <w:t>指同级财政当年拨付的资金。</w:t>
      </w:r>
    </w:p>
    <w:p>
      <w:pPr>
        <w:spacing w:after="0" w:line="240" w:lineRule="auto"/>
        <w:ind w:firstLine="643" w:firstLineChars="200"/>
        <w:rPr>
          <w:rFonts w:ascii="仿宋_GB2312" w:eastAsia="仿宋_GB2312"/>
          <w:sz w:val="32"/>
          <w:szCs w:val="32"/>
        </w:rPr>
      </w:pPr>
      <w:r>
        <w:rPr>
          <w:rFonts w:ascii="仿宋_GB2312" w:eastAsia="仿宋_GB2312"/>
          <w:b/>
          <w:sz w:val="32"/>
          <w:szCs w:val="32"/>
        </w:rPr>
        <w:t>二、上级补助收入：</w:t>
      </w:r>
      <w:r>
        <w:rPr>
          <w:rFonts w:ascii="仿宋_GB2312" w:eastAsia="仿宋_GB2312"/>
          <w:sz w:val="32"/>
          <w:szCs w:val="32"/>
        </w:rPr>
        <w:t>指事业单位从主管部门和上级单位取得的非财政补助收入。</w:t>
      </w:r>
    </w:p>
    <w:p>
      <w:pPr>
        <w:spacing w:after="0" w:line="240" w:lineRule="auto"/>
        <w:ind w:firstLine="643" w:firstLineChars="200"/>
        <w:rPr>
          <w:rFonts w:ascii="仿宋_GB2312" w:eastAsia="仿宋_GB2312"/>
          <w:sz w:val="32"/>
          <w:szCs w:val="32"/>
        </w:rPr>
      </w:pPr>
      <w:r>
        <w:rPr>
          <w:rFonts w:ascii="仿宋_GB2312" w:eastAsia="仿宋_GB2312"/>
          <w:b/>
          <w:sz w:val="32"/>
          <w:szCs w:val="32"/>
        </w:rPr>
        <w:t>三、事业收入：</w:t>
      </w:r>
      <w:r>
        <w:rPr>
          <w:rFonts w:ascii="仿宋_GB2312" w:eastAsia="仿宋_GB2312"/>
          <w:sz w:val="32"/>
          <w:szCs w:val="32"/>
        </w:rPr>
        <w:t>指事业单位开展专业业务活动及其辅助活动所取得的收入。</w:t>
      </w:r>
    </w:p>
    <w:p>
      <w:pPr>
        <w:spacing w:after="0" w:line="240" w:lineRule="auto"/>
        <w:ind w:firstLine="643" w:firstLineChars="200"/>
        <w:rPr>
          <w:rFonts w:ascii="仿宋_GB2312" w:eastAsia="仿宋_GB2312"/>
          <w:sz w:val="32"/>
          <w:szCs w:val="32"/>
        </w:rPr>
      </w:pPr>
      <w:r>
        <w:rPr>
          <w:rFonts w:ascii="仿宋_GB2312" w:eastAsia="仿宋_GB2312"/>
          <w:b/>
          <w:sz w:val="32"/>
          <w:szCs w:val="32"/>
        </w:rPr>
        <w:t>四、经营收入：</w:t>
      </w:r>
      <w:r>
        <w:rPr>
          <w:rFonts w:ascii="仿宋_GB2312" w:eastAsia="仿宋_GB2312"/>
          <w:sz w:val="32"/>
          <w:szCs w:val="32"/>
        </w:rPr>
        <w:t>指事业单位在专业业务活动及其辅助活动之外开展非独立核算经营活动取得的收入。</w:t>
      </w:r>
    </w:p>
    <w:p>
      <w:pPr>
        <w:spacing w:after="0" w:line="240" w:lineRule="auto"/>
        <w:ind w:firstLine="643" w:firstLineChars="200"/>
        <w:rPr>
          <w:rFonts w:ascii="仿宋_GB2312" w:eastAsia="仿宋_GB2312"/>
          <w:sz w:val="32"/>
          <w:szCs w:val="32"/>
        </w:rPr>
      </w:pPr>
      <w:r>
        <w:rPr>
          <w:rFonts w:ascii="仿宋_GB2312" w:eastAsia="仿宋_GB2312"/>
          <w:b/>
          <w:sz w:val="32"/>
          <w:szCs w:val="32"/>
        </w:rPr>
        <w:t>五、附属单位上缴收入：</w:t>
      </w:r>
      <w:r>
        <w:rPr>
          <w:rFonts w:ascii="仿宋_GB2312" w:eastAsia="仿宋_GB2312"/>
          <w:sz w:val="32"/>
          <w:szCs w:val="32"/>
        </w:rPr>
        <w:t>指事业单位附属的独立核算单位按有关规定上缴的收入。</w:t>
      </w:r>
    </w:p>
    <w:p>
      <w:pPr>
        <w:spacing w:after="0" w:line="240" w:lineRule="auto"/>
        <w:ind w:firstLine="643" w:firstLineChars="200"/>
        <w:rPr>
          <w:rFonts w:ascii="仿宋_GB2312" w:eastAsia="仿宋_GB2312"/>
          <w:sz w:val="32"/>
          <w:szCs w:val="32"/>
        </w:rPr>
      </w:pPr>
      <w:r>
        <w:rPr>
          <w:rFonts w:ascii="仿宋_GB2312" w:eastAsia="仿宋_GB2312"/>
          <w:b/>
          <w:sz w:val="32"/>
          <w:szCs w:val="32"/>
        </w:rPr>
        <w:t>六、其他收入：</w:t>
      </w:r>
      <w:r>
        <w:rPr>
          <w:rFonts w:ascii="仿宋_GB2312" w:eastAsia="仿宋_GB2312"/>
          <w:sz w:val="32"/>
          <w:szCs w:val="32"/>
        </w:rPr>
        <w:t>指除上述“财政拨款收入”、“事业收入”、“经营收入”、“附属单位上缴收入”等之外取得的收入。</w:t>
      </w:r>
    </w:p>
    <w:p>
      <w:pPr>
        <w:spacing w:after="0" w:line="240" w:lineRule="auto"/>
        <w:ind w:firstLine="643" w:firstLineChars="200"/>
        <w:rPr>
          <w:rFonts w:ascii="仿宋_GB2312" w:eastAsia="仿宋_GB2312"/>
          <w:sz w:val="32"/>
          <w:szCs w:val="32"/>
        </w:rPr>
      </w:pPr>
      <w:r>
        <w:rPr>
          <w:rFonts w:ascii="仿宋_GB2312" w:eastAsia="仿宋_GB2312"/>
          <w:b/>
          <w:sz w:val="32"/>
          <w:szCs w:val="32"/>
        </w:rPr>
        <w:t>七、年初结转和结余：</w:t>
      </w:r>
      <w:r>
        <w:rPr>
          <w:rFonts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spacing w:after="0" w:line="240" w:lineRule="auto"/>
        <w:ind w:firstLine="643" w:firstLineChars="200"/>
        <w:rPr>
          <w:rFonts w:ascii="仿宋_GB2312" w:eastAsia="仿宋_GB2312"/>
          <w:sz w:val="32"/>
          <w:szCs w:val="32"/>
        </w:rPr>
      </w:pPr>
      <w:r>
        <w:rPr>
          <w:rFonts w:ascii="仿宋_GB2312" w:eastAsia="仿宋_GB2312"/>
          <w:b/>
          <w:sz w:val="32"/>
          <w:szCs w:val="32"/>
        </w:rPr>
        <w:t>八、年末结转和结余：</w:t>
      </w:r>
      <w:r>
        <w:rPr>
          <w:rFonts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after="0" w:line="240" w:lineRule="auto"/>
        <w:ind w:firstLine="643" w:firstLineChars="200"/>
        <w:rPr>
          <w:rFonts w:ascii="仿宋_GB2312" w:eastAsia="仿宋_GB2312"/>
          <w:sz w:val="32"/>
          <w:szCs w:val="32"/>
        </w:rPr>
      </w:pPr>
      <w:r>
        <w:rPr>
          <w:rFonts w:ascii="仿宋_GB2312" w:eastAsia="仿宋_GB2312"/>
          <w:b/>
          <w:sz w:val="32"/>
          <w:szCs w:val="32"/>
        </w:rPr>
        <w:t>九、基本支出：</w:t>
      </w:r>
      <w:r>
        <w:rPr>
          <w:rFonts w:ascii="仿宋_GB2312" w:eastAsia="仿宋_GB2312"/>
          <w:sz w:val="32"/>
          <w:szCs w:val="32"/>
        </w:rPr>
        <w:t>指为保障机构正常运转、完成日常工作任务而发生的人员支出和公用支出。</w:t>
      </w:r>
    </w:p>
    <w:p>
      <w:pPr>
        <w:spacing w:after="0" w:line="240" w:lineRule="auto"/>
        <w:ind w:firstLine="643" w:firstLineChars="200"/>
        <w:rPr>
          <w:rFonts w:ascii="仿宋_GB2312" w:eastAsia="仿宋_GB2312"/>
          <w:sz w:val="32"/>
          <w:szCs w:val="32"/>
        </w:rPr>
      </w:pPr>
      <w:r>
        <w:rPr>
          <w:rFonts w:ascii="仿宋_GB2312" w:eastAsia="仿宋_GB2312"/>
          <w:b/>
          <w:sz w:val="32"/>
          <w:szCs w:val="32"/>
        </w:rPr>
        <w:t>十、项目支出：</w:t>
      </w:r>
      <w:r>
        <w:rPr>
          <w:rFonts w:ascii="仿宋_GB2312" w:eastAsia="仿宋_GB2312"/>
          <w:sz w:val="32"/>
          <w:szCs w:val="32"/>
        </w:rPr>
        <w:t>指在基本支出之外为完成特定行政任务和事业发展目标所发生的支出。</w:t>
      </w:r>
    </w:p>
    <w:p>
      <w:pPr>
        <w:spacing w:after="0" w:line="240" w:lineRule="auto"/>
        <w:ind w:firstLine="643" w:firstLineChars="200"/>
        <w:rPr>
          <w:rFonts w:ascii="仿宋_GB2312" w:eastAsia="仿宋_GB2312"/>
          <w:sz w:val="32"/>
          <w:szCs w:val="32"/>
        </w:rPr>
      </w:pPr>
      <w:r>
        <w:rPr>
          <w:rFonts w:ascii="仿宋_GB2312" w:eastAsia="仿宋_GB2312"/>
          <w:b/>
          <w:sz w:val="32"/>
          <w:szCs w:val="32"/>
        </w:rPr>
        <w:t>十一、经营支出：</w:t>
      </w:r>
      <w:r>
        <w:rPr>
          <w:rFonts w:ascii="仿宋_GB2312" w:eastAsia="仿宋_GB2312"/>
          <w:sz w:val="32"/>
          <w:szCs w:val="32"/>
        </w:rPr>
        <w:t>指事业单位在专业业务活动及其辅助活动之外开展非独立核算经营活动发生的支出。</w:t>
      </w:r>
    </w:p>
    <w:p>
      <w:pPr>
        <w:spacing w:after="0" w:line="240" w:lineRule="auto"/>
        <w:ind w:firstLine="643" w:firstLineChars="200"/>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sz w:val="32"/>
          <w:szCs w:val="32"/>
        </w:rPr>
        <w:t>指事业单位发生的用非财政预算资金对附属单位的补助支出。</w:t>
      </w:r>
    </w:p>
    <w:p>
      <w:pPr>
        <w:spacing w:after="0" w:line="240" w:lineRule="auto"/>
        <w:ind w:firstLine="643" w:firstLineChars="200"/>
        <w:rPr>
          <w:rFonts w:ascii="仿宋_GB2312" w:eastAsia="仿宋_GB2312"/>
          <w:sz w:val="32"/>
          <w:szCs w:val="32"/>
        </w:rPr>
      </w:pPr>
      <w:r>
        <w:rPr>
          <w:rFonts w:ascii="仿宋_GB2312" w:eastAsia="仿宋_GB2312"/>
          <w:b/>
          <w:sz w:val="32"/>
          <w:szCs w:val="32"/>
        </w:rPr>
        <w:t>十三、“三公”经费：</w:t>
      </w:r>
      <w:r>
        <w:rPr>
          <w:rFonts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after="0" w:line="240" w:lineRule="auto"/>
        <w:ind w:firstLine="643" w:firstLineChars="200"/>
        <w:rPr>
          <w:rFonts w:ascii="仿宋_GB2312" w:eastAsia="仿宋_GB2312"/>
          <w:sz w:val="32"/>
          <w:szCs w:val="32"/>
        </w:rPr>
      </w:pPr>
      <w:r>
        <w:rPr>
          <w:rFonts w:ascii="仿宋_GB2312" w:eastAsia="仿宋_GB2312"/>
          <w:b/>
          <w:sz w:val="32"/>
          <w:szCs w:val="32"/>
        </w:rPr>
        <w:t>十四、机关运行经费：</w:t>
      </w:r>
      <w:r>
        <w:rPr>
          <w:rFonts w:ascii="仿宋_GB2312" w:eastAsia="仿宋_GB2312"/>
          <w:sz w:val="32"/>
          <w:szCs w:val="32"/>
        </w:rPr>
        <w:t>行政单位和参照公务员法管理的事业单位财政拨款基本支出中的公用经费支出。</w:t>
      </w:r>
    </w:p>
    <w:p>
      <w:r>
        <w:rPr>
          <w:sz w:val="0"/>
          <w:szCs w:val="0"/>
        </w:rPr>
        <w:br w:type="page"/>
      </w:r>
    </w:p>
    <w:p>
      <w:pPr>
        <w:spacing w:after="0" w:line="240" w:lineRule="auto"/>
        <w:jc w:val="center"/>
        <w:outlineLvl w:val="0"/>
        <w:rPr>
          <w:rFonts w:ascii="黑体" w:eastAsia="黑体"/>
          <w:sz w:val="32"/>
          <w:szCs w:val="32"/>
        </w:rPr>
      </w:pPr>
      <w:r>
        <w:rPr>
          <w:rFonts w:ascii="黑体" w:eastAsia="黑体"/>
          <w:sz w:val="32"/>
          <w:szCs w:val="32"/>
        </w:rPr>
        <w:t>第四部分部门决算报表（见附表）</w:t>
      </w:r>
    </w:p>
    <w:p>
      <w:pPr>
        <w:spacing w:after="0" w:line="240" w:lineRule="auto"/>
        <w:ind w:firstLine="640" w:firstLineChars="200"/>
        <w:outlineLvl w:val="1"/>
        <w:rPr>
          <w:rFonts w:ascii="仿宋_GB2312" w:eastAsia="仿宋_GB2312"/>
          <w:sz w:val="32"/>
          <w:szCs w:val="32"/>
        </w:rPr>
      </w:pPr>
      <w:r>
        <w:rPr>
          <w:rFonts w:ascii="仿宋_GB2312" w:eastAsia="仿宋_GB2312"/>
          <w:sz w:val="32"/>
          <w:szCs w:val="32"/>
        </w:rPr>
        <w:t>一、《收入支出决算总表》</w:t>
      </w:r>
    </w:p>
    <w:p>
      <w:pPr>
        <w:spacing w:after="0" w:line="240" w:lineRule="auto"/>
        <w:ind w:firstLine="640" w:firstLineChars="200"/>
        <w:outlineLvl w:val="1"/>
        <w:rPr>
          <w:rFonts w:ascii="仿宋_GB2312" w:eastAsia="仿宋_GB2312"/>
          <w:sz w:val="32"/>
          <w:szCs w:val="32"/>
        </w:rPr>
      </w:pPr>
      <w:r>
        <w:rPr>
          <w:rFonts w:ascii="仿宋_GB2312" w:eastAsia="仿宋_GB2312"/>
          <w:sz w:val="32"/>
          <w:szCs w:val="32"/>
        </w:rPr>
        <w:t>二、《收入决算表》</w:t>
      </w:r>
    </w:p>
    <w:p>
      <w:pPr>
        <w:spacing w:after="0" w:line="240" w:lineRule="auto"/>
        <w:ind w:firstLine="640" w:firstLineChars="200"/>
        <w:outlineLvl w:val="1"/>
        <w:rPr>
          <w:rFonts w:ascii="仿宋_GB2312" w:eastAsia="仿宋_GB2312"/>
          <w:sz w:val="32"/>
          <w:szCs w:val="32"/>
        </w:rPr>
      </w:pPr>
      <w:r>
        <w:rPr>
          <w:rFonts w:ascii="仿宋_GB2312" w:eastAsia="仿宋_GB2312"/>
          <w:sz w:val="32"/>
          <w:szCs w:val="32"/>
        </w:rPr>
        <w:t>三、《支出决算表》</w:t>
      </w:r>
    </w:p>
    <w:p>
      <w:pPr>
        <w:spacing w:after="0" w:line="240" w:lineRule="auto"/>
        <w:ind w:firstLine="640" w:firstLineChars="200"/>
        <w:outlineLvl w:val="1"/>
        <w:rPr>
          <w:rFonts w:ascii="仿宋_GB2312" w:eastAsia="仿宋_GB2312"/>
          <w:sz w:val="32"/>
          <w:szCs w:val="32"/>
        </w:rPr>
      </w:pPr>
      <w:r>
        <w:rPr>
          <w:rFonts w:ascii="仿宋_GB2312" w:eastAsia="仿宋_GB2312"/>
          <w:sz w:val="32"/>
          <w:szCs w:val="32"/>
        </w:rPr>
        <w:t>四、《财政拨款收入支出决算总表》</w:t>
      </w:r>
    </w:p>
    <w:p>
      <w:pPr>
        <w:spacing w:after="0" w:line="240" w:lineRule="auto"/>
        <w:ind w:firstLine="640" w:firstLineChars="200"/>
        <w:outlineLvl w:val="1"/>
        <w:rPr>
          <w:rFonts w:ascii="仿宋_GB2312" w:eastAsia="仿宋_GB2312"/>
          <w:sz w:val="32"/>
          <w:szCs w:val="32"/>
        </w:rPr>
      </w:pPr>
      <w:r>
        <w:rPr>
          <w:rFonts w:ascii="仿宋_GB2312" w:eastAsia="仿宋_GB2312"/>
          <w:sz w:val="32"/>
          <w:szCs w:val="32"/>
        </w:rPr>
        <w:t>五、《一般公共预算财政拨款支出决算表》</w:t>
      </w:r>
    </w:p>
    <w:p>
      <w:pPr>
        <w:spacing w:after="0" w:line="240" w:lineRule="auto"/>
        <w:ind w:firstLine="640" w:firstLineChars="200"/>
        <w:outlineLvl w:val="1"/>
        <w:rPr>
          <w:rFonts w:ascii="仿宋_GB2312" w:eastAsia="仿宋_GB2312"/>
          <w:sz w:val="32"/>
          <w:szCs w:val="32"/>
        </w:rPr>
      </w:pPr>
      <w:r>
        <w:rPr>
          <w:rFonts w:ascii="仿宋_GB2312" w:eastAsia="仿宋_GB2312"/>
          <w:sz w:val="32"/>
          <w:szCs w:val="32"/>
        </w:rPr>
        <w:t>六、《一般公共预算财政拨款基本支出决算表》</w:t>
      </w:r>
    </w:p>
    <w:p>
      <w:pPr>
        <w:spacing w:after="0" w:line="240" w:lineRule="auto"/>
        <w:ind w:firstLine="640" w:firstLineChars="200"/>
        <w:outlineLvl w:val="1"/>
        <w:rPr>
          <w:rFonts w:ascii="仿宋_GB2312" w:eastAsia="仿宋_GB2312"/>
          <w:sz w:val="32"/>
          <w:szCs w:val="32"/>
        </w:rPr>
      </w:pPr>
      <w:r>
        <w:rPr>
          <w:rFonts w:ascii="仿宋_GB2312" w:eastAsia="仿宋_GB2312"/>
          <w:sz w:val="32"/>
          <w:szCs w:val="32"/>
        </w:rPr>
        <w:t>七、《政府性基金预算财政拨款收入支出决算表》</w:t>
      </w:r>
    </w:p>
    <w:p>
      <w:pPr>
        <w:spacing w:after="0" w:line="240" w:lineRule="auto"/>
        <w:ind w:firstLine="640" w:firstLineChars="200"/>
        <w:outlineLvl w:val="1"/>
        <w:rPr>
          <w:rFonts w:ascii="仿宋_GB2312" w:eastAsia="仿宋_GB2312"/>
          <w:sz w:val="32"/>
          <w:szCs w:val="32"/>
        </w:rPr>
      </w:pPr>
      <w:r>
        <w:rPr>
          <w:rFonts w:ascii="仿宋_GB2312" w:eastAsia="仿宋_GB2312"/>
          <w:sz w:val="32"/>
          <w:szCs w:val="32"/>
        </w:rPr>
        <w:t>八、《国有资本经营预算财政拨款收入支出决算表》</w:t>
      </w:r>
    </w:p>
    <w:p>
      <w:pPr>
        <w:spacing w:after="0" w:line="240" w:lineRule="auto"/>
        <w:ind w:firstLine="640" w:firstLineChars="200"/>
        <w:outlineLvl w:val="1"/>
        <w:rPr>
          <w:rFonts w:ascii="仿宋_GB2312" w:eastAsia="仿宋_GB2312"/>
          <w:sz w:val="32"/>
          <w:szCs w:val="32"/>
        </w:rPr>
      </w:pPr>
      <w:r>
        <w:rPr>
          <w:rFonts w:ascii="仿宋_GB2312" w:eastAsia="仿宋_GB2312"/>
          <w:sz w:val="32"/>
          <w:szCs w:val="32"/>
        </w:rPr>
        <w:t>九、《财政拨款“三公”经费支出决算表》</w:t>
      </w:r>
    </w:p>
    <w:p>
      <w:pPr>
        <w:spacing w:after="0" w:line="240" w:lineRule="auto"/>
        <w:ind w:firstLine="640" w:firstLineChars="200"/>
        <w:outlineLvl w:val="1"/>
        <w:rPr>
          <w:rFonts w:ascii="仿宋_GB2312" w:eastAsia="仿宋_GB2312"/>
          <w:sz w:val="32"/>
          <w:szCs w:val="32"/>
        </w:rPr>
      </w:pPr>
    </w:p>
    <w:p>
      <w:pPr>
        <w:spacing w:after="0" w:line="240" w:lineRule="auto"/>
        <w:ind w:firstLine="640" w:firstLineChars="200"/>
        <w:outlineLvl w:val="1"/>
        <w:rPr>
          <w:rFonts w:ascii="仿宋_GB2312" w:eastAsia="仿宋_GB2312"/>
          <w:sz w:val="32"/>
          <w:szCs w:val="32"/>
        </w:rPr>
      </w:pPr>
    </w:p>
    <w:p>
      <w:pPr>
        <w:spacing w:after="0" w:line="240" w:lineRule="auto"/>
        <w:ind w:firstLine="640" w:firstLineChars="200"/>
        <w:outlineLvl w:val="1"/>
        <w:rPr>
          <w:rFonts w:ascii="仿宋_GB2312" w:eastAsia="仿宋_GB2312"/>
          <w:sz w:val="32"/>
          <w:szCs w:val="32"/>
        </w:rPr>
      </w:pPr>
    </w:p>
    <w:p>
      <w:pPr>
        <w:spacing w:after="0" w:line="240" w:lineRule="auto"/>
        <w:ind w:firstLine="640" w:firstLineChars="200"/>
        <w:outlineLvl w:val="1"/>
        <w:rPr>
          <w:rFonts w:ascii="仿宋_GB2312" w:eastAsia="仿宋_GB2312"/>
          <w:sz w:val="32"/>
          <w:szCs w:val="32"/>
        </w:rPr>
      </w:pPr>
    </w:p>
    <w:p>
      <w:pPr>
        <w:spacing w:after="0" w:line="240" w:lineRule="auto"/>
        <w:ind w:firstLine="640" w:firstLineChars="200"/>
        <w:outlineLvl w:val="1"/>
        <w:rPr>
          <w:rFonts w:ascii="仿宋_GB2312" w:eastAsia="仿宋_GB2312"/>
          <w:sz w:val="32"/>
          <w:szCs w:val="32"/>
        </w:rPr>
      </w:pPr>
    </w:p>
    <w:p>
      <w:pPr>
        <w:spacing w:after="0" w:line="240" w:lineRule="auto"/>
        <w:ind w:firstLine="640" w:firstLineChars="200"/>
        <w:outlineLvl w:val="1"/>
        <w:rPr>
          <w:rFonts w:ascii="仿宋_GB2312" w:eastAsia="仿宋_GB2312"/>
          <w:sz w:val="32"/>
          <w:szCs w:val="32"/>
        </w:rPr>
      </w:pPr>
    </w:p>
    <w:p>
      <w:pPr>
        <w:spacing w:after="0" w:line="240" w:lineRule="auto"/>
        <w:ind w:firstLine="640" w:firstLineChars="200"/>
        <w:outlineLvl w:val="1"/>
        <w:rPr>
          <w:rFonts w:ascii="仿宋_GB2312" w:eastAsia="仿宋_GB2312"/>
          <w:sz w:val="32"/>
          <w:szCs w:val="32"/>
        </w:rPr>
      </w:pPr>
    </w:p>
    <w:p>
      <w:pPr>
        <w:spacing w:after="0" w:line="240" w:lineRule="auto"/>
        <w:ind w:firstLine="640" w:firstLineChars="200"/>
        <w:outlineLvl w:val="1"/>
        <w:rPr>
          <w:rFonts w:ascii="仿宋_GB2312" w:eastAsia="仿宋_GB2312"/>
          <w:sz w:val="32"/>
          <w:szCs w:val="32"/>
        </w:rPr>
      </w:pPr>
    </w:p>
    <w:p>
      <w:pPr>
        <w:spacing w:after="0" w:line="240" w:lineRule="auto"/>
        <w:ind w:firstLine="640" w:firstLineChars="200"/>
        <w:outlineLvl w:val="1"/>
        <w:rPr>
          <w:rFonts w:ascii="仿宋_GB2312" w:eastAsia="仿宋_GB2312"/>
          <w:sz w:val="32"/>
          <w:szCs w:val="32"/>
        </w:rPr>
      </w:pPr>
    </w:p>
    <w:p>
      <w:pPr>
        <w:spacing w:after="0" w:line="240" w:lineRule="auto"/>
        <w:ind w:firstLine="640" w:firstLineChars="200"/>
        <w:outlineLvl w:val="1"/>
        <w:rPr>
          <w:rFonts w:ascii="仿宋_GB2312" w:eastAsia="仿宋_GB2312"/>
          <w:sz w:val="32"/>
          <w:szCs w:val="32"/>
        </w:rPr>
      </w:pPr>
    </w:p>
    <w:p>
      <w:pPr>
        <w:spacing w:after="0" w:line="240" w:lineRule="auto"/>
        <w:ind w:firstLine="640" w:firstLineChars="200"/>
        <w:outlineLvl w:val="1"/>
        <w:rPr>
          <w:rFonts w:ascii="仿宋_GB2312" w:eastAsia="仿宋_GB2312"/>
          <w:sz w:val="32"/>
          <w:szCs w:val="32"/>
        </w:rPr>
      </w:pPr>
    </w:p>
    <w:p>
      <w:pPr>
        <w:spacing w:after="0" w:line="240" w:lineRule="auto"/>
        <w:ind w:firstLine="640" w:firstLineChars="200"/>
        <w:outlineLvl w:val="1"/>
        <w:rPr>
          <w:rFonts w:ascii="仿宋_GB2312" w:eastAsia="仿宋_GB2312"/>
          <w:sz w:val="32"/>
          <w:szCs w:val="32"/>
        </w:rPr>
      </w:pPr>
    </w:p>
    <w:p>
      <w:pPr>
        <w:spacing w:after="0" w:line="240" w:lineRule="auto"/>
        <w:ind w:firstLine="640" w:firstLineChars="200"/>
        <w:outlineLvl w:val="1"/>
        <w:rPr>
          <w:rFonts w:ascii="仿宋_GB2312" w:eastAsia="仿宋_GB2312"/>
          <w:sz w:val="32"/>
          <w:szCs w:val="32"/>
        </w:rPr>
      </w:pPr>
    </w:p>
    <w:p>
      <w:pPr>
        <w:spacing w:after="0" w:line="240" w:lineRule="auto"/>
        <w:ind w:firstLine="640" w:firstLineChars="200"/>
        <w:outlineLvl w:val="1"/>
        <w:rPr>
          <w:rFonts w:ascii="仿宋_GB2312" w:eastAsia="仿宋_GB2312"/>
          <w:sz w:val="32"/>
          <w:szCs w:val="32"/>
        </w:rPr>
      </w:pPr>
    </w:p>
    <w:p>
      <w:pPr>
        <w:spacing w:after="0" w:line="240" w:lineRule="auto"/>
        <w:ind w:firstLine="640" w:firstLineChars="200"/>
        <w:outlineLvl w:val="1"/>
        <w:rPr>
          <w:rFonts w:ascii="仿宋_GB2312" w:eastAsia="仿宋_GB2312"/>
          <w:sz w:val="32"/>
          <w:szCs w:val="32"/>
        </w:rPr>
      </w:pPr>
    </w:p>
    <w:p>
      <w:pPr>
        <w:spacing w:after="0" w:line="240" w:lineRule="auto"/>
        <w:ind w:firstLine="640" w:firstLineChars="200"/>
        <w:outlineLvl w:val="1"/>
        <w:rPr>
          <w:rFonts w:ascii="仿宋_GB2312" w:eastAsia="仿宋_GB2312"/>
          <w:sz w:val="32"/>
          <w:szCs w:val="32"/>
        </w:rPr>
      </w:pPr>
    </w:p>
    <w:p>
      <w:pPr>
        <w:spacing w:after="0" w:line="240" w:lineRule="auto"/>
        <w:ind w:firstLine="640" w:firstLineChars="200"/>
        <w:outlineLvl w:val="1"/>
        <w:rPr>
          <w:rFonts w:ascii="仿宋_GB2312" w:eastAsia="仿宋_GB2312"/>
          <w:sz w:val="32"/>
          <w:szCs w:val="32"/>
        </w:rPr>
      </w:pPr>
    </w:p>
    <w:p>
      <w:pPr>
        <w:spacing w:after="0" w:line="240" w:lineRule="auto"/>
        <w:ind w:firstLine="640" w:firstLineChars="200"/>
        <w:outlineLvl w:val="1"/>
        <w:rPr>
          <w:rFonts w:ascii="仿宋_GB2312" w:eastAsia="仿宋_GB2312"/>
          <w:sz w:val="32"/>
          <w:szCs w:val="32"/>
        </w:rPr>
      </w:pPr>
    </w:p>
    <w:p>
      <w:pPr>
        <w:spacing w:after="0" w:line="240" w:lineRule="auto"/>
        <w:ind w:firstLine="640" w:firstLineChars="200"/>
        <w:outlineLvl w:val="1"/>
        <w:rPr>
          <w:rFonts w:ascii="仿宋_GB2312" w:eastAsia="仿宋_GB2312"/>
          <w:sz w:val="32"/>
          <w:szCs w:val="32"/>
        </w:rPr>
      </w:pPr>
    </w:p>
    <w:p>
      <w:pPr>
        <w:spacing w:after="0" w:line="240" w:lineRule="auto"/>
        <w:ind w:firstLine="640" w:firstLineChars="200"/>
        <w:outlineLvl w:val="1"/>
        <w:rPr>
          <w:rFonts w:ascii="仿宋_GB2312" w:eastAsia="仿宋_GB2312"/>
          <w:sz w:val="32"/>
          <w:szCs w:val="32"/>
        </w:rPr>
      </w:pPr>
    </w:p>
    <w:p>
      <w:pPr>
        <w:spacing w:after="0" w:line="240" w:lineRule="auto"/>
        <w:ind w:firstLine="640" w:firstLineChars="200"/>
        <w:outlineLvl w:val="1"/>
        <w:rPr>
          <w:rFonts w:ascii="仿宋_GB2312" w:eastAsia="仿宋_GB2312"/>
          <w:sz w:val="32"/>
          <w:szCs w:val="32"/>
        </w:rPr>
      </w:pPr>
    </w:p>
    <w:p>
      <w:pPr>
        <w:ind w:firstLine="640" w:firstLineChars="200"/>
        <w:outlineLvl w:val="1"/>
        <w:rPr>
          <w:rFonts w:ascii="仿宋_GB2312" w:eastAsia="仿宋_GB2312" w:cs="方正仿宋_GBK"/>
          <w:sz w:val="32"/>
          <w:szCs w:val="32"/>
        </w:rPr>
      </w:pPr>
      <w:r>
        <w:rPr>
          <w:rFonts w:hint="eastAsia" w:ascii="仿宋_GB2312" w:eastAsia="仿宋_GB2312" w:cs="方正仿宋_GBK"/>
          <w:sz w:val="32"/>
          <w:szCs w:val="32"/>
        </w:rPr>
        <w:t>收入支出决算总表（公开01表）</w:t>
      </w:r>
    </w:p>
    <w:p>
      <w:pPr>
        <w:spacing w:after="0" w:line="240" w:lineRule="auto"/>
        <w:ind w:firstLine="440" w:firstLineChars="200"/>
        <w:outlineLvl w:val="1"/>
        <w:rPr>
          <w:lang w:eastAsia="zh-CN"/>
        </w:rPr>
      </w:pPr>
      <w:r>
        <w:drawing>
          <wp:inline distT="0" distB="0" distL="0" distR="0">
            <wp:extent cx="5485130" cy="7219950"/>
            <wp:effectExtent l="0" t="0" r="127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491923" cy="7228828"/>
                    </a:xfrm>
                    <a:prstGeom prst="rect">
                      <a:avLst/>
                    </a:prstGeom>
                    <a:noFill/>
                    <a:ln>
                      <a:noFill/>
                    </a:ln>
                  </pic:spPr>
                </pic:pic>
              </a:graphicData>
            </a:graphic>
          </wp:inline>
        </w:drawing>
      </w:r>
    </w:p>
    <w:p>
      <w:pPr>
        <w:spacing w:after="0" w:line="240" w:lineRule="auto"/>
        <w:ind w:firstLine="440" w:firstLineChars="200"/>
        <w:outlineLvl w:val="1"/>
        <w:rPr>
          <w:lang w:eastAsia="zh-CN"/>
        </w:rPr>
      </w:pPr>
    </w:p>
    <w:p>
      <w:pPr>
        <w:spacing w:after="0" w:line="240" w:lineRule="auto"/>
        <w:outlineLvl w:val="1"/>
        <w:rPr>
          <w:rFonts w:ascii="仿宋_GB2312" w:eastAsia="仿宋_GB2312"/>
          <w:sz w:val="32"/>
          <w:szCs w:val="32"/>
        </w:rPr>
      </w:pPr>
    </w:p>
    <w:p>
      <w:pPr>
        <w:ind w:firstLine="640" w:firstLineChars="200"/>
        <w:outlineLvl w:val="1"/>
        <w:rPr>
          <w:rFonts w:ascii="仿宋_GB2312" w:eastAsia="仿宋_GB2312" w:cs="方正仿宋_GBK"/>
          <w:sz w:val="32"/>
          <w:szCs w:val="32"/>
        </w:rPr>
      </w:pPr>
      <w:r>
        <w:rPr>
          <w:rFonts w:hint="eastAsia" w:ascii="仿宋_GB2312" w:eastAsia="仿宋_GB2312" w:cs="方正仿宋_GBK"/>
          <w:sz w:val="32"/>
          <w:szCs w:val="32"/>
        </w:rPr>
        <w:t>收入决算表（公开02表）</w:t>
      </w:r>
    </w:p>
    <w:p>
      <w:pPr>
        <w:spacing w:after="0" w:line="240" w:lineRule="auto"/>
        <w:outlineLvl w:val="1"/>
        <w:rPr>
          <w:lang w:eastAsia="zh-CN"/>
        </w:rPr>
      </w:pPr>
      <w:r>
        <w:drawing>
          <wp:inline distT="0" distB="0" distL="0" distR="0">
            <wp:extent cx="5485765" cy="7435850"/>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493373" cy="7446283"/>
                    </a:xfrm>
                    <a:prstGeom prst="rect">
                      <a:avLst/>
                    </a:prstGeom>
                    <a:noFill/>
                    <a:ln>
                      <a:noFill/>
                    </a:ln>
                  </pic:spPr>
                </pic:pic>
              </a:graphicData>
            </a:graphic>
          </wp:inline>
        </w:drawing>
      </w:r>
    </w:p>
    <w:p>
      <w:pPr>
        <w:spacing w:after="0" w:line="240" w:lineRule="auto"/>
        <w:outlineLvl w:val="1"/>
        <w:rPr>
          <w:lang w:eastAsia="zh-CN"/>
        </w:rPr>
      </w:pPr>
    </w:p>
    <w:p>
      <w:pPr>
        <w:spacing w:after="0" w:line="240" w:lineRule="auto"/>
        <w:outlineLvl w:val="1"/>
        <w:rPr>
          <w:lang w:eastAsia="zh-CN"/>
        </w:rPr>
      </w:pPr>
    </w:p>
    <w:p>
      <w:pPr>
        <w:ind w:firstLine="640" w:firstLineChars="200"/>
        <w:outlineLvl w:val="1"/>
        <w:rPr>
          <w:rFonts w:ascii="仿宋_GB2312" w:eastAsia="仿宋_GB2312" w:cs="方正仿宋_GBK"/>
          <w:sz w:val="32"/>
          <w:szCs w:val="32"/>
        </w:rPr>
      </w:pPr>
      <w:r>
        <w:rPr>
          <w:rFonts w:hint="eastAsia" w:ascii="仿宋_GB2312" w:eastAsia="仿宋_GB2312" w:cs="方正仿宋_GBK"/>
          <w:sz w:val="32"/>
          <w:szCs w:val="32"/>
        </w:rPr>
        <w:t>支出决算表（公开03表）</w:t>
      </w:r>
    </w:p>
    <w:p>
      <w:pPr>
        <w:spacing w:after="0" w:line="240" w:lineRule="auto"/>
        <w:outlineLvl w:val="1"/>
        <w:rPr>
          <w:lang w:eastAsia="zh-CN"/>
        </w:rPr>
      </w:pPr>
      <w:r>
        <w:drawing>
          <wp:inline distT="0" distB="0" distL="0" distR="0">
            <wp:extent cx="5485130" cy="7297420"/>
            <wp:effectExtent l="0" t="0" r="127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490951" cy="7305376"/>
                    </a:xfrm>
                    <a:prstGeom prst="rect">
                      <a:avLst/>
                    </a:prstGeom>
                    <a:noFill/>
                    <a:ln>
                      <a:noFill/>
                    </a:ln>
                  </pic:spPr>
                </pic:pic>
              </a:graphicData>
            </a:graphic>
          </wp:inline>
        </w:drawing>
      </w:r>
    </w:p>
    <w:p>
      <w:pPr>
        <w:spacing w:after="0" w:line="240" w:lineRule="auto"/>
        <w:outlineLvl w:val="1"/>
        <w:rPr>
          <w:lang w:eastAsia="zh-CN"/>
        </w:rPr>
      </w:pPr>
    </w:p>
    <w:p>
      <w:pPr>
        <w:spacing w:after="0" w:line="240" w:lineRule="auto"/>
        <w:outlineLvl w:val="1"/>
        <w:rPr>
          <w:lang w:eastAsia="zh-CN"/>
        </w:rPr>
      </w:pPr>
    </w:p>
    <w:p>
      <w:pPr>
        <w:ind w:firstLine="640" w:firstLineChars="200"/>
        <w:outlineLvl w:val="1"/>
        <w:rPr>
          <w:rFonts w:ascii="仿宋_GB2312" w:eastAsia="仿宋_GB2312" w:cs="方正仿宋_GBK"/>
          <w:sz w:val="32"/>
          <w:szCs w:val="32"/>
        </w:rPr>
      </w:pPr>
      <w:r>
        <w:rPr>
          <w:rFonts w:hint="eastAsia" w:ascii="仿宋_GB2312" w:eastAsia="仿宋_GB2312" w:cs="方正仿宋_GBK"/>
          <w:sz w:val="32"/>
          <w:szCs w:val="32"/>
        </w:rPr>
        <w:t>财政拨款收入支出决算总表（公开04表）</w:t>
      </w:r>
    </w:p>
    <w:p>
      <w:pPr>
        <w:spacing w:after="0" w:line="240" w:lineRule="auto"/>
        <w:outlineLvl w:val="1"/>
        <w:rPr>
          <w:lang w:eastAsia="zh-CN"/>
        </w:rPr>
      </w:pPr>
      <w:r>
        <w:drawing>
          <wp:inline distT="0" distB="0" distL="0" distR="0">
            <wp:extent cx="5485130" cy="7522210"/>
            <wp:effectExtent l="0" t="0" r="1270" b="254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493679" cy="7533958"/>
                    </a:xfrm>
                    <a:prstGeom prst="rect">
                      <a:avLst/>
                    </a:prstGeom>
                    <a:noFill/>
                    <a:ln>
                      <a:noFill/>
                    </a:ln>
                  </pic:spPr>
                </pic:pic>
              </a:graphicData>
            </a:graphic>
          </wp:inline>
        </w:drawing>
      </w:r>
    </w:p>
    <w:p>
      <w:pPr>
        <w:spacing w:after="0" w:line="240" w:lineRule="auto"/>
        <w:outlineLvl w:val="1"/>
        <w:rPr>
          <w:lang w:eastAsia="zh-CN"/>
        </w:rPr>
      </w:pPr>
    </w:p>
    <w:p>
      <w:pPr>
        <w:ind w:firstLine="640" w:firstLineChars="200"/>
        <w:outlineLvl w:val="1"/>
        <w:rPr>
          <w:rFonts w:ascii="仿宋_GB2312" w:eastAsia="仿宋_GB2312" w:cs="方正仿宋_GBK"/>
          <w:sz w:val="32"/>
          <w:szCs w:val="32"/>
        </w:rPr>
      </w:pPr>
      <w:r>
        <w:rPr>
          <w:rFonts w:hint="eastAsia" w:ascii="仿宋_GB2312" w:eastAsia="仿宋_GB2312" w:cs="方正仿宋_GBK"/>
          <w:sz w:val="32"/>
          <w:szCs w:val="32"/>
        </w:rPr>
        <w:t>一般公共预算财政拨款支出决算表（公开05表）</w:t>
      </w:r>
    </w:p>
    <w:p>
      <w:pPr>
        <w:spacing w:after="0" w:line="240" w:lineRule="auto"/>
        <w:outlineLvl w:val="1"/>
        <w:rPr>
          <w:lang w:eastAsia="zh-CN"/>
        </w:rPr>
      </w:pPr>
      <w:r>
        <w:drawing>
          <wp:inline distT="0" distB="0" distL="0" distR="0">
            <wp:extent cx="5485765" cy="7496175"/>
            <wp:effectExtent l="0" t="0" r="635"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490497" cy="7502714"/>
                    </a:xfrm>
                    <a:prstGeom prst="rect">
                      <a:avLst/>
                    </a:prstGeom>
                    <a:noFill/>
                    <a:ln>
                      <a:noFill/>
                    </a:ln>
                  </pic:spPr>
                </pic:pic>
              </a:graphicData>
            </a:graphic>
          </wp:inline>
        </w:drawing>
      </w:r>
    </w:p>
    <w:p>
      <w:pPr>
        <w:spacing w:after="0" w:line="240" w:lineRule="auto"/>
        <w:outlineLvl w:val="1"/>
        <w:rPr>
          <w:lang w:eastAsia="zh-CN"/>
        </w:rPr>
      </w:pPr>
    </w:p>
    <w:p>
      <w:pPr>
        <w:ind w:firstLine="640" w:firstLineChars="200"/>
        <w:outlineLvl w:val="1"/>
        <w:rPr>
          <w:rFonts w:ascii="仿宋_GB2312" w:eastAsia="仿宋_GB2312" w:cs="方正仿宋_GBK"/>
          <w:sz w:val="32"/>
          <w:szCs w:val="32"/>
        </w:rPr>
      </w:pPr>
      <w:r>
        <w:rPr>
          <w:rFonts w:hint="eastAsia" w:ascii="仿宋_GB2312" w:eastAsia="仿宋_GB2312" w:cs="方正仿宋_GBK"/>
          <w:sz w:val="32"/>
          <w:szCs w:val="32"/>
        </w:rPr>
        <w:t>一般公共预算财政拨款基本支出决算表（公开06表）</w:t>
      </w:r>
    </w:p>
    <w:p>
      <w:pPr>
        <w:spacing w:after="0" w:line="240" w:lineRule="auto"/>
        <w:outlineLvl w:val="1"/>
        <w:rPr>
          <w:lang w:eastAsia="zh-CN"/>
        </w:rPr>
      </w:pPr>
      <w:r>
        <w:drawing>
          <wp:inline distT="0" distB="0" distL="0" distR="0">
            <wp:extent cx="5485765" cy="7340600"/>
            <wp:effectExtent l="0" t="0" r="63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491770" cy="7349115"/>
                    </a:xfrm>
                    <a:prstGeom prst="rect">
                      <a:avLst/>
                    </a:prstGeom>
                    <a:noFill/>
                    <a:ln>
                      <a:noFill/>
                    </a:ln>
                  </pic:spPr>
                </pic:pic>
              </a:graphicData>
            </a:graphic>
          </wp:inline>
        </w:drawing>
      </w:r>
    </w:p>
    <w:p>
      <w:pPr>
        <w:spacing w:after="0" w:line="240" w:lineRule="auto"/>
        <w:outlineLvl w:val="1"/>
        <w:rPr>
          <w:lang w:eastAsia="zh-CN"/>
        </w:rPr>
      </w:pPr>
    </w:p>
    <w:p>
      <w:pPr>
        <w:spacing w:after="0" w:line="240" w:lineRule="auto"/>
        <w:outlineLvl w:val="1"/>
        <w:rPr>
          <w:lang w:eastAsia="zh-CN"/>
        </w:rPr>
      </w:pPr>
    </w:p>
    <w:p>
      <w:pPr>
        <w:ind w:firstLine="640" w:firstLineChars="200"/>
        <w:outlineLvl w:val="1"/>
        <w:rPr>
          <w:rFonts w:ascii="仿宋_GB2312" w:eastAsia="仿宋_GB2312" w:cs="方正仿宋_GBK"/>
          <w:sz w:val="32"/>
          <w:szCs w:val="32"/>
        </w:rPr>
      </w:pPr>
      <w:r>
        <w:rPr>
          <w:rFonts w:hint="eastAsia" w:ascii="仿宋_GB2312" w:eastAsia="仿宋_GB2312" w:cs="方正仿宋_GBK"/>
          <w:sz w:val="32"/>
          <w:szCs w:val="32"/>
          <w:lang w:eastAsia="zh-CN"/>
        </w:rPr>
        <w:t>政府性基金预算财政拨款收入</w:t>
      </w:r>
      <w:r>
        <w:rPr>
          <w:rFonts w:hint="eastAsia" w:ascii="仿宋_GB2312" w:eastAsia="仿宋_GB2312" w:cs="方正仿宋_GBK"/>
          <w:sz w:val="32"/>
          <w:szCs w:val="32"/>
        </w:rPr>
        <w:t>支出决算表（公开07表）</w:t>
      </w:r>
    </w:p>
    <w:p>
      <w:pPr>
        <w:spacing w:after="0" w:line="240" w:lineRule="auto"/>
        <w:outlineLvl w:val="1"/>
        <w:rPr>
          <w:lang w:eastAsia="zh-CN"/>
        </w:rPr>
      </w:pPr>
      <w:r>
        <w:drawing>
          <wp:inline distT="0" distB="0" distL="0" distR="0">
            <wp:extent cx="5485130" cy="7090410"/>
            <wp:effectExtent l="0" t="0" r="127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492798" cy="7100826"/>
                    </a:xfrm>
                    <a:prstGeom prst="rect">
                      <a:avLst/>
                    </a:prstGeom>
                    <a:noFill/>
                    <a:ln>
                      <a:noFill/>
                    </a:ln>
                  </pic:spPr>
                </pic:pic>
              </a:graphicData>
            </a:graphic>
          </wp:inline>
        </w:drawing>
      </w:r>
    </w:p>
    <w:p>
      <w:pPr>
        <w:spacing w:after="0" w:line="240" w:lineRule="auto"/>
        <w:outlineLvl w:val="1"/>
        <w:rPr>
          <w:lang w:eastAsia="zh-CN"/>
        </w:rPr>
      </w:pPr>
    </w:p>
    <w:p>
      <w:pPr>
        <w:spacing w:after="0" w:line="240" w:lineRule="auto"/>
        <w:outlineLvl w:val="1"/>
        <w:rPr>
          <w:lang w:eastAsia="zh-CN"/>
        </w:rPr>
      </w:pPr>
    </w:p>
    <w:p>
      <w:pPr>
        <w:spacing w:after="0" w:line="240" w:lineRule="auto"/>
        <w:outlineLvl w:val="1"/>
        <w:rPr>
          <w:lang w:eastAsia="zh-CN"/>
        </w:rPr>
      </w:pPr>
    </w:p>
    <w:p>
      <w:pPr>
        <w:ind w:firstLine="640" w:firstLineChars="200"/>
        <w:outlineLvl w:val="1"/>
        <w:rPr>
          <w:rFonts w:ascii="仿宋_GB2312" w:eastAsia="仿宋_GB2312" w:cs="方正仿宋_GBK"/>
          <w:sz w:val="32"/>
          <w:szCs w:val="32"/>
        </w:rPr>
      </w:pPr>
      <w:r>
        <w:rPr>
          <w:rFonts w:hint="eastAsia" w:ascii="仿宋_GB2312" w:eastAsia="仿宋_GB2312" w:cs="方正仿宋_GBK"/>
          <w:sz w:val="32"/>
          <w:szCs w:val="32"/>
          <w:lang w:eastAsia="zh-CN"/>
        </w:rPr>
        <w:t>国有资本经营</w:t>
      </w:r>
      <w:r>
        <w:rPr>
          <w:rFonts w:hint="eastAsia" w:ascii="仿宋_GB2312" w:eastAsia="仿宋_GB2312" w:cs="方正仿宋_GBK"/>
          <w:sz w:val="32"/>
          <w:szCs w:val="32"/>
        </w:rPr>
        <w:t>预算财政拨款收入支出决算表（公开08表）</w:t>
      </w:r>
    </w:p>
    <w:p>
      <w:pPr>
        <w:spacing w:after="0" w:line="240" w:lineRule="auto"/>
        <w:outlineLvl w:val="1"/>
        <w:rPr>
          <w:lang w:eastAsia="zh-CN"/>
        </w:rPr>
      </w:pPr>
      <w:r>
        <w:drawing>
          <wp:inline distT="0" distB="0" distL="0" distR="0">
            <wp:extent cx="5484495" cy="4416425"/>
            <wp:effectExtent l="0" t="0" r="1905" b="317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492948" cy="4423213"/>
                    </a:xfrm>
                    <a:prstGeom prst="rect">
                      <a:avLst/>
                    </a:prstGeom>
                    <a:noFill/>
                    <a:ln>
                      <a:noFill/>
                    </a:ln>
                  </pic:spPr>
                </pic:pic>
              </a:graphicData>
            </a:graphic>
          </wp:inline>
        </w:drawing>
      </w:r>
    </w:p>
    <w:p>
      <w:pPr>
        <w:spacing w:after="0" w:line="240" w:lineRule="auto"/>
        <w:outlineLvl w:val="1"/>
        <w:rPr>
          <w:lang w:eastAsia="zh-CN"/>
        </w:rPr>
      </w:pPr>
    </w:p>
    <w:p>
      <w:pPr>
        <w:spacing w:after="0" w:line="240" w:lineRule="auto"/>
        <w:outlineLvl w:val="1"/>
        <w:rPr>
          <w:rFonts w:ascii="仿宋_GB2312" w:eastAsia="仿宋_GB2312"/>
          <w:sz w:val="32"/>
          <w:szCs w:val="32"/>
          <w:lang w:eastAsia="zh-CN"/>
        </w:rPr>
      </w:pPr>
      <w:r>
        <w:rPr>
          <w:rFonts w:hint="eastAsia" w:ascii="仿宋_GB2312" w:eastAsia="仿宋_GB2312"/>
          <w:sz w:val="32"/>
          <w:szCs w:val="32"/>
        </w:rPr>
        <w:t>我单位无国有资本经营预算财政拨款收入、支出及结余情况，国有资本经营预算财政拨款收入支出决算表为空表</w:t>
      </w:r>
      <w:r>
        <w:rPr>
          <w:rFonts w:hint="eastAsia" w:ascii="仿宋_GB2312" w:eastAsia="仿宋_GB2312"/>
          <w:sz w:val="32"/>
          <w:szCs w:val="32"/>
          <w:lang w:eastAsia="zh-CN"/>
        </w:rPr>
        <w:t>。</w:t>
      </w:r>
    </w:p>
    <w:p>
      <w:pPr>
        <w:spacing w:after="0" w:line="240" w:lineRule="auto"/>
        <w:outlineLvl w:val="1"/>
        <w:rPr>
          <w:rFonts w:ascii="仿宋_GB2312" w:eastAsia="仿宋_GB2312"/>
          <w:sz w:val="32"/>
          <w:szCs w:val="32"/>
        </w:rPr>
      </w:pPr>
    </w:p>
    <w:p>
      <w:pPr>
        <w:spacing w:after="0" w:line="240" w:lineRule="auto"/>
        <w:outlineLvl w:val="1"/>
        <w:rPr>
          <w:rFonts w:ascii="仿宋_GB2312" w:eastAsia="仿宋_GB2312"/>
          <w:sz w:val="32"/>
          <w:szCs w:val="32"/>
        </w:rPr>
      </w:pPr>
    </w:p>
    <w:p>
      <w:pPr>
        <w:spacing w:after="0" w:line="240" w:lineRule="auto"/>
        <w:outlineLvl w:val="1"/>
        <w:rPr>
          <w:rFonts w:ascii="仿宋_GB2312" w:eastAsia="仿宋_GB2312"/>
          <w:sz w:val="32"/>
          <w:szCs w:val="32"/>
        </w:rPr>
      </w:pPr>
    </w:p>
    <w:p>
      <w:pPr>
        <w:spacing w:after="0" w:line="240" w:lineRule="auto"/>
        <w:outlineLvl w:val="1"/>
        <w:rPr>
          <w:rFonts w:ascii="仿宋_GB2312" w:eastAsia="仿宋_GB2312"/>
          <w:sz w:val="32"/>
          <w:szCs w:val="32"/>
        </w:rPr>
      </w:pPr>
    </w:p>
    <w:p>
      <w:pPr>
        <w:spacing w:after="0" w:line="240" w:lineRule="auto"/>
        <w:outlineLvl w:val="1"/>
        <w:rPr>
          <w:rFonts w:ascii="仿宋_GB2312" w:eastAsia="仿宋_GB2312"/>
          <w:sz w:val="32"/>
          <w:szCs w:val="32"/>
        </w:rPr>
      </w:pPr>
    </w:p>
    <w:p>
      <w:pPr>
        <w:spacing w:after="0" w:line="240" w:lineRule="auto"/>
        <w:outlineLvl w:val="1"/>
        <w:rPr>
          <w:rFonts w:ascii="仿宋_GB2312" w:eastAsia="仿宋_GB2312"/>
          <w:sz w:val="32"/>
          <w:szCs w:val="32"/>
        </w:rPr>
      </w:pPr>
    </w:p>
    <w:p>
      <w:pPr>
        <w:spacing w:after="0" w:line="240" w:lineRule="auto"/>
        <w:outlineLvl w:val="1"/>
        <w:rPr>
          <w:rFonts w:ascii="仿宋_GB2312" w:eastAsia="仿宋_GB2312"/>
          <w:sz w:val="32"/>
          <w:szCs w:val="32"/>
        </w:rPr>
      </w:pPr>
    </w:p>
    <w:p>
      <w:pPr>
        <w:outlineLvl w:val="1"/>
        <w:rPr>
          <w:rFonts w:ascii="仿宋_GB2312" w:eastAsia="仿宋_GB2312"/>
          <w:sz w:val="32"/>
          <w:szCs w:val="32"/>
        </w:rPr>
      </w:pPr>
    </w:p>
    <w:p>
      <w:pPr>
        <w:ind w:firstLine="640" w:firstLineChars="200"/>
        <w:outlineLvl w:val="1"/>
        <w:rPr>
          <w:rFonts w:ascii="仿宋_GB2312" w:eastAsia="仿宋_GB2312" w:cs="方正仿宋_GBK"/>
          <w:sz w:val="32"/>
          <w:szCs w:val="32"/>
        </w:rPr>
      </w:pPr>
    </w:p>
    <w:p>
      <w:pPr>
        <w:ind w:firstLine="640" w:firstLineChars="200"/>
        <w:outlineLvl w:val="1"/>
        <w:rPr>
          <w:rFonts w:ascii="仿宋_GB2312" w:eastAsia="仿宋_GB2312" w:cs="方正仿宋_GBK"/>
          <w:sz w:val="32"/>
          <w:szCs w:val="32"/>
        </w:rPr>
      </w:pPr>
      <w:r>
        <w:rPr>
          <w:rFonts w:hint="eastAsia" w:ascii="仿宋_GB2312" w:eastAsia="仿宋_GB2312" w:cs="方正仿宋_GBK"/>
          <w:sz w:val="32"/>
          <w:szCs w:val="32"/>
        </w:rPr>
        <w:t>财政拨款“三公”经费支出决算表（公开09表）</w:t>
      </w:r>
    </w:p>
    <w:p>
      <w:pPr>
        <w:spacing w:after="0" w:line="240" w:lineRule="auto"/>
        <w:outlineLvl w:val="1"/>
        <w:rPr>
          <w:rFonts w:ascii="仿宋_GB2312" w:eastAsia="仿宋_GB2312"/>
          <w:sz w:val="32"/>
          <w:szCs w:val="32"/>
        </w:rPr>
      </w:pPr>
    </w:p>
    <w:p>
      <w:pPr>
        <w:spacing w:after="0" w:line="240" w:lineRule="auto"/>
        <w:outlineLvl w:val="1"/>
        <w:rPr>
          <w:rFonts w:ascii="仿宋_GB2312" w:eastAsia="仿宋_GB2312"/>
          <w:sz w:val="32"/>
          <w:szCs w:val="32"/>
        </w:rPr>
      </w:pPr>
      <w:bookmarkStart w:id="0" w:name="_GoBack"/>
      <w:r>
        <w:drawing>
          <wp:inline distT="0" distB="0" distL="0" distR="0">
            <wp:extent cx="5760085" cy="3436620"/>
            <wp:effectExtent l="0" t="0" r="12065" b="1143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760085" cy="3436620"/>
                    </a:xfrm>
                    <a:prstGeom prst="rect">
                      <a:avLst/>
                    </a:prstGeom>
                    <a:noFill/>
                    <a:ln>
                      <a:noFill/>
                    </a:ln>
                  </pic:spPr>
                </pic:pic>
              </a:graphicData>
            </a:graphic>
          </wp:inline>
        </w:drawing>
      </w:r>
      <w:bookmarkEnd w:id="0"/>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roman"/>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9655F4"/>
    <w:multiLevelType w:val="multilevel"/>
    <w:tmpl w:val="159655F4"/>
    <w:lvl w:ilvl="0" w:tentative="0">
      <w:start w:val="1"/>
      <w:numFmt w:val="decimal"/>
      <w:suff w:val="nothing"/>
      <w:lvlText w:val="%1."/>
      <w:lvlJc w:val="left"/>
      <w:pPr>
        <w:ind w:firstLine="640" w:firstLineChars="200"/>
      </w:pPr>
    </w:lvl>
    <w:lvl w:ilvl="1" w:tentative="0">
      <w:start w:val="1"/>
      <w:numFmt w:val="decimal"/>
      <w:suff w:val="nothing"/>
      <w:lvlText w:val="%1.%2."/>
      <w:lvlJc w:val="left"/>
      <w:pPr>
        <w:ind w:firstLine="640" w:firstLineChars="200"/>
      </w:pPr>
    </w:lvl>
    <w:lvl w:ilvl="2" w:tentative="0">
      <w:start w:val="1"/>
      <w:numFmt w:val="decimal"/>
      <w:suff w:val="nothing"/>
      <w:lvlText w:val="%1.%2.%3."/>
      <w:lvlJc w:val="left"/>
      <w:pPr>
        <w:ind w:left="0" w:firstLine="0"/>
      </w:p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193E1560"/>
    <w:multiLevelType w:val="multilevel"/>
    <w:tmpl w:val="193E1560"/>
    <w:lvl w:ilvl="0" w:tentative="0">
      <w:start w:val="1"/>
      <w:numFmt w:val="decimal"/>
      <w:suff w:val="nothing"/>
      <w:lvlText w:val="%1."/>
      <w:lvlJc w:val="left"/>
      <w:pPr>
        <w:ind w:firstLine="640" w:firstLineChars="200"/>
      </w:pPr>
    </w:lvl>
    <w:lvl w:ilvl="1" w:tentative="0">
      <w:start w:val="1"/>
      <w:numFmt w:val="decimal"/>
      <w:suff w:val="nothing"/>
      <w:lvlText w:val="%1.%2."/>
      <w:lvlJc w:val="left"/>
      <w:pPr>
        <w:ind w:firstLine="640" w:firstLineChars="200"/>
      </w:pPr>
    </w:lvl>
    <w:lvl w:ilvl="2" w:tentative="0">
      <w:start w:val="1"/>
      <w:numFmt w:val="decimal"/>
      <w:suff w:val="nothing"/>
      <w:lvlText w:val="%1.%2.%3."/>
      <w:lvlJc w:val="left"/>
      <w:pPr>
        <w:ind w:left="0" w:firstLine="0"/>
      </w:p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120A"/>
    <w:rsid w:val="000152DE"/>
    <w:rsid w:val="00024580"/>
    <w:rsid w:val="00030554"/>
    <w:rsid w:val="00037D10"/>
    <w:rsid w:val="000D285B"/>
    <w:rsid w:val="00153C7C"/>
    <w:rsid w:val="00181CF8"/>
    <w:rsid w:val="00194A3A"/>
    <w:rsid w:val="00196D5B"/>
    <w:rsid w:val="001C600F"/>
    <w:rsid w:val="001D075D"/>
    <w:rsid w:val="001F0F47"/>
    <w:rsid w:val="001F2727"/>
    <w:rsid w:val="001F4EAA"/>
    <w:rsid w:val="002077F5"/>
    <w:rsid w:val="00234632"/>
    <w:rsid w:val="00242344"/>
    <w:rsid w:val="0027107E"/>
    <w:rsid w:val="002B37E7"/>
    <w:rsid w:val="00324163"/>
    <w:rsid w:val="003361BF"/>
    <w:rsid w:val="00347AE5"/>
    <w:rsid w:val="003638B6"/>
    <w:rsid w:val="003A3CD6"/>
    <w:rsid w:val="003C72AA"/>
    <w:rsid w:val="003D120A"/>
    <w:rsid w:val="003E2895"/>
    <w:rsid w:val="003F65B7"/>
    <w:rsid w:val="00437D94"/>
    <w:rsid w:val="00472A83"/>
    <w:rsid w:val="004859A1"/>
    <w:rsid w:val="004F10AD"/>
    <w:rsid w:val="004F1186"/>
    <w:rsid w:val="00564425"/>
    <w:rsid w:val="005816C8"/>
    <w:rsid w:val="005B6BDE"/>
    <w:rsid w:val="00666711"/>
    <w:rsid w:val="00681139"/>
    <w:rsid w:val="006D1FCA"/>
    <w:rsid w:val="006D462D"/>
    <w:rsid w:val="00700168"/>
    <w:rsid w:val="00705CC7"/>
    <w:rsid w:val="007175D2"/>
    <w:rsid w:val="00732059"/>
    <w:rsid w:val="0073521D"/>
    <w:rsid w:val="00766E9E"/>
    <w:rsid w:val="0077673D"/>
    <w:rsid w:val="007D30CC"/>
    <w:rsid w:val="00812F4D"/>
    <w:rsid w:val="00862CE0"/>
    <w:rsid w:val="00866D29"/>
    <w:rsid w:val="008E2E7A"/>
    <w:rsid w:val="00903B6B"/>
    <w:rsid w:val="0091030E"/>
    <w:rsid w:val="00913F90"/>
    <w:rsid w:val="009461BA"/>
    <w:rsid w:val="00953F88"/>
    <w:rsid w:val="00981575"/>
    <w:rsid w:val="009A5345"/>
    <w:rsid w:val="009B01FB"/>
    <w:rsid w:val="009D1BB3"/>
    <w:rsid w:val="009D7155"/>
    <w:rsid w:val="009E61E6"/>
    <w:rsid w:val="00A36E21"/>
    <w:rsid w:val="00A753BC"/>
    <w:rsid w:val="00A808E0"/>
    <w:rsid w:val="00A90413"/>
    <w:rsid w:val="00A95885"/>
    <w:rsid w:val="00AC050C"/>
    <w:rsid w:val="00AE446F"/>
    <w:rsid w:val="00AF3777"/>
    <w:rsid w:val="00AF3CD3"/>
    <w:rsid w:val="00B30667"/>
    <w:rsid w:val="00B50DDC"/>
    <w:rsid w:val="00B80A70"/>
    <w:rsid w:val="00B83A2A"/>
    <w:rsid w:val="00BA5CC4"/>
    <w:rsid w:val="00BC47CF"/>
    <w:rsid w:val="00BE6CF2"/>
    <w:rsid w:val="00BE7D9E"/>
    <w:rsid w:val="00C20DDD"/>
    <w:rsid w:val="00C4230E"/>
    <w:rsid w:val="00C62C8C"/>
    <w:rsid w:val="00CC4238"/>
    <w:rsid w:val="00CD7863"/>
    <w:rsid w:val="00CE1224"/>
    <w:rsid w:val="00D21EBE"/>
    <w:rsid w:val="00D34959"/>
    <w:rsid w:val="00D675F3"/>
    <w:rsid w:val="00D915A4"/>
    <w:rsid w:val="00D95A9B"/>
    <w:rsid w:val="00DA7CEC"/>
    <w:rsid w:val="00DC0843"/>
    <w:rsid w:val="00DD5310"/>
    <w:rsid w:val="00DE49B4"/>
    <w:rsid w:val="00E13772"/>
    <w:rsid w:val="00E14E48"/>
    <w:rsid w:val="00E21B2C"/>
    <w:rsid w:val="00E574D3"/>
    <w:rsid w:val="00F03039"/>
    <w:rsid w:val="00F2139C"/>
    <w:rsid w:val="00F26212"/>
    <w:rsid w:val="00F5717F"/>
    <w:rsid w:val="00F84560"/>
    <w:rsid w:val="00F93E3D"/>
    <w:rsid w:val="00FA68C1"/>
    <w:rsid w:val="00FA7182"/>
    <w:rsid w:val="00FD08BF"/>
    <w:rsid w:val="00FD2277"/>
    <w:rsid w:val="00FE1251"/>
    <w:rsid w:val="322812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2E75B6"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5B9BD5" w:themeColor="accent1"/>
      <w:sz w:val="26"/>
      <w:szCs w:val="26"/>
      <w14:textFill>
        <w14:solidFill>
          <w14:schemeClr w14:val="accent1"/>
        </w14:solidFill>
      </w14:textFill>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5B9BD5" w:themeColor="accent1"/>
      <w14:textFill>
        <w14:solidFill>
          <w14:schemeClr w14:val="accent1"/>
        </w14:solidFill>
      </w14:textFill>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5B9BD5" w:themeColor="accent1"/>
      <w14:textFill>
        <w14:solidFill>
          <w14:schemeClr w14:val="accent1"/>
        </w14:solidFill>
      </w14:textFill>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uiPriority w:val="99"/>
    <w:pPr>
      <w:ind w:left="720"/>
    </w:pPr>
  </w:style>
  <w:style w:type="paragraph" w:styleId="7">
    <w:name w:val="caption"/>
    <w:basedOn w:val="1"/>
    <w:next w:val="1"/>
    <w:semiHidden/>
    <w:unhideWhenUsed/>
    <w:qFormat/>
    <w:uiPriority w:val="35"/>
    <w:pPr>
      <w:spacing w:line="240" w:lineRule="auto"/>
    </w:pPr>
    <w:rPr>
      <w:b/>
      <w:bCs/>
      <w:color w:val="5B9BD5" w:themeColor="accent1"/>
      <w:sz w:val="18"/>
      <w:szCs w:val="18"/>
      <w14:textFill>
        <w14:solidFill>
          <w14:schemeClr w14:val="accent1"/>
        </w14:solidFill>
      </w14:textFill>
    </w:rPr>
  </w:style>
  <w:style w:type="paragraph" w:styleId="8">
    <w:name w:val="header"/>
    <w:basedOn w:val="1"/>
    <w:link w:val="16"/>
    <w:unhideWhenUsed/>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5B9BD5" w:themeColor="accent1"/>
      <w:spacing w:val="15"/>
      <w:sz w:val="24"/>
      <w:szCs w:val="24"/>
      <w14:textFill>
        <w14:solidFill>
          <w14:schemeClr w14:val="accent1"/>
        </w14:solidFill>
      </w14:textFill>
    </w:rPr>
  </w:style>
  <w:style w:type="paragraph" w:styleId="10">
    <w:name w:val="Title"/>
    <w:basedOn w:val="1"/>
    <w:next w:val="1"/>
    <w:link w:val="22"/>
    <w:qFormat/>
    <w:uiPriority w:val="10"/>
    <w:pPr>
      <w:pBdr>
        <w:bottom w:val="single" w:color="5B9BD5" w:themeColor="accent1" w:sz="8" w:space="4"/>
      </w:pBdr>
      <w:spacing w:after="300"/>
      <w:contextualSpacing/>
    </w:pPr>
    <w:rPr>
      <w:rFonts w:asciiTheme="majorHAnsi" w:hAnsiTheme="majorHAnsi" w:eastAsiaTheme="majorEastAsia" w:cstheme="majorBidi"/>
      <w:color w:val="333F50" w:themeColor="text2" w:themeShade="BF"/>
      <w:spacing w:val="5"/>
      <w:kern w:val="28"/>
      <w:sz w:val="52"/>
      <w:szCs w:val="52"/>
    </w:rPr>
  </w:style>
  <w:style w:type="table" w:styleId="12">
    <w:name w:val="Table Grid"/>
    <w:basedOn w:val="11"/>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4">
    <w:name w:val="Emphasis"/>
    <w:basedOn w:val="13"/>
    <w:qFormat/>
    <w:uiPriority w:val="20"/>
    <w:rPr>
      <w:i/>
      <w:iCs/>
    </w:rPr>
  </w:style>
  <w:style w:type="character" w:styleId="15">
    <w:name w:val="Hyperlink"/>
    <w:basedOn w:val="13"/>
    <w:unhideWhenUsed/>
    <w:uiPriority w:val="99"/>
    <w:rPr>
      <w:color w:val="0563C1" w:themeColor="hyperlink"/>
      <w:u w:val="single"/>
      <w14:textFill>
        <w14:solidFill>
          <w14:schemeClr w14:val="hlink"/>
        </w14:solidFill>
      </w14:textFill>
    </w:rPr>
  </w:style>
  <w:style w:type="character" w:customStyle="1" w:styleId="16">
    <w:name w:val="页眉 字符"/>
    <w:basedOn w:val="13"/>
    <w:link w:val="8"/>
    <w:uiPriority w:val="99"/>
  </w:style>
  <w:style w:type="character" w:customStyle="1" w:styleId="17">
    <w:name w:val="标题 1 字符"/>
    <w:basedOn w:val="13"/>
    <w:link w:val="2"/>
    <w:uiPriority w:val="9"/>
    <w:rPr>
      <w:rFonts w:asciiTheme="majorHAnsi" w:hAnsiTheme="majorHAnsi" w:eastAsiaTheme="majorEastAsia" w:cstheme="majorBidi"/>
      <w:b/>
      <w:bCs/>
      <w:color w:val="2E75B6" w:themeColor="accent1" w:themeShade="BF"/>
      <w:sz w:val="28"/>
      <w:szCs w:val="28"/>
    </w:rPr>
  </w:style>
  <w:style w:type="character" w:customStyle="1" w:styleId="18">
    <w:name w:val="标题 2 字符"/>
    <w:basedOn w:val="13"/>
    <w:link w:val="3"/>
    <w:uiPriority w:val="9"/>
    <w:rPr>
      <w:rFonts w:asciiTheme="majorHAnsi" w:hAnsiTheme="majorHAnsi" w:eastAsiaTheme="majorEastAsia" w:cstheme="majorBidi"/>
      <w:b/>
      <w:bCs/>
      <w:color w:val="5B9BD5" w:themeColor="accent1"/>
      <w:sz w:val="26"/>
      <w:szCs w:val="26"/>
      <w14:textFill>
        <w14:solidFill>
          <w14:schemeClr w14:val="accent1"/>
        </w14:solidFill>
      </w14:textFill>
    </w:rPr>
  </w:style>
  <w:style w:type="character" w:customStyle="1" w:styleId="19">
    <w:name w:val="标题 3 字符"/>
    <w:basedOn w:val="13"/>
    <w:link w:val="4"/>
    <w:qFormat/>
    <w:uiPriority w:val="9"/>
    <w:rPr>
      <w:rFonts w:asciiTheme="majorHAnsi" w:hAnsiTheme="majorHAnsi" w:eastAsiaTheme="majorEastAsia" w:cstheme="majorBidi"/>
      <w:b/>
      <w:bCs/>
      <w:color w:val="5B9BD5" w:themeColor="accent1"/>
      <w14:textFill>
        <w14:solidFill>
          <w14:schemeClr w14:val="accent1"/>
        </w14:solidFill>
      </w14:textFill>
    </w:rPr>
  </w:style>
  <w:style w:type="character" w:customStyle="1" w:styleId="20">
    <w:name w:val="标题 4 字符"/>
    <w:basedOn w:val="13"/>
    <w:link w:val="5"/>
    <w:uiPriority w:val="9"/>
    <w:rPr>
      <w:rFonts w:asciiTheme="majorHAnsi" w:hAnsiTheme="majorHAnsi" w:eastAsiaTheme="majorEastAsia" w:cstheme="majorBidi"/>
      <w:b/>
      <w:bCs/>
      <w:i/>
      <w:iCs/>
      <w:color w:val="5B9BD5" w:themeColor="accent1"/>
      <w14:textFill>
        <w14:solidFill>
          <w14:schemeClr w14:val="accent1"/>
        </w14:solidFill>
      </w14:textFill>
    </w:rPr>
  </w:style>
  <w:style w:type="character" w:customStyle="1" w:styleId="21">
    <w:name w:val="副标题 字符"/>
    <w:basedOn w:val="13"/>
    <w:link w:val="9"/>
    <w:uiPriority w:val="11"/>
    <w:rPr>
      <w:rFonts w:asciiTheme="majorHAnsi" w:hAnsiTheme="majorHAnsi" w:eastAsiaTheme="majorEastAsia" w:cstheme="majorBidi"/>
      <w:i/>
      <w:iCs/>
      <w:color w:val="5B9BD5" w:themeColor="accent1"/>
      <w:spacing w:val="15"/>
      <w:sz w:val="24"/>
      <w:szCs w:val="24"/>
      <w14:textFill>
        <w14:solidFill>
          <w14:schemeClr w14:val="accent1"/>
        </w14:solidFill>
      </w14:textFill>
    </w:rPr>
  </w:style>
  <w:style w:type="character" w:customStyle="1" w:styleId="22">
    <w:name w:val="标题 字符"/>
    <w:basedOn w:val="13"/>
    <w:link w:val="10"/>
    <w:uiPriority w:val="10"/>
    <w:rPr>
      <w:rFonts w:asciiTheme="majorHAnsi" w:hAnsiTheme="majorHAnsi" w:eastAsiaTheme="majorEastAsia" w:cstheme="majorBidi"/>
      <w:color w:val="333F50" w:themeColor="text2" w:themeShade="BF"/>
      <w:spacing w:val="5"/>
      <w:kern w:val="28"/>
      <w:sz w:val="52"/>
      <w:szCs w:val="52"/>
    </w:rPr>
  </w:style>
  <w:style w:type="paragraph" w:styleId="23">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9.emf"/><Relationship Id="rId13" Type="http://schemas.openxmlformats.org/officeDocument/2006/relationships/image" Target="media/image8.emf"/><Relationship Id="rId12" Type="http://schemas.openxmlformats.org/officeDocument/2006/relationships/image" Target="media/image7.emf"/><Relationship Id="rId11" Type="http://schemas.openxmlformats.org/officeDocument/2006/relationships/image" Target="media/image6.emf"/><Relationship Id="rId10" Type="http://schemas.openxmlformats.org/officeDocument/2006/relationships/image" Target="media/image5.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DoubleOX</Company>
  <Pages>29</Pages>
  <Words>1531</Words>
  <Characters>8731</Characters>
  <Lines>72</Lines>
  <Paragraphs>20</Paragraphs>
  <TotalTime>334</TotalTime>
  <ScaleCrop>false</ScaleCrop>
  <LinksUpToDate>false</LinksUpToDate>
  <CharactersWithSpaces>10242</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2025-08-14T09:42:00Z</dcterms:created>
  <dc:creator>Administrator</dc:creator>
  <cp:lastModifiedBy>lenovo</cp:lastModifiedBy>
  <dcterms:modified xsi:type="dcterms:W3CDTF">2025-08-15T10:57:17Z</dcterms:modified>
  <cp:revision>189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701A9BB7F16A4C21979DAAE604F42E23</vt:lpwstr>
  </property>
</Properties>
</file>