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7"/>
          <w:rFonts w:hint="eastAsia" w:ascii="仿宋" w:hAnsi="仿宋" w:eastAsia="仿宋" w:cs="仿宋"/>
          <w:b w:val="0"/>
          <w:bCs w:val="0"/>
          <w:spacing w:val="-4"/>
          <w:sz w:val="44"/>
          <w:szCs w:val="44"/>
        </w:rPr>
        <w:t>库尔勒市农业技术推广中心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7"/>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（1）贯彻执行国家关于种植业的方针、政策、法律、法规。参与制定全市农业技术推广计划并组织实施。</w:t>
      </w:r>
      <w:r>
        <w:rPr>
          <w:rFonts w:hint="eastAsia" w:ascii="仿宋_GB2312" w:hAnsi="宋体" w:eastAsia="仿宋_GB2312"/>
          <w:bCs/>
          <w:sz w:val="32"/>
          <w:szCs w:val="32"/>
        </w:rPr>
        <w:br w:type="textWrapping"/>
      </w:r>
      <w:r>
        <w:rPr>
          <w:rFonts w:hint="eastAsia" w:ascii="仿宋_GB2312" w:hAnsi="宋体" w:eastAsia="仿宋_GB2312"/>
          <w:bCs/>
          <w:sz w:val="32"/>
          <w:szCs w:val="32"/>
        </w:rPr>
        <w:t>（2）负责农作物重大病虫害、鼠害等生物灾害的监测和预报预警及防控指导实施工作。</w:t>
      </w:r>
      <w:r>
        <w:rPr>
          <w:rFonts w:hint="eastAsia" w:ascii="仿宋_GB2312" w:hAnsi="宋体" w:eastAsia="仿宋_GB2312"/>
          <w:bCs/>
          <w:sz w:val="32"/>
          <w:szCs w:val="32"/>
        </w:rPr>
        <w:br w:type="textWrapping"/>
      </w:r>
      <w:r>
        <w:rPr>
          <w:rFonts w:hint="eastAsia" w:ascii="仿宋_GB2312" w:hAnsi="宋体" w:eastAsia="仿宋_GB2312"/>
          <w:bCs/>
          <w:sz w:val="32"/>
          <w:szCs w:val="32"/>
        </w:rPr>
        <w:t>（3）负责基本农田的保护、质量建设和改造中低产田，配合有关部门做好种植业项目的立项工作，负责开展农用耕地力的调查、评价和监测工作。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（4）组织本行业领域新技术、新品种、新成果的引进、试验、示范和推广工作。</w:t>
      </w:r>
      <w:r>
        <w:rPr>
          <w:rFonts w:hint="eastAsia" w:ascii="仿宋_GB2312" w:hAnsi="宋体" w:eastAsia="仿宋_GB2312"/>
          <w:bCs/>
          <w:sz w:val="32"/>
          <w:szCs w:val="32"/>
        </w:rPr>
        <w:br w:type="textWrapping"/>
      </w:r>
      <w:r>
        <w:rPr>
          <w:rFonts w:hint="eastAsia" w:ascii="仿宋_GB2312" w:hAnsi="宋体" w:eastAsia="仿宋_GB2312"/>
          <w:bCs/>
          <w:sz w:val="32"/>
          <w:szCs w:val="32"/>
        </w:rPr>
        <w:t>（5）组织农业技术的专业培训。</w:t>
      </w:r>
      <w:r>
        <w:rPr>
          <w:rFonts w:hint="eastAsia" w:ascii="仿宋_GB2312" w:hAnsi="宋体" w:eastAsia="仿宋_GB2312"/>
          <w:bCs/>
          <w:sz w:val="32"/>
          <w:szCs w:val="32"/>
        </w:rPr>
        <w:br w:type="textWrapping"/>
      </w:r>
      <w:r>
        <w:rPr>
          <w:rFonts w:hint="eastAsia" w:ascii="仿宋_GB2312" w:hAnsi="宋体" w:eastAsia="仿宋_GB2312"/>
          <w:bCs/>
          <w:sz w:val="32"/>
          <w:szCs w:val="32"/>
        </w:rPr>
        <w:t>（6）负责主管工作范围内的统计、信息、资料档案的管理和服务工作。</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库尔勒市农业技术推广中心属于全额事业单位，内设4个站科室（办公室、作物栽培站、植护（植物检疫）站、土壤肥料站）。</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库尔勒市农业技术推广中心编制数42，实有人数82人 ，其中：在职36人，增加4人，减少1人；退休46人，增加1人；离休0人，增加（减少）0人。</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1.年度总体目标</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目标1：保障库尔勒市农业技术推广中心的正常运转、生活秩序的经费支出。</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目标2：把农业技术服务放在首位，全年开展不少于5次的技术推广培训，提高技术人员及农民的整体素质和能力。</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目标3：加强思想政治建设，打造忠诚干部队伍，不断强化政治定力和担当。</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目标4：通过项目实施,促进长效机制建设。加强技术推广，示范基地建设，全力推进第三次土壤工作，切实完成粮食种植任务，建立健全耕地质量监测网络和肥料使用调查制度,完善耕地质量保护与化肥减量增效的组织方式、服务机制和政策框架。</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一是大力推广测土配方施肥、棉花绿色防控、小麦“一喷三防”等主推技术，确保不少于3项技术的广泛应用。</w:t>
      </w:r>
      <w:r>
        <w:rPr>
          <w:rFonts w:hint="eastAsia" w:ascii="仿宋_GB2312" w:hAnsi="宋体" w:eastAsia="仿宋_GB2312"/>
          <w:bCs/>
          <w:sz w:val="32"/>
          <w:szCs w:val="32"/>
        </w:rPr>
        <w:br w:type="textWrapping"/>
      </w:r>
      <w:r>
        <w:rPr>
          <w:rFonts w:hint="eastAsia" w:ascii="仿宋_GB2312" w:hAnsi="宋体" w:eastAsia="仿宋_GB2312"/>
          <w:bCs/>
          <w:sz w:val="32"/>
          <w:szCs w:val="32"/>
        </w:rPr>
        <w:t>二是加大粮食种植任务落实力度。综合考虑冬灌、整地、水资源状况、种植习惯等因素，提早谋划，加大任务落实力度，不折不扣完成自治州下达的12.9万亩粮食种植任务。</w:t>
      </w:r>
      <w:r>
        <w:rPr>
          <w:rFonts w:hint="eastAsia" w:ascii="仿宋_GB2312" w:hAnsi="宋体" w:eastAsia="仿宋_GB2312"/>
          <w:bCs/>
          <w:sz w:val="32"/>
          <w:szCs w:val="32"/>
        </w:rPr>
        <w:br w:type="textWrapping"/>
      </w:r>
      <w:r>
        <w:rPr>
          <w:rFonts w:hint="eastAsia" w:ascii="仿宋_GB2312" w:hAnsi="宋体" w:eastAsia="仿宋_GB2312"/>
          <w:bCs/>
          <w:sz w:val="32"/>
          <w:szCs w:val="32"/>
        </w:rPr>
        <w:t>三是打造农业科技示范基地2个。集中展示先进的农业技术，开展新技术试验与推广，通过示范引领作用，带动全市农业技术水平的整体提升。</w:t>
      </w:r>
      <w:r>
        <w:rPr>
          <w:rFonts w:hint="eastAsia" w:ascii="仿宋_GB2312" w:hAnsi="宋体" w:eastAsia="仿宋_GB2312"/>
          <w:bCs/>
          <w:sz w:val="32"/>
          <w:szCs w:val="32"/>
        </w:rPr>
        <w:br w:type="textWrapping"/>
      </w:r>
      <w:r>
        <w:rPr>
          <w:rFonts w:hint="eastAsia" w:ascii="仿宋_GB2312" w:hAnsi="宋体" w:eastAsia="仿宋_GB2312"/>
          <w:bCs/>
          <w:sz w:val="32"/>
          <w:szCs w:val="32"/>
        </w:rPr>
        <w:t>四是大力推广测土配方施肥技术。确保粮食作物测土配方施肥覆盖率达到95%以上。</w:t>
      </w:r>
      <w:r>
        <w:rPr>
          <w:rFonts w:hint="eastAsia" w:ascii="仿宋_GB2312" w:hAnsi="宋体" w:eastAsia="仿宋_GB2312"/>
          <w:bCs/>
          <w:sz w:val="32"/>
          <w:szCs w:val="32"/>
        </w:rPr>
        <w:br w:type="textWrapping"/>
      </w:r>
      <w:r>
        <w:rPr>
          <w:rFonts w:hint="eastAsia" w:ascii="仿宋_GB2312" w:hAnsi="宋体" w:eastAsia="仿宋_GB2312"/>
          <w:bCs/>
          <w:sz w:val="32"/>
          <w:szCs w:val="32"/>
        </w:rPr>
        <w:t>五是开展现场培训会、观摩会等不少于5场次。通过实地演示、专家讲解和互动交流，向农户传授先进种植技术，促进农业增效、农民增收。</w:t>
      </w:r>
      <w:r>
        <w:rPr>
          <w:rFonts w:hint="eastAsia" w:ascii="仿宋_GB2312" w:hAnsi="宋体" w:eastAsia="仿宋_GB2312"/>
          <w:bCs/>
          <w:sz w:val="32"/>
          <w:szCs w:val="32"/>
        </w:rPr>
        <w:br w:type="textWrapping"/>
      </w:r>
      <w:r>
        <w:rPr>
          <w:rFonts w:hint="eastAsia" w:ascii="仿宋_GB2312" w:hAnsi="宋体" w:eastAsia="仿宋_GB2312"/>
          <w:bCs/>
          <w:sz w:val="32"/>
          <w:szCs w:val="32"/>
        </w:rPr>
        <w:t>六是开展耕地质量监测，确保调查监测点数量不少于16个，全面掌握土壤肥力、生态环境等变化情况，为科学施肥和耕地保护提供数据支持。</w:t>
      </w:r>
      <w:r>
        <w:rPr>
          <w:rFonts w:hint="eastAsia" w:ascii="仿宋_GB2312" w:hAnsi="宋体" w:eastAsia="仿宋_GB2312"/>
          <w:bCs/>
          <w:sz w:val="32"/>
          <w:szCs w:val="32"/>
        </w:rPr>
        <w:br w:type="textWrapping"/>
      </w:r>
      <w:r>
        <w:rPr>
          <w:rFonts w:hint="eastAsia" w:ascii="仿宋_GB2312" w:hAnsi="宋体" w:eastAsia="仿宋_GB2312"/>
          <w:bCs/>
          <w:sz w:val="32"/>
          <w:szCs w:val="32"/>
        </w:rPr>
        <w:t>七是高质量完成第三次土壤普查任务，确保表层样品化验数量达到1277个，精准分析土壤养分与质地，为优化种植结构和提升耕地质量提供科学依据。</w:t>
      </w:r>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库尔勒市农业技术推广中心单位年初预算安排845.45万元，其中财政拨款845.45万元，其他资金0.00万元，主要用于农业新技术试验示范推广、农业技术培训指导、推广设备购置维护、农作物品种引进改良、第三次土壤普查等工作，涵盖粮食作物与经济作物种植技术普及、新型农业经营主体技术服务等范围。年中调整330.01万元，调整后全年预算1175.46万元，预算调整率39.03%，调整预算的主要原因为年中追加农业技术推广项目、第三次土壤普查任务。</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坚持围绕中心工作，科学谋划预算资金安排，依据规定程序和要求，及时完成单位预算编制申报，同时合理设定入库项目绩效指标、年度目标值，科学构建单位整体支出核心绩效指标体系和编报单位整体预算申请绩效报告，推动提高财政资金配置效益。</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单位审核和自评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2024年基本支出633.25万元，包括工资福利支出560. 40万元，商品和服务支出34.45万元，对个人和家庭的补助38.40万元，资本性支出0.00万元。其中：“三公”经费支出5.70万元，比上年增加0.00万元，主要原因是与上年一致无变动；会议费支出0.00万元，比上年增加0.00万元，主要原因是单位本年未安排会议费；培训费支出3.23万元，比上年增加0.22万元，主要原因是本年加大培训次数。</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2024年专项项目支出542.21万元，占总支出的46.13％，主要用于1. 2024年自治区农业生产发展资金耕地质量监测点0.55万元，2.2023年中央农业经营主体能力提升资金预算的通知-农技推广体系项目75.44万，3.支农专项-第三次土壤普查经费20万元，4.2024年中央农业经营主体能力提升-基层农技推广体系改革与建设项目67.72万，5.2024年库尔勒市第三次全国土壤普查工作市级配套资金281.1万元，6.2024年中央耕地建设与利用资金预算的通知-化肥减量7.4万、三次土壤普查75万，7.2024年自治区驻村工作专项经费15万。</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自治区农业生产发展资金耕地质量监测点专项、中央农业经营主体能力提升专项资金、支农专项-第三次土壤普查经费、中央农业经营主体能力提升专项、库尔勒市第三次全国土壤普查工作市级配套资金、中央耕地建设与利用资金预算专项、自治区驻村工作专项经费等7个专项工作计划，对项目的工作分工、任务分配、资金落实、完成时限等提出了明确、具体的要求，以确保项目保质、保量、按时完成。截至2024年12月31日，完成专项7个，未完成专项0个。</w:t>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为规范专项资金使用，提高专项资金使用效益，我单位主要采取四项措施。一是制订专项资金管理制度；二是制定了项目实施方案；三是认真组织项目验收。切实保证专项资金都做到了专款专用。</w:t>
      </w:r>
      <w:r>
        <w:rPr>
          <w:rFonts w:hint="eastAsia" w:ascii="仿宋_GB2312" w:hAnsi="宋体" w:eastAsia="仿宋_GB2312"/>
          <w:bCs/>
          <w:sz w:val="32"/>
          <w:szCs w:val="32"/>
        </w:rPr>
        <w:br w:type="textWrapping"/>
      </w:r>
      <w:r>
        <w:rPr>
          <w:rFonts w:hint="eastAsia" w:ascii="仿宋_GB2312" w:hAnsi="宋体" w:eastAsia="仿宋_GB2312"/>
          <w:bCs/>
          <w:sz w:val="32"/>
          <w:szCs w:val="32"/>
        </w:rPr>
        <w:t>（1）各项资金使用审批流程均按规定办理。涉及“三重一大”内容，严格按照规定提请局党组会审议决定，包括项目资金分配、重大项目确定、大额资金支付等。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br w:type="textWrapping"/>
      </w:r>
      <w:r>
        <w:rPr>
          <w:rFonts w:hint="eastAsia" w:ascii="仿宋_GB2312" w:hAnsi="宋体" w:eastAsia="仿宋_GB2312"/>
          <w:bCs/>
          <w:sz w:val="32"/>
          <w:szCs w:val="32"/>
        </w:rPr>
        <w:t>（2）制定了库尔勒市自治区耕地质量监测、基层农技推广体系建设与改革、库尔勒市化肥减量及耕地质量监测与评价等4个项目实施方案，确保项目如期完成，保障了实施效果。</w:t>
      </w:r>
      <w:r>
        <w:rPr>
          <w:rFonts w:hint="eastAsia" w:ascii="仿宋_GB2312" w:hAnsi="宋体" w:eastAsia="仿宋_GB2312"/>
          <w:bCs/>
          <w:sz w:val="32"/>
          <w:szCs w:val="32"/>
        </w:rPr>
        <w:br w:type="textWrapping"/>
      </w:r>
      <w:r>
        <w:rPr>
          <w:rFonts w:hint="eastAsia" w:ascii="仿宋_GB2312" w:hAnsi="宋体" w:eastAsia="仿宋_GB2312"/>
          <w:bCs/>
          <w:sz w:val="32"/>
          <w:szCs w:val="32"/>
        </w:rPr>
        <w:t>（3）目前，部分项目无需验收。仅有支农专项-第三次土壤普查和库尔勒市第三次全国土壤普查项目将在2025年开展验收工作。</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仿宋_GB2312" w:hAnsi="宋体" w:eastAsia="仿宋_GB2312"/>
          <w:bCs/>
          <w:sz w:val="32"/>
          <w:szCs w:val="32"/>
        </w:rPr>
        <w:t>（一）预算执行情况分析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技术推广中心单位总支出1175.46万元，预算执行率100%，其中事业运行支出633.25万元，农业生产发展支出95.99万元，农村合作经济支出67.72万元，农业生态资源保护支出281.1万元，耕地建设与利用支出82.40万元，其他支出15万元。</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2024年，库尔勒市农业技术推广中心单位基本支出633.25万元，占总支出的53.87％，其中事业运行支出633.25万元。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技术推广中心单位项目支出542.21万元，占总支出的46.13％。其中：农业生产发展支出95.99万元,农村合作经济支出67.72万元，农业生态资源保护支出281.10万元，耕地建设与利用支出82.40万元，其他支出15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年初我单位设置部门整体绩效目标中包括一级指标1个二级指标1个，三级指标7个，指标完成情况分析如下：</w:t>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 无</w:t>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 无</w:t>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 无</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br w:type="textWrapping"/>
      </w:r>
      <w:r>
        <w:rPr>
          <w:rFonts w:hint="eastAsia" w:ascii="仿宋_GB2312" w:hAnsi="宋体" w:eastAsia="仿宋_GB2312"/>
          <w:bCs/>
          <w:sz w:val="32"/>
          <w:szCs w:val="32"/>
        </w:rPr>
        <w:t>指标1：推广测土配方施肥、棉花农药减量增效等技术数量，指标值：&gt;=3项，年中监控完成值：2项，自评完成值：4项，指标完成率133%，偏差33%，偏差原因：因前期技术推广规划执行不到位，资源调配不足；后期通过加大技术推广力度、优化工作流程，实现超额完成，改进措施：强化技术推广全程管理，定期复盘推广进度；加强农技人员培训，提升推广能力；建立多元宣传渠道，提高农户对技术的接受度，指标成效分析：通过测土配方施肥、棉花农药减量增效等技术推广，优化作物施肥和打药方案，提高肥料及农药的利用率，减少化肥施用量、减少农药滥用，降低农业面源污染，实现农业投入品“减量增效”，助力农业绿色可持续发展。</w:t>
      </w:r>
      <w:r>
        <w:rPr>
          <w:rFonts w:hint="eastAsia" w:ascii="仿宋_GB2312" w:hAnsi="宋体" w:eastAsia="仿宋_GB2312"/>
          <w:bCs/>
          <w:sz w:val="32"/>
          <w:szCs w:val="32"/>
        </w:rPr>
        <w:br w:type="textWrapping"/>
      </w:r>
      <w:r>
        <w:rPr>
          <w:rFonts w:hint="eastAsia" w:ascii="仿宋_GB2312" w:hAnsi="宋体" w:eastAsia="仿宋_GB2312"/>
          <w:bCs/>
          <w:sz w:val="32"/>
          <w:szCs w:val="32"/>
        </w:rPr>
        <w:t>指标2：完成小麦、籽粒玉米等粮食作物的种植面积，指标值：&gt;=12.90万亩，年中监控完成值：12.90万亩，自评完成值：14.06万亩，指标完成率108.99 %，偏差8.99%，偏差原因：在粮食任务落实过程中，通过各种措施加大对农户的动员，农户种粮积极性大幅提高，以致于超额完成粮食任务，改进措施：在落实粮食任务中，加强前期调研和摸底，精准落实自治州下发的粮食任务。指标成效分析：有效提升了粮食作物种植面积完成量，达到超额完成粮食种植任务指标的效果，切实保障了区域粮食生产规模，提升粮食安全保障能力。</w:t>
      </w:r>
      <w:r>
        <w:rPr>
          <w:rFonts w:hint="eastAsia" w:ascii="仿宋_GB2312" w:hAnsi="宋体" w:eastAsia="仿宋_GB2312"/>
          <w:bCs/>
          <w:sz w:val="32"/>
          <w:szCs w:val="32"/>
        </w:rPr>
        <w:br w:type="textWrapping"/>
      </w:r>
      <w:r>
        <w:rPr>
          <w:rFonts w:hint="eastAsia" w:ascii="仿宋_GB2312" w:hAnsi="宋体" w:eastAsia="仿宋_GB2312"/>
          <w:bCs/>
          <w:sz w:val="32"/>
          <w:szCs w:val="32"/>
        </w:rPr>
        <w:t>指标3：建立示范基地数量，指标值：&gt;=2个 ，年中监控完成值：2个，自评完成值：2个，指标完成率100%，偏差0.00%。指标成效分析：示范基地的建立发挥了示范引领作用，为相关工作提供实践范本，助力经验沉淀与推广应用，有效推动整体工作的规范化开展，实现了预期建设目标与价值。</w:t>
      </w:r>
      <w:r>
        <w:rPr>
          <w:rFonts w:hint="eastAsia" w:ascii="仿宋_GB2312" w:hAnsi="宋体" w:eastAsia="仿宋_GB2312"/>
          <w:bCs/>
          <w:sz w:val="32"/>
          <w:szCs w:val="32"/>
        </w:rPr>
        <w:br w:type="textWrapping"/>
      </w:r>
      <w:r>
        <w:rPr>
          <w:rFonts w:hint="eastAsia" w:ascii="仿宋_GB2312" w:hAnsi="宋体" w:eastAsia="仿宋_GB2312"/>
          <w:bCs/>
          <w:sz w:val="32"/>
          <w:szCs w:val="32"/>
        </w:rPr>
        <w:t>指标4：粮食作物测土配方施肥覆盖率，指标值：&gt;=95%，年中监控完成值：75%，自评完成值：95.03%，指标完成率100.03%，偏差0.03%。偏差原因：工作推进效率不足，施肥技术推广覆盖进度滞后，后期通过加大技术指导力度、扩大宣传覆盖面等方式追赶进度。改进措施：强化测土配方施肥技术推广体系，组织专业团队深入田间指导，利用线上线下结合模式提升农户参与度，确保施肥技术落地。指标成效分析：达成粮食作物测土配方施肥覆盖率目标，推动科学施肥普及，提升粮食作物养分利用率，助力粮食增产提质，保障农业生产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指标5：开展现场培训会、观摩会、培训科技示范户、农户场次，指标值：&gt;=5场次，年中监控完成值：3场次，自评完成值：5场次，指标完成率100%，偏差0.00%。指标成效分析：通过现场培训会、观摩会等活动，提升科技示范户与农户技术应用能力，促进农业技术推广，增强农户实践操作水平，助力农业技术普及。</w:t>
      </w:r>
      <w:r>
        <w:rPr>
          <w:rFonts w:hint="eastAsia" w:ascii="仿宋_GB2312" w:hAnsi="宋体" w:eastAsia="仿宋_GB2312"/>
          <w:bCs/>
          <w:sz w:val="32"/>
          <w:szCs w:val="32"/>
        </w:rPr>
        <w:br w:type="textWrapping"/>
      </w:r>
      <w:r>
        <w:rPr>
          <w:rFonts w:hint="eastAsia" w:ascii="仿宋_GB2312" w:hAnsi="宋体" w:eastAsia="仿宋_GB2312"/>
          <w:bCs/>
          <w:sz w:val="32"/>
          <w:szCs w:val="32"/>
        </w:rPr>
        <w:t>指标6：调查耕地质量监测点数量，指标值：&gt;=16个，年中监控完成值：11个，自评完成值：16个，指标完成率100%，偏差0.00%。指标成效分析：完成耕地质量监测点数量目标，为耕地质量长期监测提供数据支撑，助力耕地质量保护与提升，保障农业可持续发展。</w:t>
      </w:r>
      <w:r>
        <w:rPr>
          <w:rFonts w:hint="eastAsia" w:ascii="仿宋_GB2312" w:hAnsi="宋体" w:eastAsia="仿宋_GB2312"/>
          <w:bCs/>
          <w:sz w:val="32"/>
          <w:szCs w:val="32"/>
        </w:rPr>
        <w:br w:type="textWrapping"/>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指标7：完成第三次土壤普查表层样品化验数量，指标值：=1277个，年中监控完成值：300个，自评完成值：1277个，指标完成率100%，偏差0.00%。指标成效分析：完成土壤普查表层样品化验目标，获取土壤基础数据，为土壤肥力评估、耕地质量改良提供科学依据，支撑农业精准化管理。</w:t>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  无</w:t>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  无</w:t>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  无</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存在的主要问题及原因分析：</w:t>
      </w:r>
    </w:p>
    <w:p>
      <w:pPr>
        <w:numPr>
          <w:ilvl w:val="0"/>
          <w:numId w:val="2"/>
        </w:num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绩效指标设置不够明确</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我单位绩效管理机制不完善，绩效目标设定科学性欠缺等问题，部分指标值未结合实际需求精准量化，指标设置的科学性、合理性有待进一步提高。</w:t>
      </w:r>
    </w:p>
    <w:p>
      <w:pPr>
        <w:numPr>
          <w:ilvl w:val="0"/>
          <w:numId w:val="2"/>
        </w:num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资金使用效益待提升</w:t>
      </w:r>
      <w:r>
        <w:rPr>
          <w:rFonts w:hint="eastAsia" w:ascii="仿宋_GB2312" w:hAnsi="宋体" w:eastAsia="仿宋_GB2312"/>
          <w:bCs/>
          <w:sz w:val="32"/>
          <w:szCs w:val="32"/>
        </w:rPr>
        <w:br w:type="textWrapping"/>
      </w:r>
      <w:r>
        <w:rPr>
          <w:rFonts w:hint="eastAsia" w:ascii="仿宋_GB2312" w:hAnsi="宋体" w:eastAsia="仿宋_GB2312"/>
          <w:bCs/>
          <w:sz w:val="32"/>
          <w:szCs w:val="32"/>
        </w:rPr>
        <w:t>部分项目方案制定和资金分配不合理，如示范基地建设中设备采购与技术推广资金不均衡，出现设备闲置或推广经费短缺；部分项目资金到位晚，影响项目整体进度等问题。</w:t>
      </w:r>
    </w:p>
    <w:p>
      <w:pPr>
        <w:numPr>
          <w:ilvl w:val="0"/>
          <w:numId w:val="2"/>
        </w:num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项目实施工作存在薄弱环节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项目实施过程中部分农户对新技术、新产品的接受和认可度不高，影响项目实施效果。</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改进措施和建议：</w:t>
      </w:r>
    </w:p>
    <w:p>
      <w:pPr>
        <w:numPr>
          <w:ilvl w:val="0"/>
          <w:numId w:val="3"/>
        </w:num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强化单位绩效管理体系建设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科室对单位中长期规划的重视程度，增强相关规划的落地性、导向性。三是建立进度跟踪机制，并做好项目实施监控工作，定期对比目标与实际值，发现偏差及时调整，整合多方资源联合科研院校、企业共建技术推广平台，共享人才、设备、成果，提高项目实施人员的业务水平，保障项目顺利完成。</w:t>
      </w:r>
    </w:p>
    <w:p>
      <w:pPr>
        <w:numPr>
          <w:ilvl w:val="0"/>
          <w:numId w:val="3"/>
        </w:num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优化资金管理制度，确保项目有序实施。</w:t>
      </w:r>
      <w:r>
        <w:rPr>
          <w:rFonts w:hint="eastAsia" w:ascii="仿宋_GB2312" w:hAnsi="宋体" w:eastAsia="仿宋_GB2312"/>
          <w:bCs/>
          <w:sz w:val="32"/>
          <w:szCs w:val="32"/>
        </w:rPr>
        <w:br w:type="textWrapping"/>
      </w:r>
      <w:r>
        <w:rPr>
          <w:rFonts w:hint="eastAsia" w:ascii="仿宋_GB2312" w:hAnsi="宋体" w:eastAsia="仿宋_GB2312"/>
          <w:bCs/>
          <w:sz w:val="32"/>
          <w:szCs w:val="32"/>
        </w:rPr>
        <w:t>在制定方案之前，做好相关项目调研工作，制定合理可行的项目实施方案和资金使用用途；加强与上级业务部门的沟通和对接，及时掌握项目相关要求，提前制定项目实施方案和资金分配制度计划，加强项目实施前的调研工作，科学合理制定项目实施方案，确保项目有序实施。</w:t>
      </w:r>
    </w:p>
    <w:p>
      <w:pPr>
        <w:numPr>
          <w:ilvl w:val="0"/>
          <w:numId w:val="3"/>
        </w:num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建立新技术推广主动性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加强新技术、新产品等技术的宣传培训，提高农户的科学种田水平；建立新产品、新技术的试验示范，强化示范引领，并建立“跟踪服务”机制，做好示范区农户的技术服务工作，进一步提高项目的实施效果。及时组织项目实施人员参加上级组织的各类培训，覆盖资金管理、绩效评价、新技术等内容；引进绩效管理系统、及时准确的做好项目实施过程的监控工作，确保保质保量的完成。</w:t>
      </w:r>
    </w:p>
    <w:p>
      <w:pPr>
        <w:pStyle w:val="10"/>
        <w:numPr>
          <w:ilvl w:val="0"/>
          <w:numId w:val="1"/>
        </w:numPr>
        <w:snapToGrid w:val="0"/>
        <w:spacing w:line="560" w:lineRule="exact"/>
        <w:ind w:left="1368" w:leftChars="0" w:hanging="720" w:firstLineChars="0"/>
        <w:outlineLvl w:val="0"/>
        <w:rPr>
          <w:rFonts w:hint="eastAsia" w:ascii="黑体" w:hAnsi="黑体" w:eastAsia="黑体" w:cs="宋体"/>
          <w:b/>
          <w:color w:val="000000" w:themeColor="text1"/>
          <w:kern w:val="2"/>
          <w:sz w:val="32"/>
          <w:szCs w:val="32"/>
          <w:lang w:val="en-US" w:eastAsia="zh-CN" w:bidi="ar-SA"/>
        </w:rPr>
      </w:pPr>
      <w:bookmarkStart w:id="1" w:name="_Toc26203"/>
      <w:r>
        <w:rPr>
          <w:rFonts w:hint="eastAsia" w:ascii="黑体" w:hAnsi="黑体" w:eastAsia="黑体" w:cs="宋体"/>
          <w:b/>
          <w:color w:val="000000" w:themeColor="text1"/>
          <w:kern w:val="2"/>
          <w:sz w:val="32"/>
          <w:szCs w:val="32"/>
          <w:lang w:val="en-US" w:eastAsia="zh-CN" w:bidi="ar-SA"/>
        </w:rPr>
        <w:t>附表：《部门整体支出绩效目标自评表》</w:t>
      </w:r>
      <w:bookmarkEnd w:id="1"/>
    </w:p>
    <w:tbl>
      <w:tblPr>
        <w:tblStyle w:val="5"/>
        <w:tblW w:w="5000" w:type="pct"/>
        <w:tblInd w:w="0" w:type="dxa"/>
        <w:tblLayout w:type="autofit"/>
        <w:tblCellMar>
          <w:top w:w="0" w:type="dxa"/>
          <w:left w:w="108" w:type="dxa"/>
          <w:bottom w:w="0" w:type="dxa"/>
          <w:right w:w="108" w:type="dxa"/>
        </w:tblCellMar>
      </w:tblPr>
      <w:tblGrid>
        <w:gridCol w:w="1579"/>
        <w:gridCol w:w="1190"/>
        <w:gridCol w:w="1162"/>
        <w:gridCol w:w="989"/>
        <w:gridCol w:w="989"/>
        <w:gridCol w:w="751"/>
        <w:gridCol w:w="886"/>
        <w:gridCol w:w="2416"/>
      </w:tblGrid>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ascii="华文中宋" w:hAnsi="华文中宋" w:eastAsia="华文中宋" w:cs="华文中宋"/>
                <w:b/>
                <w:bCs/>
                <w:color w:val="000000"/>
                <w:sz w:val="40"/>
                <w:szCs w:val="40"/>
              </w:rPr>
            </w:pPr>
            <w:r>
              <w:rPr>
                <w:rFonts w:hint="eastAsia" w:ascii="宋体" w:hAnsi="宋体" w:eastAsia="宋体" w:cs="宋体"/>
                <w:b/>
                <w:bCs/>
                <w:i w:val="0"/>
                <w:iCs w:val="0"/>
                <w:color w:val="000000"/>
                <w:kern w:val="0"/>
                <w:sz w:val="22"/>
                <w:szCs w:val="22"/>
                <w:u w:val="none"/>
                <w:lang w:val="en-US" w:eastAsia="zh-CN" w:bidi="ar"/>
              </w:rPr>
              <w:t>部门（单位）整体支出绩效目标自评表</w:t>
            </w:r>
          </w:p>
        </w:tc>
      </w:tr>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cs="宋体"/>
                <w:b/>
                <w:bCs/>
                <w:color w:val="000000"/>
                <w:sz w:val="24"/>
              </w:rPr>
            </w:pPr>
            <w:r>
              <w:rPr>
                <w:rFonts w:hint="eastAsia" w:ascii="宋体" w:hAnsi="宋体" w:eastAsia="宋体" w:cs="宋体"/>
                <w:b/>
                <w:bCs/>
                <w:i w:val="0"/>
                <w:iCs w:val="0"/>
                <w:color w:val="000000"/>
                <w:kern w:val="0"/>
                <w:sz w:val="22"/>
                <w:szCs w:val="22"/>
                <w:u w:val="none"/>
                <w:lang w:val="en-US" w:eastAsia="zh-CN" w:bidi="ar"/>
              </w:rPr>
              <w:t>（2024年）</w:t>
            </w:r>
          </w:p>
        </w:tc>
      </w:tr>
      <w:tr>
        <w:tblPrEx>
          <w:tblCellMar>
            <w:top w:w="0" w:type="dxa"/>
            <w:left w:w="108" w:type="dxa"/>
            <w:bottom w:w="0" w:type="dxa"/>
            <w:right w:w="108" w:type="dxa"/>
          </w:tblCellMar>
        </w:tblPrEx>
        <w:trPr>
          <w:trHeight w:val="680" w:hRule="atLeast"/>
        </w:trPr>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部门（单位）名称</w:t>
            </w:r>
          </w:p>
        </w:tc>
        <w:tc>
          <w:tcPr>
            <w:tcW w:w="716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22"/>
                <w:szCs w:val="22"/>
                <w:u w:val="none"/>
                <w:lang w:val="en-US" w:eastAsia="zh-CN" w:bidi="ar"/>
              </w:rPr>
              <w:t>库尔勒市农业技术推广中心</w:t>
            </w:r>
          </w:p>
        </w:tc>
      </w:tr>
      <w:tr>
        <w:tblPrEx>
          <w:tblCellMar>
            <w:top w:w="0" w:type="dxa"/>
            <w:left w:w="108" w:type="dxa"/>
            <w:bottom w:w="0" w:type="dxa"/>
            <w:right w:w="108" w:type="dxa"/>
          </w:tblCellMar>
        </w:tblPrEx>
        <w:trPr>
          <w:trHeight w:val="680" w:hRule="atLeast"/>
        </w:trPr>
        <w:tc>
          <w:tcPr>
            <w:tcW w:w="1359"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部门资金（万元）</w:t>
            </w:r>
          </w:p>
        </w:tc>
        <w:tc>
          <w:tcPr>
            <w:tcW w:w="102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资金来源</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年初预算数</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全年预算数</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分值权重</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执行率</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年度总资金</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845.45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1175.46</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1175.46</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100%</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其中:上级安排（万元）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78.94</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542.21</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542.21</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本级安排（万元）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766.51</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633.25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633.25</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其他资金（万元）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0</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83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预期目标</w:t>
            </w:r>
          </w:p>
        </w:tc>
        <w:tc>
          <w:tcPr>
            <w:tcW w:w="432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83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 xml:space="preserve">目标1：保障库尔勒市农业技术推广中心的正常运转、生活秩序的经费支出。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目标2：把农业技术服务放在首位，全年开展不少于5次的技术推广培训，提高技术人员及农民的整体素质和能力。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目标3：加强思想政治建设，打造忠诚干部队伍，不断强化政治定力和担当。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目标4：通过项目实施,促进长效机制建设。加强技术推广，示范基地建设，全力推进第三次土壤工作，切实完成粮食种植任务，建立健全耕地质</w:t>
            </w:r>
            <w:bookmarkStart w:id="2" w:name="_GoBack"/>
            <w:bookmarkEnd w:id="2"/>
            <w:r>
              <w:rPr>
                <w:rFonts w:hint="eastAsia" w:ascii="宋体" w:hAnsi="宋体" w:eastAsia="宋体" w:cs="宋体"/>
                <w:i w:val="0"/>
                <w:iCs w:val="0"/>
                <w:color w:val="000000"/>
                <w:kern w:val="0"/>
                <w:sz w:val="18"/>
                <w:szCs w:val="18"/>
                <w:u w:val="none"/>
                <w:lang w:val="en-US" w:eastAsia="zh-CN" w:bidi="ar"/>
              </w:rPr>
              <w:t>量监测网络和肥料使用调查制度,完善耕地质量保护与化肥减量增效的组织方式、服务机制和政策框架。</w:t>
            </w:r>
          </w:p>
        </w:tc>
        <w:tc>
          <w:tcPr>
            <w:tcW w:w="432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库尔勒市农业技术推广中心日常工作正常运转；全年开展农业技术推广培训5次，技术员和农户的整体素质和能力不断提高；通过推广棉花绿色防控、小麦“一喷三防”等先进技术，打造农业科技示范基地，顺利实施全国第三次土壤普查，耕地质量监测网络和肥料使用调查制度不断完善，耕地质量保护与化肥减量增效的组织方式、服务机制和政策框架不断完善，耕地质量监测网络和肥料使用调查制度逐步完善。</w:t>
            </w:r>
          </w:p>
        </w:tc>
      </w:tr>
      <w:tr>
        <w:tblPrEx>
          <w:tblCellMar>
            <w:top w:w="0" w:type="dxa"/>
            <w:left w:w="108" w:type="dxa"/>
            <w:bottom w:w="0" w:type="dxa"/>
            <w:right w:w="108" w:type="dxa"/>
          </w:tblCellMar>
        </w:tblPrEx>
        <w:trPr>
          <w:trHeight w:val="680" w:hRule="atLeast"/>
        </w:trPr>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一级指标</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二级指标</w:t>
            </w:r>
          </w:p>
        </w:tc>
        <w:tc>
          <w:tcPr>
            <w:tcW w:w="100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三级指标</w:t>
            </w:r>
          </w:p>
        </w:tc>
        <w:tc>
          <w:tcPr>
            <w:tcW w:w="811"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预期指标值</w:t>
            </w:r>
          </w:p>
        </w:tc>
        <w:tc>
          <w:tcPr>
            <w:tcW w:w="841"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指标值设定依据</w:t>
            </w:r>
          </w:p>
        </w:tc>
        <w:tc>
          <w:tcPr>
            <w:tcW w:w="646"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分值权重</w:t>
            </w:r>
          </w:p>
        </w:tc>
        <w:tc>
          <w:tcPr>
            <w:tcW w:w="76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实际完成指标值</w:t>
            </w:r>
          </w:p>
        </w:tc>
        <w:tc>
          <w:tcPr>
            <w:tcW w:w="2079"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运行成本</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管理效率</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3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0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推广测土配方施肥、棉花农药减量增效等技术数量</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&gt;=3项</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4项</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完成小麦、籽粒玉米等粮食作物的种植面积</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&gt;=12.90万亩</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14.06万亩</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建立示范基地数量</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&gt;=2个</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2个</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tblPrEx>
          <w:tblCellMar>
            <w:top w:w="0" w:type="dxa"/>
            <w:left w:w="108" w:type="dxa"/>
            <w:bottom w:w="0" w:type="dxa"/>
            <w:right w:w="108" w:type="dxa"/>
          </w:tblCellMar>
        </w:tblPrEx>
        <w:trPr>
          <w:trHeight w:val="680" w:hRule="atLeast"/>
        </w:trPr>
        <w:tc>
          <w:tcPr>
            <w:tcW w:w="13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粮食作物测土配方施肥覆盖率</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&gt;=95%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95.03%</w:t>
            </w:r>
          </w:p>
        </w:tc>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bl>
    <w:p>
      <w:pPr>
        <w:pStyle w:val="10"/>
        <w:numPr>
          <w:numId w:val="0"/>
        </w:numPr>
        <w:snapToGrid w:val="0"/>
        <w:spacing w:line="560" w:lineRule="exact"/>
        <w:outlineLvl w:val="0"/>
        <w:rPr>
          <w:rFonts w:hint="eastAsia" w:ascii="黑体" w:hAnsi="黑体" w:eastAsia="黑体" w:cs="宋体"/>
          <w:b/>
          <w:color w:val="000000" w:themeColor="text1"/>
          <w:kern w:val="2"/>
          <w:sz w:val="32"/>
          <w:szCs w:val="32"/>
          <w:lang w:val="en-US" w:eastAsia="zh-CN" w:bidi="ar-SA"/>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0D7991"/>
    <w:multiLevelType w:val="singleLevel"/>
    <w:tmpl w:val="050D7991"/>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2">
    <w:nsid w:val="7CE7D6AA"/>
    <w:multiLevelType w:val="singleLevel"/>
    <w:tmpl w:val="7CE7D6AA"/>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AwZmYzMDUwNzhmYmVmMzNlY2I1MjAwNzI2NzY5MDUifQ=="/>
  </w:docVars>
  <w:rsids>
    <w:rsidRoot w:val="00EB3604"/>
    <w:rsid w:val="00021B05"/>
    <w:rsid w:val="000B791B"/>
    <w:rsid w:val="001C7F2C"/>
    <w:rsid w:val="00323E6A"/>
    <w:rsid w:val="00340E58"/>
    <w:rsid w:val="003E45AA"/>
    <w:rsid w:val="00486CD9"/>
    <w:rsid w:val="00584481"/>
    <w:rsid w:val="00653C1A"/>
    <w:rsid w:val="0072543F"/>
    <w:rsid w:val="00786DD9"/>
    <w:rsid w:val="007A5D83"/>
    <w:rsid w:val="007A798C"/>
    <w:rsid w:val="007B51CE"/>
    <w:rsid w:val="007D7702"/>
    <w:rsid w:val="007E47F4"/>
    <w:rsid w:val="007F0F7C"/>
    <w:rsid w:val="00892E0B"/>
    <w:rsid w:val="008F0DCE"/>
    <w:rsid w:val="00916058"/>
    <w:rsid w:val="00AB72C1"/>
    <w:rsid w:val="00C10BB4"/>
    <w:rsid w:val="00CE0C6C"/>
    <w:rsid w:val="00D7066A"/>
    <w:rsid w:val="00DB647F"/>
    <w:rsid w:val="00DC7E33"/>
    <w:rsid w:val="00E40ABD"/>
    <w:rsid w:val="00E8616A"/>
    <w:rsid w:val="00EB3604"/>
    <w:rsid w:val="020B07BA"/>
    <w:rsid w:val="02656D15"/>
    <w:rsid w:val="06696209"/>
    <w:rsid w:val="0D1922F1"/>
    <w:rsid w:val="10DF6E84"/>
    <w:rsid w:val="1438599A"/>
    <w:rsid w:val="200F4073"/>
    <w:rsid w:val="24B86128"/>
    <w:rsid w:val="34B14783"/>
    <w:rsid w:val="51C70EA9"/>
    <w:rsid w:val="54F842B6"/>
    <w:rsid w:val="64F5745B"/>
    <w:rsid w:val="656071F2"/>
    <w:rsid w:val="6BF1756B"/>
    <w:rsid w:val="6F5E1AA3"/>
    <w:rsid w:val="78D7259E"/>
    <w:rsid w:val="7F200B83"/>
    <w:rsid w:val="7F5D58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11</Pages>
  <Words>870</Words>
  <Characters>4960</Characters>
  <Lines>41</Lines>
  <Paragraphs>11</Paragraphs>
  <TotalTime>0</TotalTime>
  <ScaleCrop>false</ScaleCrop>
  <LinksUpToDate>false</LinksUpToDate>
  <CharactersWithSpaces>5819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2025-08-14T11:29:00Z</dcterms:created>
  <dc:creator>hongbing liu</dc:creator>
  <cp:lastModifiedBy>lenovo</cp:lastModifiedBy>
  <dcterms:modified xsi:type="dcterms:W3CDTF">2025-08-18T13:16:15Z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