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7"/>
          <w:rFonts w:hint="eastAsia" w:ascii="仿宋" w:hAnsi="仿宋" w:eastAsia="仿宋" w:cs="仿宋"/>
          <w:b w:val="0"/>
          <w:bCs w:val="0"/>
          <w:spacing w:val="-4"/>
          <w:sz w:val="44"/>
          <w:szCs w:val="44"/>
        </w:rPr>
        <w:t>库尔勒市农业农村综合服务中心</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7"/>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left="638" w:leftChars="304" w:firstLine="321" w:firstLineChars="100"/>
        <w:jc w:val="left"/>
        <w:rPr>
          <w:rFonts w:hint="eastAsia" w:ascii="仿宋_GB2312" w:hAnsi="宋体" w:eastAsia="仿宋_GB2312"/>
          <w:bCs/>
          <w:sz w:val="32"/>
          <w:szCs w:val="32"/>
        </w:rPr>
      </w:pPr>
      <w:r>
        <w:rPr>
          <w:rFonts w:hint="eastAsia" w:ascii="仿宋_GB2312" w:hAnsi="宋体" w:eastAsia="仿宋_GB2312"/>
          <w:b/>
          <w:bCs w:val="0"/>
          <w:sz w:val="32"/>
          <w:szCs w:val="32"/>
        </w:rPr>
        <w:t>1.主要职能</w:t>
      </w:r>
      <w:r>
        <w:rPr>
          <w:rFonts w:hint="eastAsia" w:ascii="仿宋_GB2312" w:hAnsi="宋体" w:eastAsia="仿宋_GB2312"/>
          <w:b/>
          <w:bCs w:val="0"/>
          <w:sz w:val="32"/>
          <w:szCs w:val="32"/>
        </w:rPr>
        <w:cr/>
      </w:r>
      <w:r>
        <w:rPr>
          <w:rFonts w:hint="eastAsia" w:ascii="仿宋_GB2312" w:hAnsi="宋体" w:eastAsia="仿宋_GB2312"/>
          <w:bCs/>
          <w:sz w:val="32"/>
          <w:szCs w:val="32"/>
        </w:rPr>
        <w:t>（一）推广种植业技术，承担农作物新品种的区域试验、生产示</w:t>
      </w:r>
    </w:p>
    <w:p>
      <w:pPr>
        <w:spacing w:line="600" w:lineRule="exact"/>
        <w:jc w:val="left"/>
        <w:rPr>
          <w:rFonts w:ascii="仿宋_GB2312" w:hAnsi="宋体" w:eastAsia="仿宋_GB2312"/>
          <w:bCs/>
          <w:sz w:val="32"/>
          <w:szCs w:val="32"/>
        </w:rPr>
      </w:pPr>
      <w:r>
        <w:rPr>
          <w:rFonts w:hint="eastAsia" w:ascii="仿宋_GB2312" w:hAnsi="宋体" w:eastAsia="仿宋_GB2312"/>
          <w:bCs/>
          <w:sz w:val="32"/>
          <w:szCs w:val="32"/>
        </w:rPr>
        <w:t>范试验工作；引进和筛选推广适宜本地区种植的农作物新品种，以筛选繁育推广棉花、小麦新品种为主，其他农作物种子为辅。</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（二）种畜禽调查、监定、保护、管理；种畜禽质量管理。畜禽品种改良、畜禽品种的选育、培育。畜禽品种技术推广及培训等工作。承担畜禽改良方面的重点科研课题和项目等工作。</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三）拖拉机和联合收割机、大型工程机械设备（装载机、挖掘机、推土机、铲运机、采棉机）的登记业务、年度检验，农机安全生产宣传教育工作。拖拉机、联合收割机、大型工程机械设备驾驶员的培训、学习、考试、结业证的发放，提高驾驶员的社会职业素质。</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四）编制并组织实施种业发展规划，种子行业的相关统计，指导全市农作物种子繁育体系建设、种子信息、种子基地建设、种子资源保护，加强农作物品种管理等工作。督促指导种子生产及经营企业（户）健全生产档案。组织开展种子生产、经营管理等有关人员的培训和技术交流。组织开展种子田间检验、种子质量抽检和承担上级安排的种子质量抽检任务。开展种子健康检验和种子质量分析工作。</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五）负责组织实施动物及动物产品检疫，指导养殖场防疫、消毒、病死畜禽无害化处理，外来畜禽落地隔离观察。负责动物检疫证、章、标志的发放与管理工作。负责全市各种动物检疫证明的征订、发放和使用；负责动物检疫验讫印章、检疫检验专用章的发放和使用；负责动物产品检疫专用标志监制、发放、使用。负责动物产品质量安全技术服务。承担农全市兽药残留监控计划的组织、实施；“布鲁氏杆菌病”抽样检测的组织、实施；“瘦肉精”、“三聚氰胺”等违禁添加物抽样检测的组织、实施；饲料质量安全检测抽样的组织、实施。负责动物、动物产品指定通道的检疫服务。负责实施库尔勒市4个动物、动物产品指定通道调入动物及动物产品的检疫服务，全天候对外埠进入库尔勒市动物、动物产品实施检疫服务。负责人员培训。承担我市动物卫生服务工作中检疫员的培训、考核和管理工作。负责组织、指导重大动物疫情的应急处理。发生重大动物疫病疫情后，负责组织、指导疫区封锁、染疫动物扑杀等重大动物疫情的应急处理。</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（六）完成市农业农村局交办的其他任务。</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库尔勒市农业农村综合服务中心无下属预算单位，机关内设6个科室（综合办公室、良繁服务股、畜禽改良服务股、农业机械服务股、种子管理服务股、动物卫生服务股）。</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库尔勒市农业农村综合服务中心编制数54，实有人数68人，其中：在职43人，减少5人，公益性岗位聘用人员1人；退休24人，增加5人；离休0人，增加0人。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left="958" w:leftChars="456" w:firstLine="0" w:firstLineChars="0"/>
        <w:jc w:val="left"/>
        <w:rPr>
          <w:rFonts w:hint="eastAsia" w:ascii="仿宋_GB2312" w:hAnsi="宋体" w:eastAsia="仿宋_GB2312"/>
          <w:b/>
          <w:bCs w:val="0"/>
          <w:sz w:val="32"/>
          <w:szCs w:val="32"/>
        </w:rPr>
      </w:pPr>
      <w:r>
        <w:rPr>
          <w:rFonts w:hint="eastAsia" w:ascii="仿宋_GB2312" w:hAnsi="宋体" w:eastAsia="仿宋_GB2312"/>
          <w:b/>
          <w:bCs w:val="0"/>
          <w:sz w:val="32"/>
          <w:szCs w:val="32"/>
        </w:rPr>
        <w:t>1.年度总体目标</w:t>
      </w:r>
    </w:p>
    <w:p>
      <w:pPr>
        <w:spacing w:line="600" w:lineRule="exact"/>
        <w:ind w:left="958" w:leftChars="456" w:firstLine="0" w:firstLineChars="0"/>
        <w:jc w:val="left"/>
        <w:rPr>
          <w:rFonts w:hint="eastAsia" w:ascii="仿宋_GB2312" w:hAnsi="宋体" w:eastAsia="仿宋_GB2312"/>
          <w:bCs/>
          <w:sz w:val="32"/>
          <w:szCs w:val="32"/>
        </w:rPr>
      </w:pPr>
      <w:r>
        <w:rPr>
          <w:rFonts w:hint="eastAsia" w:ascii="仿宋_GB2312" w:hAnsi="宋体" w:eastAsia="仿宋_GB2312"/>
          <w:bCs/>
          <w:sz w:val="32"/>
          <w:szCs w:val="32"/>
        </w:rPr>
        <w:t>目标1：通过国家农业部审核，我们将继续积极对接协调，做好</w:t>
      </w:r>
    </w:p>
    <w:p>
      <w:pPr>
        <w:spacing w:line="600" w:lineRule="exact"/>
        <w:jc w:val="left"/>
        <w:rPr>
          <w:rFonts w:ascii="仿宋_GB2312" w:hAnsi="宋体" w:eastAsia="仿宋_GB2312"/>
          <w:bCs/>
          <w:sz w:val="32"/>
          <w:szCs w:val="32"/>
        </w:rPr>
      </w:pPr>
      <w:r>
        <w:rPr>
          <w:rFonts w:hint="eastAsia" w:ascii="仿宋_GB2312" w:hAnsi="宋体" w:eastAsia="仿宋_GB2312"/>
          <w:bCs/>
          <w:sz w:val="32"/>
          <w:szCs w:val="32"/>
        </w:rPr>
        <w:t>制种大县项目发展规划的建设内容。</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目标2：抓好良种繁育工作。对种子市场开展抽检工作了解掌握市场棉花种子保供与价格波动情况。</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目标3：继续督促新疆九中禾种业创新园项目建设进展，督促国欣种业和晶华种业按照商业化育种项目实施进度表推进项目进度。</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目标4：按照上级要求，完成“四个百万亩”制种基地项目阶段性工作。</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目标5：继续开展畜禽改良工作，做好小畜改良、黄牛改良工作。</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目标6：继续开展动物屠宰检疫工作，加强屠宰点、屠宰场、兽药饲料店和养殖小区等安全生产及疫情防控工作。</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lang w:val="en-US" w:eastAsia="zh-CN"/>
        </w:rPr>
        <w:t xml:space="preserve">   </w:t>
      </w:r>
      <w:r>
        <w:rPr>
          <w:rFonts w:hint="eastAsia" w:ascii="仿宋_GB2312" w:hAnsi="宋体" w:eastAsia="仿宋_GB2312"/>
          <w:b/>
          <w:bCs w:val="0"/>
          <w:sz w:val="32"/>
          <w:szCs w:val="32"/>
        </w:rPr>
        <w:t>2.重点工作计划</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一是积极落实制种大县项目，库尔勒市棉花制种大县发展规划目前已通过国家农业部审核，我们将继续积极对接协调，做好制种大县项目发展规划的建设内容，二是抓好良种繁育工作，对库尔勒市种子市场、农资门店所经营的棉花、玉米种子开展抽检工作并对抽检种子进行净度、水分、发芽率等试验；开展春季种子市场专项质量抽检工作；调查统计2024年全市落实良种繁育面积情况，同时，对制种田进行田检，田检覆盖率要达到100%；了解掌握市场棉花种子保供与价格波动情况，三是继续督促新疆九中禾种业创新园项目建设进展，督促国欣种业和晶华种业按照商业化育种项目实施进度表推进项目进度，四是按照上级要求，完成“四个百万亩”制种基地项目4个，五是继续开展畜禽改良工作，做好小畜改良、黄牛改良3500头，六是继续开展动物屠宰检疫工作，加强屠宰点、屠宰场55.5万头。</w:t>
      </w:r>
    </w:p>
    <w:p>
      <w:pPr>
        <w:spacing w:line="600" w:lineRule="exact"/>
        <w:ind w:firstLine="643" w:firstLineChars="2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2024年库尔勒市农业农村综合服务中心年初预算安排923.62万元，其中财政拨款923.62万元，其他资金0万元，主要用于人员经费，包括职工基本工资、津贴补贴、社会保险及住房公积金等支出，保障队伍稳定；公用经费，用于日常办公、差旅费等运行开支，确保单位正常运转；项目支出，递延项目-巴财农[2024]29号关于下达2023年中央农业产业发展资金[畜牧业方面]预算的通知（粮改饲164.8万元、畜牧良种补贴33.5万元）。年中调整52.79万元，调整后全年预算870.83万元，预算调整率94.28%，调整预算的主要原因一是原计划实施的19.6万元项目因客观原因暂缓推进，本年度未产生实际支出；二是人员结构发生变化，2024年新增退休人员5名，在职人员数量相应减少，直接导致工资福利、社会保险缴费等人员经费支出缩减33.19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numPr>
          <w:ilvl w:val="0"/>
          <w:numId w:val="0"/>
        </w:numPr>
        <w:spacing w:line="600" w:lineRule="exact"/>
        <w:ind w:firstLine="643" w:firstLineChars="200"/>
        <w:jc w:val="left"/>
        <w:rPr>
          <w:rFonts w:hint="eastAsia" w:ascii="仿宋_GB2312" w:hAnsi="宋体" w:eastAsia="仿宋_GB2312"/>
          <w:bCs/>
          <w:sz w:val="32"/>
          <w:szCs w:val="32"/>
        </w:rPr>
      </w:pPr>
      <w:r>
        <w:rPr>
          <w:rFonts w:hint="eastAsia" w:ascii="仿宋_GB2312" w:hAnsi="宋体" w:eastAsia="仿宋_GB2312"/>
          <w:b/>
          <w:bCs w:val="0"/>
          <w:sz w:val="32"/>
          <w:szCs w:val="32"/>
          <w:lang w:eastAsia="zh-CN"/>
        </w:rPr>
        <w:t>（</w:t>
      </w:r>
      <w:r>
        <w:rPr>
          <w:rFonts w:hint="eastAsia" w:ascii="仿宋_GB2312" w:hAnsi="宋体" w:eastAsia="仿宋_GB2312"/>
          <w:b/>
          <w:bCs w:val="0"/>
          <w:sz w:val="32"/>
          <w:szCs w:val="32"/>
          <w:lang w:val="en-US" w:eastAsia="zh-CN"/>
        </w:rPr>
        <w:t>一</w:t>
      </w:r>
      <w:r>
        <w:rPr>
          <w:rFonts w:hint="eastAsia" w:ascii="仿宋_GB2312" w:hAnsi="宋体" w:eastAsia="仿宋_GB2312"/>
          <w:b/>
          <w:bCs w:val="0"/>
          <w:sz w:val="32"/>
          <w:szCs w:val="32"/>
          <w:lang w:eastAsia="zh-CN"/>
        </w:rPr>
        <w:t>）</w:t>
      </w:r>
      <w:r>
        <w:rPr>
          <w:rFonts w:hint="eastAsia" w:ascii="仿宋_GB2312" w:hAnsi="宋体" w:eastAsia="仿宋_GB2312"/>
          <w:b/>
          <w:bCs w:val="0"/>
          <w:sz w:val="32"/>
          <w:szCs w:val="32"/>
        </w:rPr>
        <w:t>单位整体支出管理情况</w:t>
      </w:r>
    </w:p>
    <w:p>
      <w:pPr>
        <w:numPr>
          <w:ilvl w:val="0"/>
          <w:numId w:val="0"/>
        </w:numPr>
        <w:spacing w:line="600" w:lineRule="exact"/>
        <w:ind w:left="638" w:leftChars="304" w:firstLine="0" w:firstLineChars="0"/>
        <w:jc w:val="left"/>
        <w:rPr>
          <w:rFonts w:hint="eastAsia" w:ascii="仿宋_GB2312" w:hAnsi="宋体" w:eastAsia="仿宋_GB2312"/>
          <w:bCs/>
          <w:sz w:val="32"/>
          <w:szCs w:val="32"/>
        </w:rPr>
      </w:pPr>
      <w:r>
        <w:rPr>
          <w:rFonts w:hint="eastAsia" w:ascii="仿宋_GB2312" w:hAnsi="宋体" w:eastAsia="仿宋_GB2312"/>
          <w:b/>
          <w:bCs w:val="0"/>
          <w:sz w:val="32"/>
          <w:szCs w:val="32"/>
        </w:rPr>
        <w:t>1.预算编制</w:t>
      </w:r>
      <w:r>
        <w:rPr>
          <w:rFonts w:hint="eastAsia" w:ascii="仿宋_GB2312" w:hAnsi="宋体" w:eastAsia="仿宋_GB2312"/>
          <w:b/>
          <w:bCs w:val="0"/>
          <w:sz w:val="32"/>
          <w:szCs w:val="32"/>
        </w:rPr>
        <w:cr/>
      </w:r>
      <w:r>
        <w:rPr>
          <w:rFonts w:hint="eastAsia" w:ascii="仿宋_GB2312" w:hAnsi="宋体" w:eastAsia="仿宋_GB2312"/>
          <w:bCs/>
          <w:sz w:val="32"/>
          <w:szCs w:val="32"/>
        </w:rPr>
        <w:t>2024年我单位紧扣核心工作目标，强化预算管理全流程精细化运</w:t>
      </w:r>
    </w:p>
    <w:p>
      <w:pPr>
        <w:numPr>
          <w:ilvl w:val="0"/>
          <w:numId w:val="0"/>
        </w:numPr>
        <w:spacing w:line="600" w:lineRule="exact"/>
        <w:jc w:val="left"/>
        <w:rPr>
          <w:rFonts w:ascii="仿宋_GB2312" w:hAnsi="宋体" w:eastAsia="仿宋_GB2312"/>
          <w:bCs/>
          <w:sz w:val="32"/>
          <w:szCs w:val="32"/>
        </w:rPr>
      </w:pPr>
      <w:r>
        <w:rPr>
          <w:rFonts w:hint="eastAsia" w:ascii="仿宋_GB2312" w:hAnsi="宋体" w:eastAsia="仿宋_GB2312"/>
          <w:bCs/>
          <w:sz w:val="32"/>
          <w:szCs w:val="32"/>
        </w:rPr>
        <w:t>作。严格遵循预算编制规范和申报程序，精准把握时间节点，高效完成预算编制和申报工作。同时，在绩效管理方面，科学设定入库项目绩效指标及年度目标，从关键维度构建整体支出核心绩效指标体系，并精心编制整体预算申请绩效报告，以完善的绩效管理机制为导向，全面优化财政资金配置，有效提升资金使用效益，为各项工作高质量开展提供坚实的财力保障。</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在库尔勒市财政批复预算后，我单位按要求及时制定并报批预算支出计划，严格落实预算执行定期分析机制，强化动态监控与过程管理，推动支出执行工作前置落实。严守财经纪律红线，以刚性约束强化预算权威性，将厉行节约理念贯穿资金使用全流程。从严控制一般性支出，通过精细化管理、优化资源配置等举措，着力降低事业运行成本，确保财政资金使用规范高效，切实提升资金使用效能。</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lang w:val="en-US" w:eastAsia="zh-CN"/>
        </w:rPr>
        <w:t xml:space="preserve"> </w:t>
      </w:r>
      <w:r>
        <w:rPr>
          <w:rFonts w:hint="eastAsia" w:ascii="仿宋_GB2312" w:hAnsi="宋体" w:eastAsia="仿宋_GB2312"/>
          <w:b/>
          <w:bCs w:val="0"/>
          <w:sz w:val="32"/>
          <w:szCs w:val="32"/>
        </w:rPr>
        <w:t>3.绩效管理</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我单位严格按照财政要求，落实预算绩效管理全过程，构建“目标编制—过程监控—结果评价”闭环管理体系，包括①注重绩效目标编制，深度结合业务实际，细化预算需求，从产出、效益、满意度等维度科学选择绩效指标，合理量化目标值，确保目标可衡量、可考核。同时，严格依照财政规范要求，系统编制事前绩效评估报告，全面论证项目实施的必要性、可行性及预期效益，为财政资金发挥效益夯实基础。②落实绩效“双监控”，预算执行过程中，以年度支出计划为基础，定期开展预算执行和绩效目标完成情况分析，并依托财政预算绩效管理平台分5月、8月对预算执行动态进行实时监控，针对执行偏差及绩效目标偏离问题，及时采取纠偏措施，保障预算执行与绩效目标同时推进。③扎实开展自评工作，年度终了，通过单位内部严格审核、多维度综合评价，全面梳理预算绩效目标完成情况，客观分析存在问题及原因，形成详实的评价报告，为后续预算编制和绩效管理优化提供有力支撑，持续提升财政资金使用效益。</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rPr>
        <w:t>4.信息公开</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我单位已按要求在库尔勒市人民政府公开预算信息，同步公开绩效目标表；在库尔勒市人民政府公开决算信息，同步公开自评表及自评报告。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rPr>
        <w:t>（二）单位整体支出使用情况</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rPr>
        <w:t>1.基本支出情况</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基本支出808.83万元，包括工资福利支出747.12万元，商品和服务支出39.21万元，对个人和家庭的补助22.5万元，资本性支出0万元。其中：“三公”经费支出6.76万元，比上年增加0.5万元，主要原因是车辆随着时间的推移逐渐老化，直接导致了维修成本的显著增加；会议费支出0万元，比上年增加0万元，主要原因是为节约资金，本年未召开会议；培训费支出3.85万元，比上年增加0.4万元，主要原因是为提升干部队伍适应新形势、新任务的能力，强化整体业务水平与工作效能，单位积极组织员工外出参与各类专业培训，外出参加培训次数有所增加。</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rPr>
        <w:t>2.专项资金支出情况</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专项项目支出62万元，占总支出的7.12％，主要用于1.病虫害控制-2021年自治区动物防疫等补助经费流通环节监管补助经费支出7万元，2.病虫害控制-2021年自治区动物防疫等补助经费屠宰场检疫检验室规范化建设支出20万元，3.农业生产发展-自治区2021年畜牧业高质量发展资金预算（畜牧业高质量发展畜禽遗传资源普查）支出5万元，4.农业生产发展-2024年自治区畜牧业生产发展资金预算的通知支出30万元。</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rPr>
        <w:t>3.单位专项组织实施情况</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年初我单位下发的2021年自治区动物防疫等补助经费流通环节监管补助经费项目工作计划、2021年自治区动物防疫等补助经费屠宰场检疫检验室规范化建设项目工作计划、自治区2021年畜牧业高质量发展资金预算（畜牧业高质量发展畜禽遗传资源普查）项目工作计划、巴财农[2024]3号关于提前下达2024年自治区畜牧业生产发展资金预算的通知项目工作计划，对项目的工作分工、任务分配、资金落实、完成时限等提出了明确、具体的要求，以确保项目保质、保量、按时完成。截至2024年12月31日，完成专项4个，未完成专项0个。</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为规范专项资金使用，提高专项资金使用效益，我单位主要采取三项措施。一是制订专项资金管理制度；二是制定了项目实施方案；三是认真组织项目验收。切实保证专项资金都做到了专款专用。</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1）制定了《项目资金使用管理制度》、《项目专项资金管理制度》专项资金管理办法，该制度详细规定了专项资金的使用审批流程，确保每一笔资金的使用都严格遵循既定的程序和标准。在处理涉及“三重一大”事项时，即项目资金分配、重大项目确定、大额资金支付等关键决策，必须严格按照相关管理规定，提请局党组会议进行审议和决定。这样的做法旨在加强内部控制，防止资金滥用，确保每一项决策都经过充分的讨论和评估，以促进库尔勒市农业农村事业的健康发展。</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制定了《关于2021年自治区动物防疫等补助经费流通环节监管补助经费实施方案》、《2021年自治区动物防疫等补助经费屠宰场检疫检验室规范化建设实施方案》、《自治区2021年畜牧业高质量发展资金预算（畜牧业高质量发展畜禽遗传资源普查）实施方案》、《关于&lt;农业生产发展-2024年自治区畜牧业生产发展资金预算的通知&gt;实施方案》、巴财农[2024]3号关于提前下达2024年自治区畜牧业生产发展资金预算的通知项目实施方案《自治区肉毛兼用绒毛用羊品种选育提升计划（2022—2027年）2024年度实施方案》，确保项目资金的合理分配和使用，以及项目的顺利进行，从而达到预期的发展目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3）认真组织2021年自治区动物防疫等补助经费流通环节监管补助经费、2021年自治区动物防疫等补助经费屠宰场检疫检验室规范化建设、自治区2021年畜牧业高质量发展资金预算（畜牧业高质量发展畜禽遗传资源普查）、2024年自治区畜牧业生产发展资金预算的通知项目验收，确保项目建设质量达标，同时，对资金的使用情况进行了全面审查，确保资金使用合规率，防止任何浪费和滥用现象的发生。此外，对项目的预期效益进行了评估，确保项目能够充分实现其预期的社会和经济效益，为自治区畜牧业的长远发展奠定坚实基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numPr>
          <w:ilvl w:val="0"/>
          <w:numId w:val="0"/>
        </w:numPr>
        <w:spacing w:line="600" w:lineRule="exact"/>
        <w:ind w:leftChars="304"/>
        <w:jc w:val="left"/>
        <w:rPr>
          <w:rFonts w:hint="eastAsia" w:ascii="仿宋_GB2312" w:hAnsi="宋体" w:eastAsia="仿宋_GB2312"/>
          <w:bCs/>
          <w:sz w:val="32"/>
          <w:szCs w:val="32"/>
        </w:rPr>
      </w:pPr>
      <w:r>
        <w:rPr>
          <w:rFonts w:hint="eastAsia" w:ascii="仿宋_GB2312" w:hAnsi="宋体" w:eastAsia="仿宋_GB2312"/>
          <w:b/>
          <w:bCs w:val="0"/>
          <w:sz w:val="32"/>
          <w:szCs w:val="32"/>
          <w:lang w:eastAsia="zh-CN"/>
        </w:rPr>
        <w:t>（</w:t>
      </w:r>
      <w:r>
        <w:rPr>
          <w:rFonts w:hint="eastAsia" w:ascii="仿宋_GB2312" w:hAnsi="宋体" w:eastAsia="仿宋_GB2312"/>
          <w:b/>
          <w:bCs w:val="0"/>
          <w:sz w:val="32"/>
          <w:szCs w:val="32"/>
          <w:lang w:val="en-US" w:eastAsia="zh-CN"/>
        </w:rPr>
        <w:t>一</w:t>
      </w:r>
      <w:r>
        <w:rPr>
          <w:rFonts w:hint="eastAsia" w:ascii="仿宋_GB2312" w:hAnsi="宋体" w:eastAsia="仿宋_GB2312"/>
          <w:b/>
          <w:bCs w:val="0"/>
          <w:sz w:val="32"/>
          <w:szCs w:val="32"/>
          <w:lang w:eastAsia="zh-CN"/>
        </w:rPr>
        <w:t>）</w:t>
      </w:r>
      <w:r>
        <w:rPr>
          <w:rFonts w:hint="eastAsia" w:ascii="仿宋_GB2312" w:hAnsi="宋体" w:eastAsia="仿宋_GB2312"/>
          <w:b/>
          <w:bCs w:val="0"/>
          <w:sz w:val="32"/>
          <w:szCs w:val="32"/>
        </w:rPr>
        <w:t>预算执行情况分析</w:t>
      </w:r>
      <w:r>
        <w:rPr>
          <w:rFonts w:hint="eastAsia" w:ascii="仿宋_GB2312" w:hAnsi="宋体" w:eastAsia="仿宋_GB2312"/>
          <w:bCs/>
          <w:sz w:val="32"/>
          <w:szCs w:val="32"/>
        </w:rPr>
        <w:cr/>
      </w:r>
      <w:r>
        <w:rPr>
          <w:rFonts w:hint="eastAsia" w:ascii="仿宋_GB2312" w:hAnsi="宋体" w:eastAsia="仿宋_GB2312"/>
          <w:bCs/>
          <w:sz w:val="32"/>
          <w:szCs w:val="32"/>
        </w:rPr>
        <w:t>2024年库尔勒市农业农村综合服务中心总支出870.83万元，预算</w:t>
      </w:r>
    </w:p>
    <w:p>
      <w:pPr>
        <w:numPr>
          <w:ilvl w:val="0"/>
          <w:numId w:val="0"/>
        </w:numPr>
        <w:spacing w:line="600" w:lineRule="exact"/>
        <w:ind w:firstLine="640" w:firstLineChars="200"/>
        <w:jc w:val="left"/>
        <w:rPr>
          <w:rFonts w:hint="eastAsia" w:ascii="仿宋_GB2312" w:hAnsi="宋体" w:eastAsia="仿宋_GB2312"/>
          <w:bCs/>
          <w:sz w:val="32"/>
          <w:szCs w:val="32"/>
        </w:rPr>
      </w:pPr>
      <w:r>
        <w:rPr>
          <w:rFonts w:hint="eastAsia" w:ascii="仿宋_GB2312" w:hAnsi="宋体" w:eastAsia="仿宋_GB2312"/>
          <w:bCs/>
          <w:sz w:val="32"/>
          <w:szCs w:val="32"/>
        </w:rPr>
        <w:t>执行率100%，其中事业运行支出798.83万元；病虫害控制支出27万元；农业生产发展支出35万元；其他支出10万元。</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lang w:val="en-US" w:eastAsia="zh-CN"/>
        </w:rPr>
        <w:t xml:space="preserve">  </w:t>
      </w:r>
      <w:r>
        <w:rPr>
          <w:rFonts w:hint="eastAsia" w:ascii="仿宋_GB2312" w:hAnsi="宋体" w:eastAsia="仿宋_GB2312"/>
          <w:b/>
          <w:bCs w:val="0"/>
          <w:sz w:val="32"/>
          <w:szCs w:val="32"/>
        </w:rPr>
        <w:t>1.基本支出使用情况</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库尔勒市农业农村综合服务中心基本支出808.83万元，占总支出的92.88％，其中：工资福利支出747.12万元（基本工资230.98万元；津贴补贴254.01万元；奖金36.11万元；社会保障和就业支出118.57万元；卫生健康支出37.42万元；其他社会保障7.2万元；住房保障支出59.41万元；其他工资福利支出3.42万元）；商品和服务支出39.21万元（办公费6.5万元；手续费0.1万元；水费0.13万元；电费0.35万元；邮电费0.48万元；物业管理费1.09万元；维修（护）费6.43万元；培训费3.85万元；专用材料费4.83万元；劳务费4万元；工会经费4.38万元；福利费0.32万元；公务用车运行维护费6.75万元）；对个人和家庭的补助22.5万元（退休费15.53万元；抚恤金6.97万元）。</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lang w:val="en-US" w:eastAsia="zh-CN"/>
        </w:rPr>
        <w:t xml:space="preserve"> </w:t>
      </w:r>
      <w:r>
        <w:rPr>
          <w:rFonts w:hint="eastAsia" w:ascii="仿宋_GB2312" w:hAnsi="宋体" w:eastAsia="仿宋_GB2312"/>
          <w:b/>
          <w:bCs w:val="0"/>
          <w:sz w:val="32"/>
          <w:szCs w:val="32"/>
        </w:rPr>
        <w:t>2.项目支出使用情况</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2024年，库尔勒市农业农村综合服务中心项目支出62万元，占总支出的7.12％。其中：病虫害控制-2021年自治区动物防疫等补助经费流通环节监管补助经费支出7万元，病虫害控制-2021年自治区动物防疫等补助经费屠宰场检疫检验室规范化建设支出20万元，农业生产发展-自治区2021年畜牧业高质量发展资金预算（畜牧业高质量发展畜禽遗传资源普查）支出5万元，农业生产发展-2024年自治区畜牧业生产发展资金预算的通知支出30万元。</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rPr>
        <w:t>（二）单位整体支出绩效指标完成情况分析</w:t>
      </w:r>
    </w:p>
    <w:p>
      <w:pPr>
        <w:numPr>
          <w:ilvl w:val="0"/>
          <w:numId w:val="0"/>
        </w:numPr>
        <w:spacing w:line="600" w:lineRule="exact"/>
        <w:ind w:firstLine="640" w:firstLineChars="200"/>
        <w:jc w:val="left"/>
        <w:rPr>
          <w:rFonts w:ascii="仿宋_GB2312" w:hAnsi="宋体" w:eastAsia="仿宋_GB2312"/>
          <w:b/>
          <w:sz w:val="32"/>
          <w:szCs w:val="32"/>
        </w:rPr>
      </w:pPr>
      <w:r>
        <w:rPr>
          <w:rFonts w:hint="eastAsia" w:ascii="仿宋_GB2312" w:hAnsi="宋体" w:eastAsia="仿宋_GB2312"/>
          <w:bCs/>
          <w:sz w:val="32"/>
          <w:szCs w:val="32"/>
        </w:rPr>
        <w:t>年初我单位设置单位整体绩效目标中包括一级指标1个，二级指标1个，三级指标5个，指标完成情况分析如下：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rPr>
        <w:t>1.运行成本</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rPr>
        <w:t>2.管理效率</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lang w:val="en-US" w:eastAsia="zh-CN"/>
        </w:rPr>
        <w:t xml:space="preserve"> </w:t>
      </w:r>
      <w:r>
        <w:rPr>
          <w:rFonts w:hint="eastAsia" w:ascii="仿宋_GB2312" w:hAnsi="宋体" w:eastAsia="仿宋_GB2312"/>
          <w:b/>
          <w:bCs w:val="0"/>
          <w:sz w:val="32"/>
          <w:szCs w:val="32"/>
        </w:rPr>
        <w:t>3.履职效能</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1：开展种子抽检次数，指标值：&gt;=1次，年中监控完成值：1次，自评完成值：1次，指标完成率100%，指标成效分析：通过开展1次种子抽检工作，有效提升了辖区内种子质量监管水平。及时排查种子质量隐患，防止不合格种子流入市场，保障了农户用种安全，为农业生产稳定和丰收筑牢基础，达到了预期的种子质量监控效果。</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2：田检覆盖率，指标值：=100%，年中监控完成值：100%，自评完成值：100%，指标完成率100%，指标成效分析：通过实现100%田检覆盖率，全面掌握了辖区内农作物种植的田间质量动态，有效提升了种子生产全过程监管效能。及时发现并纠正田间种植环节的质量问题，防止不合格种子流入市场，从源头保障了种子质量安全，为农业生产提质增效、农民稳产增收提供了坚实保障，切实达到了强化种业监管、稳定农业生产根基的预期效果。</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3：百万亩制种基地项目，指标值：&gt;=4个，年中监控完成值：4个，自评完成值：0个，指标完成率0%，偏差率100%，原因分析：前期规划不完善，项目推进过程中部门协作不畅，审批流程繁琐，导致项目未开展，改进措施：重新梳理规划，开展全面调研，科学定制项目方案，推动项目落地，指标成效分析：该项目指标完成率为0%，因前期规划缺失、部门协作不足及审批流程繁琐，导致未启动。这不仅使百万亩制种基地建设目标落空，还造成资源闲置与成本损失，影响区域种业规模化、产业化进程，需系统性整改及挽回进度。</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4：开展畜禽改良工作，做好小畜改良、黄牛改良，指标值：&gt;=3500头，年中监控完成值：1589头，自评完成值：3542头，指标完成率101%，偏差率1%，偏差原因：一是养殖户对畜禽品种改良认知提升，参与积极性增强，主动配合改良工作；二是政策激励有效，配套补贴、技术支持等推动改良数量超额完成。改进措施：持续加强宣传引导，优化技术服务，定期开展培训与现场指导，提升改良质量。指标成效分析：通过开展3542头畜禽改良工作，有效提升了区域畜禽良种覆盖率，显著改善畜群品质，增强养殖经济效益。工作的推进带动养殖户掌握先进改良技术，优化养殖结构，促进畜牧业向标准化、产业化方向发展，为保障畜产品稳定供应、推动乡村产业振兴奠定了坚实基础，切实实现了提升畜牧业综合生产能力的目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指标5：开展动物屠宰检疫（牛、羊、猪），指标值：&gt;=55.5万头·只，年中监控完成值22.58万头·只，自评完成值：63.17万头·只，指标完成率114%，偏差率14%，偏差原因：因养殖技术升级与管理优化，采用新型饲料与疫病防控措施，提升动物存活率与生长速度；叠加市场行情向好，养殖积极性提高，主动扩大规模；同时，年初指标设定相对保守，多重因素共同作用下，实现超额完成。改进措施：针对超额完成情况，后续将优化指标制定流程，结合历史数据与市场趋势科学评估，避免保守设定。持续强化养殖技术推广与管理经验总结，建立动态监测机制，根据实际情况灵活调整养殖规模，确保生产与市场需求匹配，指标成效分析：通过完成63.17万头·只动物屠宰检疫工作，有效提升了畜禽产品质量安全防线，阻断病害动物及产品流入市场。动态调整检疫力量、优化监管布局等举措，显著增强了屠宰环节风险防控能力，保障了群众“舌尖上的安全”，促进了畜牧业健康稳定发展，切实达到了规范行业秩序、维护公共卫生安全的预期效果。</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lang w:val="en-US" w:eastAsia="zh-CN"/>
        </w:rPr>
        <w:t xml:space="preserve"> </w:t>
      </w:r>
      <w:r>
        <w:rPr>
          <w:rFonts w:hint="eastAsia" w:ascii="仿宋_GB2312" w:hAnsi="宋体" w:eastAsia="仿宋_GB2312"/>
          <w:b/>
          <w:bCs w:val="0"/>
          <w:sz w:val="32"/>
          <w:szCs w:val="32"/>
        </w:rPr>
        <w:t>4.社会效益</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lang w:val="en-US" w:eastAsia="zh-CN"/>
        </w:rPr>
        <w:t xml:space="preserve"> </w:t>
      </w:r>
      <w:r>
        <w:rPr>
          <w:rFonts w:hint="eastAsia" w:ascii="仿宋_GB2312" w:hAnsi="宋体" w:eastAsia="仿宋_GB2312"/>
          <w:b/>
          <w:bCs w:val="0"/>
          <w:sz w:val="32"/>
          <w:szCs w:val="32"/>
        </w:rPr>
        <w:t>5.可持续发展能力</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lang w:val="en-US" w:eastAsia="zh-CN"/>
        </w:rPr>
        <w:t xml:space="preserve"> </w:t>
      </w:r>
      <w:r>
        <w:rPr>
          <w:rFonts w:hint="eastAsia" w:ascii="仿宋_GB2312" w:hAnsi="宋体" w:eastAsia="仿宋_GB2312"/>
          <w:b/>
          <w:bCs w:val="0"/>
          <w:sz w:val="32"/>
          <w:szCs w:val="32"/>
        </w:rPr>
        <w:t>6.服务对象满意度</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640" w:firstLineChars="200"/>
        <w:jc w:val="left"/>
        <w:rPr>
          <w:rFonts w:ascii="仿宋_GB2312" w:hAnsi="宋体" w:eastAsia="仿宋_GB2312"/>
          <w:bCs/>
          <w:sz w:val="32"/>
          <w:szCs w:val="32"/>
        </w:rPr>
      </w:pPr>
      <w:r>
        <w:rPr>
          <w:rFonts w:hint="eastAsia" w:ascii="仿宋_GB2312" w:hAnsi="宋体" w:eastAsia="仿宋_GB2312"/>
          <w:bCs/>
          <w:sz w:val="32"/>
          <w:szCs w:val="32"/>
        </w:rPr>
        <w:t>2024年度单位整体支出绩效评价综合得分90分，评价结果为“优”。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numPr>
          <w:ilvl w:val="0"/>
          <w:numId w:val="0"/>
        </w:numPr>
        <w:spacing w:line="600" w:lineRule="exact"/>
        <w:ind w:leftChars="304"/>
        <w:jc w:val="left"/>
        <w:rPr>
          <w:rFonts w:hint="eastAsia" w:ascii="仿宋_GB2312" w:hAnsi="宋体" w:eastAsia="仿宋_GB2312"/>
          <w:bCs/>
          <w:sz w:val="32"/>
          <w:szCs w:val="32"/>
        </w:rPr>
      </w:pPr>
      <w:r>
        <w:rPr>
          <w:rFonts w:hint="eastAsia" w:ascii="仿宋_GB2312" w:hAnsi="宋体" w:eastAsia="仿宋_GB2312"/>
          <w:b/>
          <w:bCs w:val="0"/>
          <w:sz w:val="32"/>
          <w:szCs w:val="32"/>
          <w:lang w:eastAsia="zh-CN"/>
        </w:rPr>
        <w:t>（</w:t>
      </w:r>
      <w:r>
        <w:rPr>
          <w:rFonts w:hint="eastAsia" w:ascii="仿宋_GB2312" w:hAnsi="宋体" w:eastAsia="仿宋_GB2312"/>
          <w:b/>
          <w:bCs w:val="0"/>
          <w:sz w:val="32"/>
          <w:szCs w:val="32"/>
          <w:lang w:val="en-US" w:eastAsia="zh-CN"/>
        </w:rPr>
        <w:t>一</w:t>
      </w:r>
      <w:r>
        <w:rPr>
          <w:rFonts w:hint="eastAsia" w:ascii="仿宋_GB2312" w:hAnsi="宋体" w:eastAsia="仿宋_GB2312"/>
          <w:b/>
          <w:bCs w:val="0"/>
          <w:sz w:val="32"/>
          <w:szCs w:val="32"/>
          <w:lang w:eastAsia="zh-CN"/>
        </w:rPr>
        <w:t>）</w:t>
      </w:r>
      <w:r>
        <w:rPr>
          <w:rFonts w:hint="eastAsia" w:ascii="仿宋_GB2312" w:hAnsi="宋体" w:eastAsia="仿宋_GB2312"/>
          <w:b/>
          <w:bCs w:val="0"/>
          <w:sz w:val="32"/>
          <w:szCs w:val="32"/>
        </w:rPr>
        <w:t>绩效指标设置不够明确</w:t>
      </w:r>
      <w:r>
        <w:rPr>
          <w:rFonts w:hint="eastAsia" w:ascii="仿宋_GB2312" w:hAnsi="宋体" w:eastAsia="仿宋_GB2312"/>
          <w:b/>
          <w:bCs w:val="0"/>
          <w:sz w:val="32"/>
          <w:szCs w:val="32"/>
        </w:rPr>
        <w:cr/>
      </w:r>
      <w:r>
        <w:rPr>
          <w:rFonts w:hint="eastAsia" w:ascii="仿宋_GB2312" w:hAnsi="宋体" w:eastAsia="仿宋_GB2312"/>
          <w:bCs/>
          <w:sz w:val="32"/>
          <w:szCs w:val="32"/>
        </w:rPr>
        <w:t>目前，我单位部分绩效指标在设置上存在明显不足。一方面，部</w:t>
      </w:r>
    </w:p>
    <w:p>
      <w:pPr>
        <w:numPr>
          <w:ilvl w:val="0"/>
          <w:numId w:val="0"/>
        </w:numPr>
        <w:spacing w:line="600" w:lineRule="exact"/>
        <w:jc w:val="left"/>
        <w:rPr>
          <w:rFonts w:ascii="仿宋_GB2312" w:hAnsi="宋体" w:eastAsia="仿宋_GB2312"/>
          <w:bCs/>
          <w:sz w:val="32"/>
          <w:szCs w:val="32"/>
        </w:rPr>
      </w:pPr>
      <w:r>
        <w:rPr>
          <w:rFonts w:hint="eastAsia" w:ascii="仿宋_GB2312" w:hAnsi="宋体" w:eastAsia="仿宋_GB2312"/>
          <w:bCs/>
          <w:sz w:val="32"/>
          <w:szCs w:val="32"/>
        </w:rPr>
        <w:t>分指标内容繁杂，未突出关键要点，缺乏简洁性；另一方面，一些指标的数据难以采集与统计，在实际操作中缺乏可行性。此外，部分指标值设定偏低，无法有效激发工作效能。并且，相当一部分项目的绩效指标以定性为主，量化程度低，导致指标的科学性与合理性大打折扣，亟待改进完善。</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lang w:val="en-US" w:eastAsia="zh-CN"/>
        </w:rPr>
        <w:t xml:space="preserve"> </w:t>
      </w:r>
      <w:r>
        <w:rPr>
          <w:rFonts w:hint="eastAsia" w:ascii="仿宋_GB2312" w:hAnsi="宋体" w:eastAsia="仿宋_GB2312"/>
          <w:b/>
          <w:bCs w:val="0"/>
          <w:sz w:val="32"/>
          <w:szCs w:val="32"/>
        </w:rPr>
        <w:t>（二）固定资产账务管理不够细致、严谨</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在入账及时性方面，部分固定资产在购置、调拨等环节发生后，未能在规定时间内及时入账，导致资产实际状态与账面记录存在时间差，使得单位难以实时、准确掌握资产存量与变动情况。入账信息和金额的准确性欠佳。诸如资产名称、规格型号、购置日期等关键信息登记错误或不完整，金额核算有误等情况时有发生。这不仅影响固定资产价值的准确计量，也为后续的折旧计算、资产清查等工作带来困扰。</w:t>
      </w:r>
      <w:r>
        <w:rPr>
          <w:rFonts w:hint="eastAsia" w:ascii="仿宋_GB2312" w:hAnsi="宋体" w:eastAsia="仿宋_GB2312"/>
          <w:bCs/>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rPr>
        <w:t>（三）项目监督工作存在薄弱环节</w:t>
      </w:r>
      <w:r>
        <w:rPr>
          <w:rFonts w:hint="eastAsia" w:ascii="仿宋_GB2312" w:hAnsi="宋体" w:eastAsia="仿宋_GB2312"/>
          <w:b/>
          <w:bCs w:val="0"/>
          <w:sz w:val="32"/>
          <w:szCs w:val="32"/>
        </w:rPr>
        <w:cr/>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当前，项目监督工作存在显著薄弱环节。在项目实施进程中，有效的上报、跟踪与反馈机制尚未健全，致使项目动态难以及时、全面掌握。对于各地区项目资金的使用流向、使用效益，以及项目实际推进实施状况等方面的监管，手段和力度均显不足，存在较大的提升和完善空间，亟待优化相关措施以强化监督效能。</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numPr>
          <w:ilvl w:val="0"/>
          <w:numId w:val="0"/>
        </w:numPr>
        <w:spacing w:line="600" w:lineRule="exact"/>
        <w:ind w:leftChars="304"/>
        <w:jc w:val="left"/>
        <w:rPr>
          <w:rFonts w:hint="eastAsia" w:ascii="仿宋_GB2312" w:hAnsi="宋体" w:eastAsia="仿宋_GB2312"/>
          <w:bCs/>
          <w:sz w:val="32"/>
          <w:szCs w:val="32"/>
        </w:rPr>
      </w:pPr>
      <w:r>
        <w:rPr>
          <w:rFonts w:hint="eastAsia" w:ascii="仿宋_GB2312" w:hAnsi="宋体" w:eastAsia="仿宋_GB2312"/>
          <w:b/>
          <w:bCs w:val="0"/>
          <w:sz w:val="32"/>
          <w:szCs w:val="32"/>
          <w:lang w:eastAsia="zh-CN"/>
        </w:rPr>
        <w:t>（</w:t>
      </w:r>
      <w:r>
        <w:rPr>
          <w:rFonts w:hint="eastAsia" w:ascii="仿宋_GB2312" w:hAnsi="宋体" w:eastAsia="仿宋_GB2312"/>
          <w:b/>
          <w:bCs w:val="0"/>
          <w:sz w:val="32"/>
          <w:szCs w:val="32"/>
          <w:lang w:val="en-US" w:eastAsia="zh-CN"/>
        </w:rPr>
        <w:t>一</w:t>
      </w:r>
      <w:r>
        <w:rPr>
          <w:rFonts w:hint="eastAsia" w:ascii="仿宋_GB2312" w:hAnsi="宋体" w:eastAsia="仿宋_GB2312"/>
          <w:b/>
          <w:bCs w:val="0"/>
          <w:sz w:val="32"/>
          <w:szCs w:val="32"/>
          <w:lang w:eastAsia="zh-CN"/>
        </w:rPr>
        <w:t>）</w:t>
      </w:r>
      <w:r>
        <w:rPr>
          <w:rFonts w:hint="eastAsia" w:ascii="仿宋_GB2312" w:hAnsi="宋体" w:eastAsia="仿宋_GB2312"/>
          <w:b/>
          <w:bCs w:val="0"/>
          <w:sz w:val="32"/>
          <w:szCs w:val="32"/>
        </w:rPr>
        <w:t>优化绩效指标体系</w:t>
      </w:r>
      <w:r>
        <w:rPr>
          <w:rFonts w:hint="eastAsia" w:ascii="仿宋_GB2312" w:hAnsi="宋体" w:eastAsia="仿宋_GB2312"/>
          <w:b/>
          <w:bCs w:val="0"/>
          <w:sz w:val="32"/>
          <w:szCs w:val="32"/>
        </w:rPr>
        <w:br w:type="textWrapping"/>
      </w:r>
      <w:r>
        <w:rPr>
          <w:rFonts w:hint="eastAsia" w:ascii="仿宋_GB2312" w:hAnsi="宋体" w:eastAsia="仿宋_GB2312"/>
          <w:bCs/>
          <w:sz w:val="32"/>
          <w:szCs w:val="32"/>
        </w:rPr>
        <w:t>一是精简指标内容，开展绩效指标专项梳理，围绕核心业务目标，</w:t>
      </w:r>
    </w:p>
    <w:p>
      <w:pPr>
        <w:numPr>
          <w:ilvl w:val="0"/>
          <w:numId w:val="0"/>
        </w:numPr>
        <w:spacing w:line="600" w:lineRule="exact"/>
        <w:jc w:val="left"/>
        <w:rPr>
          <w:rFonts w:hint="eastAsia" w:ascii="仿宋_GB2312" w:hAnsi="宋体" w:eastAsia="仿宋_GB2312"/>
          <w:bCs/>
          <w:sz w:val="32"/>
          <w:szCs w:val="32"/>
        </w:rPr>
      </w:pPr>
      <w:r>
        <w:rPr>
          <w:rFonts w:hint="eastAsia" w:ascii="仿宋_GB2312" w:hAnsi="宋体" w:eastAsia="仿宋_GB2312"/>
          <w:bCs/>
          <w:sz w:val="32"/>
          <w:szCs w:val="32"/>
        </w:rPr>
        <w:t>合并重复或关联性强的指标，突出关键成果与核心职责，确保每项指标指向明确、表述简洁。二是提升指标可操作性，建立数据采集与统计规范，明确指标数据来源、统计周期及责任单位，优先选用可量化、可追溯的数据，对难以量化的指标转化为可衡量的行为标准或关键事件。三是科学设定指标值：结合行业标准、历史数据及发展目标，采用“基线值+挑战值”双轨设定模式，既保障目标可及性，又激发团队潜力；邀请专家参与论证，确保指标值合理、具有挑战性。</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rPr>
        <w:t>（二）强化固定资产全流程管理</w:t>
      </w:r>
      <w:r>
        <w:rPr>
          <w:rFonts w:hint="eastAsia" w:ascii="仿宋_GB2312" w:hAnsi="宋体" w:eastAsia="仿宋_GB2312"/>
          <w:b/>
          <w:bCs w:val="0"/>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针对抽查发现的问题，查找根源并改进，建议：一是提升信息准确性，制定《固定资产入账操作手册》，规范资产信息登记标准，要求经办人在入账前核对发票、合同、验收单“三单合一”；定期开展数据交叉核验，对错误数据实行“即发现即修正”。二是落实保管责任到人，在资产台账中明确使用单位、责任人及使用状态，签订资产保管责任书；每季度开展资产盘点，将保管责任落实情况纳入单位绩效考核，强化全员责任意识。三是资产入账时相关人员应再次确认发票、合同信息，避免基础信息录入错误</w:t>
      </w:r>
      <w:r>
        <w:rPr>
          <w:rFonts w:hint="eastAsia" w:ascii="仿宋_GB2312" w:hAnsi="宋体" w:eastAsia="仿宋_GB2312"/>
          <w:bCs/>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
          <w:bCs w:val="0"/>
          <w:sz w:val="32"/>
          <w:szCs w:val="32"/>
        </w:rPr>
        <w:t>（三）健全项目监督闭环体系</w:t>
      </w:r>
      <w:r>
        <w:rPr>
          <w:rFonts w:hint="eastAsia" w:ascii="仿宋_GB2312" w:hAnsi="宋体" w:eastAsia="仿宋_GB2312"/>
          <w:b/>
          <w:bCs w:val="0"/>
          <w:sz w:val="32"/>
          <w:szCs w:val="32"/>
        </w:rPr>
        <w:br w:type="textWrapping"/>
      </w:r>
      <w:r>
        <w:rPr>
          <w:rFonts w:hint="eastAsia" w:ascii="仿宋_GB2312" w:hAnsi="宋体" w:eastAsia="仿宋_GB2312"/>
          <w:bCs/>
          <w:sz w:val="32"/>
          <w:szCs w:val="32"/>
          <w:lang w:val="en-US" w:eastAsia="zh-CN"/>
        </w:rPr>
        <w:t xml:space="preserve">    </w:t>
      </w:r>
      <w:r>
        <w:rPr>
          <w:rFonts w:hint="eastAsia" w:ascii="仿宋_GB2312" w:hAnsi="宋体" w:eastAsia="仿宋_GB2312"/>
          <w:bCs/>
          <w:sz w:val="32"/>
          <w:szCs w:val="32"/>
        </w:rPr>
        <w:t>业务单位进行指导、监督和检查时进一步加强主动性，积极探索更有效和积极主动的监管方式。一方面要强化全过程跟踪反馈，要求项目实施单位按月提交进展报告，重点说明资金使用明细、阶段性成果及问题；主管单位每季度组织现场核查，形成问题清单并限期整改，整改情况纳入项目验收评分。另一方面引入第三方专业机构开展绩效评价与合规审计，重点核查资金使用合规性、项目实施效益；推行“双随机、一公开”检查模式，扩大抽查覆盖面，检查结果向社会公示，接受多方监督。</w:t>
      </w:r>
    </w:p>
    <w:p>
      <w:pPr>
        <w:rPr>
          <w:rFonts w:hint="eastAsia" w:ascii="仿宋_GB2312" w:hAnsi="宋体" w:eastAsia="仿宋_GB2312"/>
          <w:bCs/>
          <w:sz w:val="32"/>
          <w:szCs w:val="32"/>
        </w:rPr>
      </w:pPr>
      <w:r>
        <w:rPr>
          <w:rFonts w:hint="eastAsia" w:ascii="仿宋_GB2312" w:hAnsi="宋体" w:eastAsia="仿宋_GB2312"/>
          <w:bCs/>
          <w:sz w:val="32"/>
          <w:szCs w:val="32"/>
        </w:rPr>
        <w:br w:type="page"/>
      </w:r>
    </w:p>
    <w:p>
      <w:pPr>
        <w:pStyle w:val="2"/>
      </w:pPr>
    </w:p>
    <w:p>
      <w:pPr>
        <w:numPr>
          <w:ilvl w:val="0"/>
          <w:numId w:val="1"/>
        </w:numPr>
        <w:snapToGrid w:val="0"/>
        <w:spacing w:line="540" w:lineRule="exact"/>
        <w:rPr>
          <w:rFonts w:hint="eastAsia" w:ascii="黑体" w:hAnsi="黑体" w:eastAsia="黑体" w:cs="宋体"/>
          <w:b/>
          <w:color w:val="000000" w:themeColor="text1"/>
          <w:sz w:val="32"/>
          <w:szCs w:val="32"/>
          <w:lang w:bidi="ar"/>
          <w14:textFill>
            <w14:solidFill>
              <w14:schemeClr w14:val="tx1"/>
            </w14:solidFill>
          </w14:textFill>
        </w:rPr>
      </w:pPr>
      <w:bookmarkStart w:id="1" w:name="_Toc26203"/>
      <w:r>
        <w:rPr>
          <w:rFonts w:hint="eastAsia" w:ascii="黑体" w:hAnsi="黑体" w:eastAsia="黑体" w:cs="宋体"/>
          <w:b/>
          <w:color w:val="000000" w:themeColor="text1"/>
          <w:sz w:val="32"/>
          <w:szCs w:val="32"/>
          <w:lang w:bidi="ar"/>
          <w14:textFill>
            <w14:solidFill>
              <w14:schemeClr w14:val="tx1"/>
            </w14:solidFill>
          </w14:textFill>
        </w:rPr>
        <w:t>附表：《部门整体支出绩效目标自评表》</w:t>
      </w:r>
      <w:bookmarkEnd w:id="1"/>
    </w:p>
    <w:tbl>
      <w:tblPr>
        <w:tblStyle w:val="5"/>
        <w:tblW w:w="5000" w:type="pct"/>
        <w:tblInd w:w="0" w:type="dxa"/>
        <w:tblLayout w:type="autofit"/>
        <w:tblCellMar>
          <w:top w:w="0" w:type="dxa"/>
          <w:left w:w="108" w:type="dxa"/>
          <w:bottom w:w="0" w:type="dxa"/>
          <w:right w:w="108" w:type="dxa"/>
        </w:tblCellMar>
      </w:tblPr>
      <w:tblGrid>
        <w:gridCol w:w="1586"/>
        <w:gridCol w:w="1197"/>
        <w:gridCol w:w="1169"/>
        <w:gridCol w:w="948"/>
        <w:gridCol w:w="984"/>
        <w:gridCol w:w="757"/>
        <w:gridCol w:w="892"/>
        <w:gridCol w:w="2429"/>
      </w:tblGrid>
      <w:tr>
        <w:tblPrEx>
          <w:tblCellMar>
            <w:top w:w="0" w:type="dxa"/>
            <w:left w:w="108" w:type="dxa"/>
            <w:bottom w:w="0" w:type="dxa"/>
            <w:right w:w="108" w:type="dxa"/>
          </w:tblCellMar>
        </w:tblPrEx>
        <w:trPr>
          <w:trHeight w:val="680" w:hRule="atLeast"/>
        </w:trPr>
        <w:tc>
          <w:tcPr>
            <w:tcW w:w="8522" w:type="dxa"/>
            <w:gridSpan w:val="8"/>
            <w:tcBorders>
              <w:top w:val="nil"/>
              <w:left w:val="nil"/>
              <w:bottom w:val="nil"/>
              <w:right w:val="nil"/>
            </w:tcBorders>
            <w:noWrap w:val="0"/>
            <w:vAlign w:val="center"/>
          </w:tcPr>
          <w:p>
            <w:pPr>
              <w:keepNext w:val="0"/>
              <w:keepLines w:val="0"/>
              <w:widowControl/>
              <w:suppressLineNumbers w:val="0"/>
              <w:jc w:val="center"/>
              <w:textAlignment w:val="center"/>
              <w:rPr>
                <w:rFonts w:ascii="华文中宋" w:hAnsi="华文中宋" w:eastAsia="华文中宋" w:cs="华文中宋"/>
                <w:b/>
                <w:bCs/>
                <w:color w:val="000000"/>
                <w:sz w:val="40"/>
                <w:szCs w:val="40"/>
              </w:rPr>
            </w:pPr>
            <w:bookmarkStart w:id="2" w:name="_GoBack" w:colFirst="0" w:colLast="7"/>
            <w:r>
              <w:rPr>
                <w:rFonts w:hint="eastAsia" w:ascii="宋体" w:hAnsi="宋体" w:eastAsia="宋体" w:cs="宋体"/>
                <w:b/>
                <w:bCs/>
                <w:i w:val="0"/>
                <w:iCs w:val="0"/>
                <w:color w:val="000000"/>
                <w:kern w:val="0"/>
                <w:sz w:val="22"/>
                <w:szCs w:val="22"/>
                <w:u w:val="none"/>
                <w:lang w:val="en-US" w:eastAsia="zh-CN" w:bidi="ar"/>
              </w:rPr>
              <w:t>部门（单位）整体支出绩效目标自评表</w:t>
            </w:r>
          </w:p>
        </w:tc>
      </w:tr>
      <w:tr>
        <w:tblPrEx>
          <w:tblCellMar>
            <w:top w:w="0" w:type="dxa"/>
            <w:left w:w="108" w:type="dxa"/>
            <w:bottom w:w="0" w:type="dxa"/>
            <w:right w:w="108" w:type="dxa"/>
          </w:tblCellMar>
        </w:tblPrEx>
        <w:trPr>
          <w:trHeight w:val="680" w:hRule="atLeast"/>
        </w:trPr>
        <w:tc>
          <w:tcPr>
            <w:tcW w:w="8522" w:type="dxa"/>
            <w:gridSpan w:val="8"/>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cs="宋体"/>
                <w:b/>
                <w:bCs/>
                <w:color w:val="000000"/>
                <w:sz w:val="24"/>
              </w:rPr>
            </w:pPr>
            <w:r>
              <w:rPr>
                <w:rFonts w:hint="eastAsia" w:ascii="宋体" w:hAnsi="宋体" w:eastAsia="宋体" w:cs="宋体"/>
                <w:b/>
                <w:bCs/>
                <w:i w:val="0"/>
                <w:iCs w:val="0"/>
                <w:color w:val="000000"/>
                <w:kern w:val="0"/>
                <w:sz w:val="22"/>
                <w:szCs w:val="22"/>
                <w:u w:val="none"/>
                <w:lang w:val="en-US" w:eastAsia="zh-CN" w:bidi="ar"/>
              </w:rPr>
              <w:t>（2024年）</w:t>
            </w:r>
          </w:p>
        </w:tc>
      </w:tr>
      <w:tr>
        <w:tblPrEx>
          <w:tblCellMar>
            <w:top w:w="0" w:type="dxa"/>
            <w:left w:w="108" w:type="dxa"/>
            <w:bottom w:w="0" w:type="dxa"/>
            <w:right w:w="108" w:type="dxa"/>
          </w:tblCellMar>
        </w:tblPrEx>
        <w:trPr>
          <w:trHeight w:val="680" w:hRule="atLeast"/>
        </w:trPr>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部门（单位）名称</w:t>
            </w:r>
          </w:p>
        </w:tc>
        <w:tc>
          <w:tcPr>
            <w:tcW w:w="71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22"/>
                <w:szCs w:val="22"/>
                <w:u w:val="none"/>
                <w:lang w:val="en-US" w:eastAsia="zh-CN" w:bidi="ar"/>
              </w:rPr>
              <w:t>库尔勒市农业农村综合服务中心</w:t>
            </w:r>
          </w:p>
        </w:tc>
      </w:tr>
      <w:tr>
        <w:tblPrEx>
          <w:tblCellMar>
            <w:top w:w="0" w:type="dxa"/>
            <w:left w:w="108" w:type="dxa"/>
            <w:bottom w:w="0" w:type="dxa"/>
            <w:right w:w="108" w:type="dxa"/>
          </w:tblCellMar>
        </w:tblPrEx>
        <w:trPr>
          <w:trHeight w:val="680" w:hRule="atLeast"/>
        </w:trPr>
        <w:tc>
          <w:tcPr>
            <w:tcW w:w="1357"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部门资金（万元）</w:t>
            </w:r>
          </w:p>
        </w:tc>
        <w:tc>
          <w:tcPr>
            <w:tcW w:w="1024"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资金来源</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年初预算数</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全年预算数</w:t>
            </w:r>
          </w:p>
        </w:tc>
        <w:tc>
          <w:tcPr>
            <w:tcW w:w="8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全年执行数</w:t>
            </w:r>
          </w:p>
        </w:tc>
        <w:tc>
          <w:tcPr>
            <w:tcW w:w="6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分值权重</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执行率</w:t>
            </w:r>
          </w:p>
        </w:tc>
        <w:tc>
          <w:tcPr>
            <w:tcW w:w="20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得分</w:t>
            </w:r>
          </w:p>
        </w:tc>
      </w:tr>
      <w:tr>
        <w:tblPrEx>
          <w:tblCellMar>
            <w:top w:w="0" w:type="dxa"/>
            <w:left w:w="108" w:type="dxa"/>
            <w:bottom w:w="0" w:type="dxa"/>
            <w:right w:w="108" w:type="dxa"/>
          </w:tblCellMar>
        </w:tblPrEx>
        <w:trPr>
          <w:trHeight w:val="680" w:hRule="atLeast"/>
        </w:trPr>
        <w:tc>
          <w:tcPr>
            <w:tcW w:w="1357"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20"/>
                <w:szCs w:val="20"/>
              </w:rPr>
            </w:pPr>
          </w:p>
        </w:tc>
        <w:tc>
          <w:tcPr>
            <w:tcW w:w="1024"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年度总资金</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923.62</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870.83</w:t>
            </w:r>
          </w:p>
        </w:tc>
        <w:tc>
          <w:tcPr>
            <w:tcW w:w="8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870.83</w:t>
            </w:r>
          </w:p>
        </w:tc>
        <w:tc>
          <w:tcPr>
            <w:tcW w:w="6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10</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100%</w:t>
            </w:r>
          </w:p>
        </w:tc>
        <w:tc>
          <w:tcPr>
            <w:tcW w:w="20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10</w:t>
            </w:r>
          </w:p>
        </w:tc>
      </w:tr>
      <w:tr>
        <w:tblPrEx>
          <w:tblCellMar>
            <w:top w:w="0" w:type="dxa"/>
            <w:left w:w="108" w:type="dxa"/>
            <w:bottom w:w="0" w:type="dxa"/>
            <w:right w:w="108" w:type="dxa"/>
          </w:tblCellMar>
        </w:tblPrEx>
        <w:trPr>
          <w:trHeight w:val="680" w:hRule="atLeast"/>
        </w:trPr>
        <w:tc>
          <w:tcPr>
            <w:tcW w:w="1357"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20"/>
                <w:szCs w:val="20"/>
              </w:rPr>
            </w:pP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其中:上级安排（万元）</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19.6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62</w:t>
            </w:r>
          </w:p>
        </w:tc>
        <w:tc>
          <w:tcPr>
            <w:tcW w:w="8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62</w:t>
            </w:r>
          </w:p>
        </w:tc>
        <w:tc>
          <w:tcPr>
            <w:tcW w:w="6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c>
          <w:tcPr>
            <w:tcW w:w="20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680" w:hRule="atLeast"/>
        </w:trPr>
        <w:tc>
          <w:tcPr>
            <w:tcW w:w="1357"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20"/>
                <w:szCs w:val="20"/>
              </w:rPr>
            </w:pP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本级安排（万元）</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904.02</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808.83</w:t>
            </w:r>
          </w:p>
        </w:tc>
        <w:tc>
          <w:tcPr>
            <w:tcW w:w="8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808.83</w:t>
            </w:r>
          </w:p>
        </w:tc>
        <w:tc>
          <w:tcPr>
            <w:tcW w:w="6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c>
          <w:tcPr>
            <w:tcW w:w="20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680" w:hRule="atLeast"/>
        </w:trPr>
        <w:tc>
          <w:tcPr>
            <w:tcW w:w="1357"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cs="宋体"/>
                <w:color w:val="000000"/>
                <w:sz w:val="20"/>
                <w:szCs w:val="20"/>
              </w:rPr>
            </w:pP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其他资金（万元）</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0</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0</w:t>
            </w:r>
          </w:p>
        </w:tc>
        <w:tc>
          <w:tcPr>
            <w:tcW w:w="8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0</w:t>
            </w:r>
          </w:p>
        </w:tc>
        <w:tc>
          <w:tcPr>
            <w:tcW w:w="6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c>
          <w:tcPr>
            <w:tcW w:w="20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680" w:hRule="atLeast"/>
        </w:trPr>
        <w:tc>
          <w:tcPr>
            <w:tcW w:w="13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年度总体目标</w:t>
            </w:r>
          </w:p>
        </w:tc>
        <w:tc>
          <w:tcPr>
            <w:tcW w:w="283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预期目标</w:t>
            </w:r>
          </w:p>
        </w:tc>
        <w:tc>
          <w:tcPr>
            <w:tcW w:w="433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CellMar>
            <w:top w:w="0" w:type="dxa"/>
            <w:left w:w="108" w:type="dxa"/>
            <w:bottom w:w="0" w:type="dxa"/>
            <w:right w:w="108" w:type="dxa"/>
          </w:tblCellMar>
        </w:tblPrEx>
        <w:trPr>
          <w:trHeight w:val="680" w:hRule="atLeast"/>
        </w:trPr>
        <w:tc>
          <w:tcPr>
            <w:tcW w:w="13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83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 xml:space="preserve">目标1：通过国家农业部审核，我们将继续积极对接协调，做好制种大县项目发展规划的建设内容。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目标2：抓好良种繁育工作。对种子市场开展抽检工作了解掌握市场棉花种子保供与价格波动情况。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目标3：继续督促新疆九中禾种业创新园项目建设进展，督促国欣种业和晶华种业按照商业化育种项目实施进度表推进项目进度。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目标4：按照上级要求，完成“四个百万亩”制种基地项目阶段性工作。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目标5：继续开展畜禽改良工作，做好小畜改良、黄牛改良工作。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目标6：继续开展动物屠宰检疫工作，加强屠宰点、屠宰场、兽药饲料店和养殖小区等安全生产及疫情防控工作。</w:t>
            </w:r>
          </w:p>
        </w:tc>
        <w:tc>
          <w:tcPr>
            <w:tcW w:w="433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实际完成：库尔勒市棉花制种大县发展规划目前已通过国家农业部审核，我们将继续积极对接协调，做好制种大县项目发展规划的建设内容；对库尔勒市种子市场、农资门店所经营的棉花、玉米种子开展抽检工作并对抽检种子进行净度、水分、发芽率等试验；开展春季种子市场专项质量抽检工作，调查统计2024年全市落实良种繁育面积情况，同时，对制种田进行田检，田检覆盖率达到100%；新疆九中禾种业创新园项目建设取得初步进展，国欣种业和晶华种业按照商业化育种项目实施进度表推进项目进度；开展畜禽改良工作，小畜改良、黄牛改良共计3542头；开展动物屠宰检疫工作，加强屠宰点、屠宰场63.17万头。</w:t>
            </w:r>
          </w:p>
        </w:tc>
      </w:tr>
      <w:tr>
        <w:tblPrEx>
          <w:tblCellMar>
            <w:top w:w="0" w:type="dxa"/>
            <w:left w:w="108" w:type="dxa"/>
            <w:bottom w:w="0" w:type="dxa"/>
            <w:right w:w="108" w:type="dxa"/>
          </w:tblCellMar>
        </w:tblPrEx>
        <w:trPr>
          <w:trHeight w:val="680" w:hRule="atLeast"/>
        </w:trPr>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一级指标</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二级指标</w:t>
            </w:r>
          </w:p>
        </w:tc>
        <w:tc>
          <w:tcPr>
            <w:tcW w:w="1000"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三级指标</w:t>
            </w:r>
          </w:p>
        </w:tc>
        <w:tc>
          <w:tcPr>
            <w:tcW w:w="811"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预期指标值</w:t>
            </w:r>
          </w:p>
        </w:tc>
        <w:tc>
          <w:tcPr>
            <w:tcW w:w="84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指标值设定依据</w:t>
            </w:r>
          </w:p>
        </w:tc>
        <w:tc>
          <w:tcPr>
            <w:tcW w:w="648"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分值权重</w:t>
            </w:r>
          </w:p>
        </w:tc>
        <w:tc>
          <w:tcPr>
            <w:tcW w:w="763"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实际完成指标值</w:t>
            </w:r>
          </w:p>
        </w:tc>
        <w:tc>
          <w:tcPr>
            <w:tcW w:w="2077"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b/>
                <w:bCs/>
                <w:i w:val="0"/>
                <w:iCs w:val="0"/>
                <w:color w:val="000000"/>
                <w:kern w:val="0"/>
                <w:sz w:val="18"/>
                <w:szCs w:val="18"/>
                <w:u w:val="none"/>
                <w:lang w:val="en-US" w:eastAsia="zh-CN" w:bidi="ar"/>
              </w:rPr>
              <w:t>得分</w:t>
            </w:r>
          </w:p>
        </w:tc>
      </w:tr>
      <w:tr>
        <w:tblPrEx>
          <w:tblCellMar>
            <w:top w:w="0" w:type="dxa"/>
            <w:left w:w="108" w:type="dxa"/>
            <w:bottom w:w="0" w:type="dxa"/>
            <w:right w:w="108" w:type="dxa"/>
          </w:tblCellMar>
        </w:tblPrEx>
        <w:trPr>
          <w:trHeight w:val="680" w:hRule="atLeast"/>
        </w:trPr>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运行成本</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842" w:type="dxa"/>
            <w:tcBorders>
              <w:top w:val="single" w:color="000000" w:sz="4" w:space="0"/>
              <w:left w:val="single" w:color="000000" w:sz="4" w:space="0"/>
              <w:bottom w:val="single" w:color="000000" w:sz="4" w:space="0"/>
              <w:right w:val="single" w:color="000000" w:sz="4" w:space="0"/>
            </w:tcBorders>
            <w:noWrap w:val="0"/>
            <w:vAlign w:val="center"/>
          </w:tcPr>
          <w:p>
            <w:pPr>
              <w:jc w:val="center"/>
            </w:pPr>
          </w:p>
        </w:tc>
        <w:tc>
          <w:tcPr>
            <w:tcW w:w="6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20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r>
      <w:tr>
        <w:tblPrEx>
          <w:tblCellMar>
            <w:top w:w="0" w:type="dxa"/>
            <w:left w:w="108" w:type="dxa"/>
            <w:bottom w:w="0" w:type="dxa"/>
            <w:right w:w="108" w:type="dxa"/>
          </w:tblCellMar>
        </w:tblPrEx>
        <w:trPr>
          <w:trHeight w:val="680" w:hRule="atLeast"/>
        </w:trPr>
        <w:tc>
          <w:tcPr>
            <w:tcW w:w="13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管理效率</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842" w:type="dxa"/>
            <w:tcBorders>
              <w:top w:val="single" w:color="000000" w:sz="4" w:space="0"/>
              <w:left w:val="single" w:color="000000" w:sz="4" w:space="0"/>
              <w:bottom w:val="single" w:color="000000" w:sz="4" w:space="0"/>
              <w:right w:val="single" w:color="000000" w:sz="4" w:space="0"/>
            </w:tcBorders>
            <w:noWrap w:val="0"/>
            <w:vAlign w:val="center"/>
          </w:tcPr>
          <w:p>
            <w:pPr>
              <w:jc w:val="center"/>
            </w:pPr>
          </w:p>
        </w:tc>
        <w:tc>
          <w:tcPr>
            <w:tcW w:w="64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c>
          <w:tcPr>
            <w:tcW w:w="207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4"/>
              </w:rPr>
            </w:pPr>
          </w:p>
        </w:tc>
      </w:tr>
      <w:tr>
        <w:tblPrEx>
          <w:tblCellMar>
            <w:top w:w="0" w:type="dxa"/>
            <w:left w:w="108" w:type="dxa"/>
            <w:bottom w:w="0" w:type="dxa"/>
            <w:right w:w="108" w:type="dxa"/>
          </w:tblCellMar>
        </w:tblPrEx>
        <w:trPr>
          <w:trHeight w:val="680" w:hRule="atLeast"/>
        </w:trPr>
        <w:tc>
          <w:tcPr>
            <w:tcW w:w="13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履职效能</w:t>
            </w:r>
          </w:p>
        </w:tc>
        <w:tc>
          <w:tcPr>
            <w:tcW w:w="1024"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开展种子抽检次数</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&gt;=1次</w:t>
            </w:r>
          </w:p>
        </w:tc>
        <w:tc>
          <w:tcPr>
            <w:tcW w:w="8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根据2024年工作计划</w:t>
            </w:r>
          </w:p>
        </w:tc>
        <w:tc>
          <w:tcPr>
            <w:tcW w:w="6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=1次</w:t>
            </w:r>
          </w:p>
        </w:tc>
        <w:tc>
          <w:tcPr>
            <w:tcW w:w="20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r>
      <w:tr>
        <w:tblPrEx>
          <w:tblCellMar>
            <w:top w:w="0" w:type="dxa"/>
            <w:left w:w="108" w:type="dxa"/>
            <w:bottom w:w="0" w:type="dxa"/>
            <w:right w:w="108" w:type="dxa"/>
          </w:tblCellMar>
        </w:tblPrEx>
        <w:trPr>
          <w:trHeight w:val="680" w:hRule="atLeast"/>
        </w:trPr>
        <w:tc>
          <w:tcPr>
            <w:tcW w:w="13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田检覆盖率</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=100%</w:t>
            </w:r>
          </w:p>
        </w:tc>
        <w:tc>
          <w:tcPr>
            <w:tcW w:w="8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根据2024年工作计划</w:t>
            </w:r>
          </w:p>
        </w:tc>
        <w:tc>
          <w:tcPr>
            <w:tcW w:w="6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=100%</w:t>
            </w:r>
          </w:p>
        </w:tc>
        <w:tc>
          <w:tcPr>
            <w:tcW w:w="20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r>
      <w:tr>
        <w:tblPrEx>
          <w:tblCellMar>
            <w:top w:w="0" w:type="dxa"/>
            <w:left w:w="108" w:type="dxa"/>
            <w:bottom w:w="0" w:type="dxa"/>
            <w:right w:w="108" w:type="dxa"/>
          </w:tblCellMar>
        </w:tblPrEx>
        <w:trPr>
          <w:trHeight w:val="680" w:hRule="atLeast"/>
        </w:trPr>
        <w:tc>
          <w:tcPr>
            <w:tcW w:w="13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百万亩制种基地项目</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&gt;=4个</w:t>
            </w:r>
          </w:p>
        </w:tc>
        <w:tc>
          <w:tcPr>
            <w:tcW w:w="8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根据2024年工作计划</w:t>
            </w:r>
          </w:p>
        </w:tc>
        <w:tc>
          <w:tcPr>
            <w:tcW w:w="6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10</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=0个</w:t>
            </w:r>
          </w:p>
        </w:tc>
        <w:tc>
          <w:tcPr>
            <w:tcW w:w="20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0</w:t>
            </w:r>
          </w:p>
        </w:tc>
      </w:tr>
      <w:tr>
        <w:tblPrEx>
          <w:tblCellMar>
            <w:top w:w="0" w:type="dxa"/>
            <w:left w:w="108" w:type="dxa"/>
            <w:bottom w:w="0" w:type="dxa"/>
            <w:right w:w="108" w:type="dxa"/>
          </w:tblCellMar>
        </w:tblPrEx>
        <w:trPr>
          <w:trHeight w:val="680" w:hRule="atLeast"/>
        </w:trPr>
        <w:tc>
          <w:tcPr>
            <w:tcW w:w="13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2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开展畜禽改良工作，做好小畜改良、黄牛改良</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&gt;=3500头</w:t>
            </w:r>
          </w:p>
        </w:tc>
        <w:tc>
          <w:tcPr>
            <w:tcW w:w="84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根据2024年工作计划</w:t>
            </w:r>
          </w:p>
        </w:tc>
        <w:tc>
          <w:tcPr>
            <w:tcW w:w="6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c>
          <w:tcPr>
            <w:tcW w:w="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=3542头</w:t>
            </w:r>
          </w:p>
        </w:tc>
        <w:tc>
          <w:tcPr>
            <w:tcW w:w="207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20</w:t>
            </w:r>
          </w:p>
        </w:tc>
      </w:tr>
      <w:bookmarkEnd w:id="2"/>
    </w:tbl>
    <w:p>
      <w:pPr>
        <w:numPr>
          <w:numId w:val="0"/>
        </w:numPr>
        <w:snapToGrid w:val="0"/>
        <w:spacing w:line="540" w:lineRule="exact"/>
        <w:rPr>
          <w:rFonts w:hint="eastAsia" w:ascii="黑体" w:hAnsi="黑体" w:eastAsia="黑体" w:cs="宋体"/>
          <w:b/>
          <w:color w:val="000000" w:themeColor="text1"/>
          <w:sz w:val="32"/>
          <w:szCs w:val="32"/>
          <w:lang w:bidi="ar"/>
          <w14:textFill>
            <w14:solidFill>
              <w14:schemeClr w14:val="tx1"/>
            </w14:solidFill>
          </w14:textFill>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184C38E6"/>
    <w:rsid w:val="200F4073"/>
    <w:rsid w:val="24B86128"/>
    <w:rsid w:val="34F97562"/>
    <w:rsid w:val="51C70EA9"/>
    <w:rsid w:val="54F842B6"/>
    <w:rsid w:val="64F5745B"/>
    <w:rsid w:val="656071F2"/>
    <w:rsid w:val="6BF1756B"/>
    <w:rsid w:val="6F5E1AA3"/>
    <w:rsid w:val="796549CE"/>
    <w:rsid w:val="7C67720B"/>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bCs/>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7774</Words>
  <Characters>8216</Characters>
  <Lines>2</Lines>
  <Paragraphs>1</Paragraphs>
  <TotalTime>0</TotalTime>
  <ScaleCrop>false</ScaleCrop>
  <LinksUpToDate>false</LinksUpToDate>
  <CharactersWithSpaces>8217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2025-08-18T13:24:13Z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y fmtid="{D5CDD505-2E9C-101B-9397-08002B2CF9AE}" pid="4" name="KSOTemplateDocerSaveRecord">
    <vt:lpwstr>eyJoZGlkIjoiNjJhZjlkMGJiOGI3Y2FkNzkyZTA5YzhkZjJjZTBiYjciLCJ1c2VySWQiOiI1MzMyNjY2NjMifQ==</vt:lpwstr>
  </property>
</Properties>
</file>