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10BB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0C89AA8">
      <w:pPr>
        <w:spacing w:line="540" w:lineRule="exact"/>
        <w:jc w:val="center"/>
        <w:rPr>
          <w:rFonts w:ascii="华文中宋" w:hAnsi="华文中宋" w:eastAsia="华文中宋" w:cs="宋体"/>
          <w:b/>
          <w:kern w:val="0"/>
          <w:sz w:val="52"/>
          <w:szCs w:val="52"/>
        </w:rPr>
      </w:pPr>
    </w:p>
    <w:p w14:paraId="7F331BFE">
      <w:pPr>
        <w:spacing w:line="540" w:lineRule="exact"/>
        <w:jc w:val="center"/>
        <w:rPr>
          <w:rFonts w:ascii="华文中宋" w:hAnsi="华文中宋" w:eastAsia="华文中宋" w:cs="宋体"/>
          <w:b/>
          <w:kern w:val="0"/>
          <w:sz w:val="52"/>
          <w:szCs w:val="52"/>
        </w:rPr>
      </w:pPr>
    </w:p>
    <w:p w14:paraId="725C2736">
      <w:pPr>
        <w:spacing w:line="540" w:lineRule="exact"/>
        <w:jc w:val="center"/>
        <w:rPr>
          <w:rFonts w:ascii="华文中宋" w:hAnsi="华文中宋" w:eastAsia="华文中宋" w:cs="宋体"/>
          <w:b/>
          <w:kern w:val="0"/>
          <w:sz w:val="52"/>
          <w:szCs w:val="52"/>
        </w:rPr>
      </w:pPr>
    </w:p>
    <w:p w14:paraId="03CB110E">
      <w:pPr>
        <w:spacing w:line="540" w:lineRule="exact"/>
        <w:jc w:val="center"/>
        <w:rPr>
          <w:rFonts w:ascii="华文中宋" w:hAnsi="华文中宋" w:eastAsia="华文中宋" w:cs="宋体"/>
          <w:b/>
          <w:kern w:val="0"/>
          <w:sz w:val="52"/>
          <w:szCs w:val="52"/>
        </w:rPr>
      </w:pPr>
    </w:p>
    <w:p w14:paraId="4FAF7FDE">
      <w:pPr>
        <w:spacing w:line="540" w:lineRule="exact"/>
        <w:jc w:val="center"/>
        <w:rPr>
          <w:rFonts w:ascii="华文中宋" w:hAnsi="华文中宋" w:eastAsia="华文中宋" w:cs="宋体"/>
          <w:b/>
          <w:kern w:val="0"/>
          <w:sz w:val="52"/>
          <w:szCs w:val="52"/>
        </w:rPr>
      </w:pPr>
    </w:p>
    <w:p w14:paraId="7DF08C58">
      <w:pPr>
        <w:spacing w:line="540" w:lineRule="exact"/>
        <w:jc w:val="center"/>
        <w:rPr>
          <w:rFonts w:ascii="华文中宋" w:hAnsi="华文中宋" w:eastAsia="华文中宋" w:cs="宋体"/>
          <w:b/>
          <w:kern w:val="0"/>
          <w:sz w:val="52"/>
          <w:szCs w:val="52"/>
        </w:rPr>
      </w:pPr>
    </w:p>
    <w:p w14:paraId="3F81F7A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5F854202">
      <w:pPr>
        <w:spacing w:line="540" w:lineRule="exact"/>
        <w:jc w:val="center"/>
        <w:rPr>
          <w:rFonts w:ascii="华文中宋" w:hAnsi="华文中宋" w:eastAsia="华文中宋" w:cs="宋体"/>
          <w:b/>
          <w:kern w:val="0"/>
          <w:sz w:val="52"/>
          <w:szCs w:val="52"/>
        </w:rPr>
      </w:pPr>
    </w:p>
    <w:p w14:paraId="3F5D4328">
      <w:pPr>
        <w:spacing w:line="540" w:lineRule="exact"/>
        <w:jc w:val="center"/>
        <w:rPr>
          <w:rFonts w:hAnsi="宋体" w:eastAsia="仿宋_GB2312" w:cs="宋体"/>
          <w:kern w:val="0"/>
          <w:sz w:val="44"/>
          <w:szCs w:val="44"/>
        </w:rPr>
      </w:pPr>
      <w:r>
        <w:rPr>
          <w:rFonts w:hint="eastAsia" w:hAnsi="宋体" w:eastAsia="仿宋_GB2312" w:cs="宋体"/>
          <w:kern w:val="0"/>
          <w:sz w:val="44"/>
          <w:szCs w:val="44"/>
        </w:rPr>
        <w:t xml:space="preserve">（ </w:t>
      </w:r>
      <w:r>
        <w:rPr>
          <w:rStyle w:val="18"/>
          <w:rFonts w:hint="eastAsia" w:ascii="楷体" w:hAnsi="楷体" w:eastAsia="楷体"/>
          <w:spacing w:val="-4"/>
          <w:sz w:val="40"/>
          <w:szCs w:val="40"/>
        </w:rPr>
        <w:t>2024</w:t>
      </w:r>
      <w:r>
        <w:rPr>
          <w:rFonts w:hint="eastAsia" w:hAnsi="宋体" w:eastAsia="仿宋_GB2312" w:cs="宋体"/>
          <w:kern w:val="0"/>
          <w:sz w:val="44"/>
          <w:szCs w:val="44"/>
        </w:rPr>
        <w:t xml:space="preserve"> 年度）</w:t>
      </w:r>
    </w:p>
    <w:p w14:paraId="0D7F12F6">
      <w:pPr>
        <w:spacing w:line="540" w:lineRule="exact"/>
        <w:jc w:val="center"/>
        <w:rPr>
          <w:rFonts w:hAnsi="宋体" w:eastAsia="仿宋_GB2312" w:cs="宋体"/>
          <w:kern w:val="0"/>
          <w:sz w:val="30"/>
          <w:szCs w:val="30"/>
        </w:rPr>
      </w:pPr>
    </w:p>
    <w:p w14:paraId="62FA258D">
      <w:pPr>
        <w:spacing w:line="540" w:lineRule="exact"/>
        <w:jc w:val="center"/>
        <w:rPr>
          <w:rFonts w:hAnsi="宋体" w:eastAsia="仿宋_GB2312" w:cs="宋体"/>
          <w:kern w:val="0"/>
          <w:sz w:val="30"/>
          <w:szCs w:val="30"/>
        </w:rPr>
      </w:pPr>
    </w:p>
    <w:p w14:paraId="473FF1DA">
      <w:pPr>
        <w:spacing w:line="540" w:lineRule="exact"/>
        <w:jc w:val="center"/>
        <w:rPr>
          <w:rFonts w:ascii="方正小标宋_GBK" w:hAnsi="宋体" w:eastAsia="方正小标宋_GBK" w:cs="宋体"/>
          <w:kern w:val="0"/>
          <w:sz w:val="36"/>
          <w:szCs w:val="36"/>
        </w:rPr>
      </w:pPr>
    </w:p>
    <w:p w14:paraId="5FA1B76D">
      <w:pPr>
        <w:spacing w:line="540" w:lineRule="exact"/>
        <w:jc w:val="center"/>
        <w:rPr>
          <w:rFonts w:hAnsi="宋体" w:eastAsia="仿宋_GB2312" w:cs="宋体"/>
          <w:kern w:val="0"/>
          <w:sz w:val="30"/>
          <w:szCs w:val="30"/>
        </w:rPr>
      </w:pPr>
    </w:p>
    <w:p w14:paraId="2671A1FF">
      <w:pPr>
        <w:spacing w:line="540" w:lineRule="exact"/>
        <w:jc w:val="center"/>
        <w:rPr>
          <w:rFonts w:hAnsi="宋体" w:eastAsia="仿宋_GB2312" w:cs="宋体"/>
          <w:kern w:val="0"/>
          <w:sz w:val="30"/>
          <w:szCs w:val="30"/>
        </w:rPr>
      </w:pPr>
    </w:p>
    <w:p w14:paraId="5F89BBA5">
      <w:pPr>
        <w:spacing w:line="540" w:lineRule="exact"/>
        <w:jc w:val="center"/>
        <w:rPr>
          <w:rFonts w:hAnsi="宋体" w:eastAsia="仿宋_GB2312" w:cs="宋体"/>
          <w:kern w:val="0"/>
          <w:sz w:val="30"/>
          <w:szCs w:val="30"/>
        </w:rPr>
      </w:pPr>
    </w:p>
    <w:p w14:paraId="16C2CC97">
      <w:pPr>
        <w:spacing w:line="540" w:lineRule="exact"/>
        <w:rPr>
          <w:rFonts w:hAnsi="宋体" w:eastAsia="仿宋_GB2312" w:cs="宋体"/>
          <w:kern w:val="0"/>
          <w:sz w:val="30"/>
          <w:szCs w:val="30"/>
        </w:rPr>
      </w:pPr>
    </w:p>
    <w:p w14:paraId="2ABCCDE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6B3226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巴财农[2024]3号关于提前下达2024年自治区畜牧业生产发展资金预算的通知</w:t>
      </w:r>
    </w:p>
    <w:p w14:paraId="4D7D9C4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库尔勒市农业农村综合服务中心</w:t>
      </w:r>
    </w:p>
    <w:p w14:paraId="3B80A69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库尔勒市农业农村综合服务中心</w:t>
      </w:r>
    </w:p>
    <w:p w14:paraId="0759180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阿迪力江·玉山</w:t>
      </w:r>
    </w:p>
    <w:p w14:paraId="0DE9ADA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2025年04月28日</w:t>
      </w:r>
    </w:p>
    <w:p w14:paraId="1FEE83D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9209C3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bCs/>
          <w:spacing w:val="-4"/>
          <w:sz w:val="32"/>
          <w:szCs w:val="32"/>
        </w:rPr>
        <w:t>（一）项目概况。</w:t>
      </w:r>
      <w:r>
        <w:rPr>
          <w:rStyle w:val="18"/>
          <w:rFonts w:hint="eastAsia" w:ascii="楷体" w:hAnsi="楷体" w:eastAsia="楷体"/>
          <w:b w:val="0"/>
          <w:bCs w:val="0"/>
          <w:spacing w:val="-4"/>
          <w:sz w:val="32"/>
          <w:szCs w:val="32"/>
        </w:rPr>
        <w:t>包括项目背景、主要内容及实施情况、资金投入和使用情况等。</w:t>
      </w:r>
    </w:p>
    <w:p w14:paraId="50B94133">
      <w:p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bCs/>
          <w:spacing w:val="-4"/>
          <w:sz w:val="32"/>
          <w:szCs w:val="32"/>
        </w:rPr>
        <w:t>1.项目背景</w:t>
      </w:r>
      <w:r>
        <w:rPr>
          <w:rStyle w:val="18"/>
          <w:rFonts w:hint="eastAsia" w:ascii="楷体" w:hAnsi="楷体" w:eastAsia="楷体"/>
          <w:b/>
          <w:bCs/>
          <w:spacing w:val="-4"/>
          <w:sz w:val="32"/>
          <w:szCs w:val="32"/>
        </w:rPr>
        <w:cr/>
      </w:r>
      <w:r>
        <w:rPr>
          <w:rStyle w:val="18"/>
          <w:rFonts w:hint="eastAsia" w:ascii="楷体" w:hAnsi="楷体" w:eastAsia="楷体"/>
          <w:b w:val="0"/>
          <w:bCs w:val="0"/>
          <w:spacing w:val="-4"/>
          <w:sz w:val="32"/>
          <w:szCs w:val="32"/>
        </w:rPr>
        <w:t>根据《自治区肉毛兼用绒毛用羊品种选育提升计划》（新牧</w:t>
      </w:r>
    </w:p>
    <w:p w14:paraId="4BD94021">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畜字〔2022〕1号）文件要求，推动库尔勒市畜牧业发展，助力库尔勒市中牧养殖有限公司提升肉毛兼用绒毛用羊品种质量，旨在通过科学规划与资源投入，实现羊品种的优化选育，提高养殖效益与产业竞争力。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（1）</w:t>
      </w:r>
      <w:r>
        <w:rPr>
          <w:rStyle w:val="18"/>
          <w:rFonts w:hint="eastAsia" w:ascii="楷体" w:hAnsi="楷体" w:eastAsia="楷体"/>
          <w:b/>
          <w:bCs/>
          <w:spacing w:val="-4"/>
          <w:sz w:val="32"/>
          <w:szCs w:val="32"/>
        </w:rPr>
        <w:t>项目主要内容：</w:t>
      </w:r>
      <w:r>
        <w:rPr>
          <w:rStyle w:val="18"/>
          <w:rFonts w:hint="eastAsia" w:ascii="楷体" w:hAnsi="楷体" w:eastAsia="楷体"/>
          <w:b w:val="0"/>
          <w:bCs w:val="0"/>
          <w:spacing w:val="-4"/>
          <w:sz w:val="32"/>
          <w:szCs w:val="32"/>
        </w:rPr>
        <w:t>用于提升库尔勒市肉毛兼用型细毛羊选育，并对本地品种进行经济杂交，为养殖户提质增效，计划购买种公羊6只，购买饲料、人工授精器皿等1批，雇用饲养人员3人，购买专用车辆2辆；围绕肉用细毛羊新品种培育、种羊推广、羊毛优质优价运行等方面全面提高绒毛用羊的养殖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（2）</w:t>
      </w:r>
      <w:r>
        <w:rPr>
          <w:rStyle w:val="18"/>
          <w:rFonts w:hint="eastAsia" w:ascii="楷体" w:hAnsi="楷体" w:eastAsia="楷体"/>
          <w:b/>
          <w:bCs/>
          <w:spacing w:val="-4"/>
          <w:sz w:val="32"/>
          <w:szCs w:val="32"/>
        </w:rPr>
        <w:t>项目实施情况：</w:t>
      </w:r>
      <w:r>
        <w:rPr>
          <w:rStyle w:val="18"/>
          <w:rFonts w:hint="eastAsia" w:ascii="楷体" w:hAnsi="楷体" w:eastAsia="楷体"/>
          <w:b w:val="0"/>
          <w:bCs w:val="0"/>
          <w:spacing w:val="-4"/>
          <w:sz w:val="32"/>
          <w:szCs w:val="32"/>
        </w:rPr>
        <w:t>组建肉用细毛羊核心群，开展生产性能测定，购买种公羊6只；购买饲料135吨；购买人工授精手套、采血器、布病检测材料及兽用药品羊用棉栓、促黄体激素释放激素、血促性素等；购买舔砖144块；雇用饲养人员：2月雇佣3人，3月雇用2人，4月雇用1人；购买饲料送料车、除粪车各1辆。围绕肉用细毛羊新品种培育、种羊推广、羊毛优质优价运行等方面开展品种选育、繁殖和精准饲养管理及品种示范和推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（1）资金投入情况</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该项目年初预算数30.00万元，全年预算数30.00万元，该项目资金已全部落实到位，资金来源为财政拨款。</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（2）资金使用情况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该项目年初预算数30.00万元，全年预算数30.00万元，全年执行数30.00万元，预算执行率为100%，主要用于以下方面：采购饲料及人工授精器皿，支出18.20万元，以保障养殖基础物资的充足；购买种公羊，投入4.80万元，旨在提升种群质量；支付饲养员工资等费用共计4.00万元，确保养殖工作的稳定进行；购置养殖专用车辆，花费3.00万元，完善运输保障体系。各项资金精准投入关键环节，有效推动养殖项目全流程的规范化运作。</w:t>
      </w:r>
    </w:p>
    <w:p w14:paraId="60764E3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5D78E0AD">
      <w:pPr>
        <w:spacing w:line="540" w:lineRule="exact"/>
        <w:ind w:left="638" w:leftChars="304" w:firstLine="219" w:firstLineChars="70"/>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b w:val="0"/>
          <w:bCs w:val="0"/>
          <w:spacing w:val="-4"/>
          <w:sz w:val="32"/>
          <w:szCs w:val="32"/>
        </w:rPr>
        <w:t>目标1：组建肉用细毛羊核心群，开展生产性能测定，购买</w:t>
      </w:r>
    </w:p>
    <w:p w14:paraId="38956760">
      <w:pPr>
        <w:spacing w:line="540" w:lineRule="exact"/>
        <w:rPr>
          <w:rStyle w:val="18"/>
          <w:rFonts w:ascii="楷体" w:hAnsi="楷体" w:eastAsia="楷体"/>
          <w:spacing w:val="-4"/>
          <w:sz w:val="32"/>
          <w:szCs w:val="32"/>
        </w:rPr>
      </w:pPr>
      <w:r>
        <w:rPr>
          <w:rStyle w:val="18"/>
          <w:rFonts w:hint="eastAsia" w:ascii="楷体" w:hAnsi="楷体" w:eastAsia="楷体"/>
          <w:b w:val="0"/>
          <w:bCs w:val="0"/>
          <w:spacing w:val="-4"/>
          <w:sz w:val="32"/>
          <w:szCs w:val="32"/>
        </w:rPr>
        <w:t>种公羊6只，购买饲料、人工授精器皿等1批，雇用饲养人员3人，购买专用车辆2辆。目标2：围绕肉用细毛羊新品种培育、种羊推广、羊毛优质优价运行等方面开展品种选育、繁殖和精准饲养管理及品种示范和推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第1季度计划完成种公羊采购计划制定，确定6只种公羊的品种、血缘及采购渠道，完成饲料、人工授精设备（采精器械、药品等），启动供应商招标工作；完成3名饲养人员的招聘与岗前培训；购置2辆专用车辆（1辆饲料运输车、1辆除粪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第2季度计划完成6只种公羊采购并引入隔离检疫，建立个体系谱档案，启动生产性能测定；采购首批饲料、人工授精设备及耗材；3名饲养人员正式上岗，实施分群饲养管理，建立日常饲喂、疫病防控记录体系。</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第3季度开展羔羊生长性能测定（体重、毛质、肉用指标），建立数据监测平台，优化饲养配方；实施羊人工授精，建立核心群系谱数据库；打造1个标准化养殖示范场，安装羊舍环境优化及智能化监测设备。</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第4季度形成肉用细毛羊选育技术规范。深化品种选育技术，扩大示范推广规模，实现种羊和羊毛商品化销售。</w:t>
      </w:r>
    </w:p>
    <w:p w14:paraId="73AC6C1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5188772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64CB2F0">
      <w:pPr>
        <w:spacing w:line="540" w:lineRule="exact"/>
        <w:ind w:left="638" w:leftChars="304" w:firstLine="219" w:firstLineChars="70"/>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b w:val="0"/>
          <w:bCs w:val="0"/>
          <w:spacing w:val="-4"/>
          <w:sz w:val="32"/>
          <w:szCs w:val="32"/>
        </w:rPr>
        <w:t>本项目预算绩效评价报告在编制过程中，严格遵循相关法</w:t>
      </w:r>
    </w:p>
    <w:p w14:paraId="0EBB3657">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规与标准，确保评价内容的全面性与准确性。报告涵盖了项目从预算编制、执行到完成的全过程，对项目的各项绩效指标进行了细致的梳理与评估。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（1）评估项目实施效果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通过对项目预算执行情况及各项绩效目标达成程度的系统性分析，全面、客观地评估项目在预定周期内的实施效果，以社会效益为项目后续的改进与优化提供科学依据。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（2）提升资源利用效率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（3）强化项目管理责任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（4）为决策提供支持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（5）促进项目持续改进</w:t>
      </w:r>
    </w:p>
    <w:p w14:paraId="1DB72AF4">
      <w:pPr>
        <w:spacing w:line="540" w:lineRule="exact"/>
        <w:ind w:left="319" w:leftChars="152" w:firstLine="312" w:firstLineChars="100"/>
        <w:rPr>
          <w:rStyle w:val="18"/>
          <w:rFonts w:ascii="楷体" w:hAnsi="楷体" w:eastAsia="楷体"/>
          <w:spacing w:val="-4"/>
          <w:sz w:val="32"/>
          <w:szCs w:val="32"/>
        </w:rPr>
      </w:pPr>
      <w:r>
        <w:rPr>
          <w:rStyle w:val="18"/>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的评价对象是巴财农〔2024〕3号关于提前下达2024年自治区畜牧业生产发展资金预算的通知及其预算执行情况。该项目由库尔勒市农业农村综合服务中心负责实施，旨在组建肉用细毛羊核心群，开展生产性能测定，围绕肉用细毛羊新品种培育、种羊推广、羊毛优质优价运行等方面开展品种选育、繁殖和精准饲养管理及品种示范和推广。项目预算涵盖从2024年1月1日至2024年12月31日的全部资金投入与支出，涉及资金总额为30.00万元。</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（2）资金管理：深入分析项目资金的分配、使用和监管情况，确保资金使用的合规性、高效性和透明度。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（4）社会影响：考察项目对社会效益方面的综合影响。</w:t>
      </w:r>
    </w:p>
    <w:p w14:paraId="4094A6C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40CC36B7">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本次项目绩效评价遵循以下基本原则：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（1）科学公正。绩效评价应当运用科学合理的方法，按照</w:t>
      </w:r>
    </w:p>
    <w:p w14:paraId="31F7CDB5">
      <w:pPr>
        <w:spacing w:line="540" w:lineRule="exact"/>
        <w:ind w:left="627"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（2）统筹兼顾。单位自评、部门评价和财政评价应职责明</w:t>
      </w:r>
    </w:p>
    <w:p w14:paraId="2F20562A">
      <w:pPr>
        <w:spacing w:line="540" w:lineRule="exact"/>
        <w:ind w:firstLine="1248" w:firstLineChars="4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确，各有侧重，相互衔接。单位自评应由项目单位自主实施，即“谁支出、谁自评”。部门评价和财政评价应在单位自评的基础上开展。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（1）确定评价指标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（2）确定权重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（3）确定指标标准值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p>
    <w:p w14:paraId="078013E3">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绩效评价总分值100分，根据综合评分结果，90（含）-100分为优、80（含）-90分为良、60（含）-80分为中、60分以下为差。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具体评价指标体系详情见附件1</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（一）成本效益分析法。</w:t>
      </w:r>
      <w:r>
        <w:rPr>
          <w:rStyle w:val="18"/>
          <w:rFonts w:hint="eastAsia" w:ascii="楷体" w:hAnsi="楷体" w:eastAsia="楷体"/>
          <w:b w:val="0"/>
          <w:bCs w:val="0"/>
          <w:spacing w:val="-4"/>
          <w:sz w:val="32"/>
          <w:szCs w:val="32"/>
        </w:rPr>
        <w:t>该项目以资源投入与产出效益关系为主，鉴于其核心目标在于实现经济效益的最大化，因此需通过精确量化的方式，对项目实施过程中的成本与收益进行系统分析。在成本方面，除资金投入外，还需考量人力成本（如雇佣农牧民参与项目的人工费用等）、物资成本（羊人工授精耗材采购、设备购置与维护费用）以及时间成本（项目建设周期对机会成本的影响）。需要科学评估项目是否具备可持续的经济效益，为项目后续资源配置、优化调整提供数据支撑。</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（二）公众评判法。</w:t>
      </w:r>
      <w:r>
        <w:rPr>
          <w:rStyle w:val="18"/>
          <w:rFonts w:hint="eastAsia" w:ascii="楷体" w:hAnsi="楷体" w:eastAsia="楷体"/>
          <w:b w:val="0"/>
          <w:bCs w:val="0"/>
          <w:spacing w:val="-4"/>
          <w:sz w:val="32"/>
          <w:szCs w:val="32"/>
        </w:rPr>
        <w:t>作为直接服务于农牧民群体的项目，其实施效果的核心衡量标准之一是农牧民的满意度和实际需求满足程度。由于农牧民是项目的直接参与者和受益者，他们对项目实施内容（如基础设施建设质量、政策扶持落实情况）、实施过程（服务态度、沟通反馈机制）以及实施成效（生活质量改善、收入提升感受）的评价具有不可替代的价值。通过设计科学合理的问卷调查，可全面覆盖不同年龄、文化程度、收入水平的农牧民群体，确保样本的代表性。通过这种立体化的公众评判方式，能够准确掌握项目在满足农牧民需求、提升生活福祉方面的实际效果，进而为项目优化、后续决策提供充分的民意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原因是：为项目设定清晰目标、步骤和预期成果，明确工作方向和重点，确保所有工作围绕核心目标开展，同时也可对项目所需的人力、物力、财力等资源进行科学预估和合理分配，避免资源闲置或短缺，提高资源利用效率，保障项目在既定预算和资源条件下完成。</w:t>
      </w:r>
    </w:p>
    <w:p w14:paraId="3FDAEEE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43392E7">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（1）前期准备与规划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在项目绩效评价工作启动之初，成立了专门的评价工作小</w:t>
      </w:r>
    </w:p>
    <w:p w14:paraId="6A93E470">
      <w:pPr>
        <w:spacing w:line="540" w:lineRule="exact"/>
        <w:ind w:firstLine="936" w:firstLineChars="3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组，小组成员由相关领域技术骨干组成，确保从多角度、全方位对项目绩效进行评价。同时，明确了评价工作的目标、范围、重点及时间安排，制定了详细的工作计划，为评价工作的顺利开展奠定了坚实基础。评价工作小组还进行了深入的调研，充分了解项目背景、目标、实施过程及预期效果，确保评价工作的针对性和实效性。此外，还与项目实施单位、农牧民代表及相关利益方保持密切联系，及时收集反馈信息，确保评价工作的全面性和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（2）指标体系构建</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构建指标体系的过程中，充分考虑了项目的实际情况和评价需求，对每个维度的指标进行了细致的分析和筛选，确保指标体系的全面性和有效性。同时，广泛征求各方面的意见和建议，对指标体系进行了多次修订和完善，提高了指标体系的科学性和可操作性，为后续的数据分析与评估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（3）数据收集与整理</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广泛收集与项目相关的各类数据，包括业务数据、用户反馈等。在数据收集过程中，注重数据的质量与完整性，对缺失或异常的数据进行了合理的处理和补充。随后，对收集到的数据进行了系统的整理与分类，为后续的数据分析提供了有力支持。</w:t>
      </w:r>
    </w:p>
    <w:p w14:paraId="72A1E28D">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为了确保数据的准确性和一致性，对收集到的数据进行了多次核查与校验，为后续的数据分析与评估工作奠定了坚实基础。此外，在数据整理过程中，还充分考虑了数据的可比性和可解释性，对数据进行了适当的转换和标准化处理，以便于后续的数据分析和结果呈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（4）数据分析与评估</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（5）报告撰写与反馈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（6）后续跟踪与改进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09DF30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21C9FA0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的综合评价基于对项目各方面绩效的深入分析与评估。从项目目标的达成情况来看，巴财农〔2024〕3号关于提前下达2024年自治区畜牧业生产发展资金预算的通知在生产效率、产品质量保障等方面表现出色，达到了预期的标准与要求。同时，项目也在畜牧产业上取得了显著的成效，如提升了畜牧产业提升农牧民经济收入水平、提升畜禽良种增收能力有所提高等。</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在项目管理方面，库尔勒市农业农村综合服务中心通过有效的规划、组织与协调，项目得以顺利实施，并在预算与时间上保持了良好的控制。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从项目效益的角度来看，本项目实现了预期的社会效益产生了积极的影响。具体而言，畜牧产业提升农牧民经济收入水平、提升畜禽良种增收能力等方面的提升，为项目的利益相关者带来了实实在在的利益。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综上所述，巴财农〔2024〕3号关于提前下达2024年自治区畜牧业生产发展资金预算的通知在绩效评价中表现出色，达到了项目的预期目标，并在多个方面取得了显著的成效。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99.17分，属于“优”。其中，项目决策类指标权重为20分，得分为20分，得分率为100%。项目过程类指标权重为20分，得分为20分，得分率为100%。项目产出类指标权重为40分，得分为39.17分，得分率为97.93%。项目效益类指标权重为20分，得分为20分，得分率为100%。具体打分情况详见：附件1综合评分表。</w:t>
      </w:r>
    </w:p>
    <w:p w14:paraId="77F9CE2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294C112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69747239">
      <w:pPr>
        <w:spacing w:line="540" w:lineRule="exact"/>
        <w:ind w:firstLine="1775" w:firstLineChars="569"/>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该项目立项符合国家相关法律法规《中华人民共和国畜牧法》及自治区发展政策《关于提前下达2024年自治区畜牧业生产发展资金预算的通知》（巴财农〔2024〕3号）、《自治区肉毛兼用绒毛用羊品种选育提升计划（2022—2027年）2024年度实施方案》，符合行业规划要求，围绕本年度工作重点，依托科学的选育技术和合理的养殖管理措施，库尔勒市中牧养殖有限公司计划组建育种核心群并开展生产性能测定，旨在提升肉毛兼用绒毛用羊的品种性能。通过全面推进品种选育、繁殖及精准饲养管理工作，实现品种示范与推广，从而为后续产业发展奠定坚实基础。在项目实施方面，将完成项目物资采购工作，通过严格筛选选定合格供应商；组织养殖技术培训，针对中牧养殖公司相关工作人员开展涵盖养殖技术、选育知识等内容的系统培训。同时，对养殖场地进行全面检查与维护，并调试养殖设备，确保其稳定运行。按计划采购并投放各类物资，依据羊只不同生长阶段科学调整饲喂方案。利用采购的人工授精药品和器材，高效开展人工授精工作，并详细记录配种情况。定期对羊群进行健康检查，借助化验用采血器等器材实施精准检测，根据检测结果及时优化饲养管理措施。运用新购置的设备完善日常饲养管理工作，以实现养殖效率的显著提升。项目将制定详细的经费预算，且该预算属于公共财政支持范围。经核查，本项目与部门内部其他相关项目不存在重复建设情况。部门发展规划及职能文件等资料归档完整，便于后续查阅与管理。此项权重分值为3分，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p>
    <w:p w14:paraId="3494446C">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此项权重分值为3分，得分为3分。</w:t>
      </w:r>
    </w:p>
    <w:p w14:paraId="5BC80D2C">
      <w:pPr>
        <w:spacing w:line="540" w:lineRule="exact"/>
        <w:ind w:firstLine="627" w:firstLineChars="200"/>
        <w:rPr>
          <w:rStyle w:val="18"/>
          <w:rFonts w:hint="eastAsia" w:ascii="楷体" w:hAnsi="楷体" w:eastAsia="楷体"/>
          <w:spacing w:val="-4"/>
          <w:sz w:val="32"/>
          <w:szCs w:val="32"/>
          <w:lang w:val="en-US" w:eastAsia="zh-CN"/>
        </w:rPr>
      </w:pPr>
      <w:r>
        <w:rPr>
          <w:rStyle w:val="18"/>
          <w:rFonts w:hint="eastAsia" w:ascii="楷体" w:hAnsi="楷体" w:eastAsia="楷体"/>
          <w:spacing w:val="-4"/>
          <w:sz w:val="32"/>
          <w:szCs w:val="32"/>
          <w:lang w:val="en-US" w:eastAsia="zh-CN"/>
        </w:rPr>
        <w:t>3.资金投入</w:t>
      </w:r>
    </w:p>
    <w:p w14:paraId="7E607C44">
      <w:pPr>
        <w:numPr>
          <w:numId w:val="0"/>
        </w:num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本项目的预算编制过程严谨、科学，充分体现了精细化管</w:t>
      </w:r>
    </w:p>
    <w:p w14:paraId="41323C38">
      <w:pPr>
        <w:numPr>
          <w:numId w:val="0"/>
        </w:numPr>
        <w:spacing w:line="540" w:lineRule="exact"/>
        <w:rPr>
          <w:rStyle w:val="18"/>
          <w:rFonts w:ascii="楷体" w:hAnsi="楷体" w:eastAsia="楷体"/>
          <w:spacing w:val="-4"/>
          <w:sz w:val="32"/>
          <w:szCs w:val="32"/>
        </w:rPr>
      </w:pPr>
      <w:r>
        <w:rPr>
          <w:rStyle w:val="18"/>
          <w:rFonts w:hint="eastAsia" w:ascii="楷体" w:hAnsi="楷体" w:eastAsia="楷体"/>
          <w:b w:val="0"/>
          <w:bCs w:val="0"/>
          <w:spacing w:val="-4"/>
          <w:sz w:val="32"/>
          <w:szCs w:val="32"/>
        </w:rPr>
        <w:t>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p>
    <w:p w14:paraId="12D038B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3CBEA6ED">
      <w:pPr>
        <w:spacing w:line="540" w:lineRule="exact"/>
        <w:ind w:left="319" w:leftChars="152" w:firstLine="530" w:firstLineChars="1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本项目总投资30.00万元，财政资金及时足额到位，到位率100%，预算资金按计划进度执行。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预算编制较为详细，项目资金支出总体能够按照预算执行，预算资金支出30.00万元，预算执行率为100%。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的资金根据《中华人民共和国会计法》、《会计基础工作规范》、《预算管理办法》等财经法规，结合本部门实际情况，制定了本单位《预算管理内部控制制度》、《项目资金使用管理制度》、《项目专项资金管理制度》、《行政事业单位政府采购管理制度》等，确保了资金的合规性与安全性。在资金使用过程中，我们建立了完善的财务管理体系，对资金的流动进行了全程监控与记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791503C">
      <w:pPr>
        <w:spacing w:line="540" w:lineRule="exact"/>
        <w:ind w:left="319" w:leftChars="152" w:firstLine="1463" w:firstLineChars="469"/>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根据《项目组织管理制度》、《项目设备管理制度》、《项目质量管理计划》等相关规定，为项目的成功实施提供了坚实的制度保障。项目管理制度的制定紧密结合了项目的特点与实际情况，涵盖了项目的策划、组织、实施、监控与收尾等各个环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制度设计上，我们注重了制度的科学性与可操作性，确保制度能够切实指导项目的执行与管理。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p>
    <w:p w14:paraId="2F1E9246">
      <w:pPr>
        <w:numPr>
          <w:ilvl w:val="0"/>
          <w:numId w:val="1"/>
        </w:num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本项目在执行过程中，管理制度得到了全面、有效的落实，</w:t>
      </w:r>
    </w:p>
    <w:p w14:paraId="06CC3025">
      <w:pPr>
        <w:numPr>
          <w:numId w:val="0"/>
        </w:num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p>
    <w:p w14:paraId="77F1B5C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27CEEB0E">
      <w:pPr>
        <w:spacing w:line="540" w:lineRule="exact"/>
        <w:ind w:firstLine="1463" w:firstLineChars="469"/>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项目产出类指标包括产出数量、产出质量、产出时效、产出成本四方面的内容，由14个三级指标构成，权重分为40分，实际得分39.17分，得分率为97.93%。具体产出指标完成情况如下：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指标1：购买种公羊数量，指标值：&gt;=6只，实际完成值：6只，指标完成率100%。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指标2：购买饲料、人工授精器皿数量，指标值：&gt;=1批，实际完成值：1批，指标完成率100%。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3：保障饲养员数量，指标值：&gt;=3人，实际完成值：2人，指标完成率66.6%，偏差原因：2-4月饲养员人数不固定，导致与预计饲养员数量有所偏差。改进措施：细化饲养员岗位说明，明确各岗位在项目中的具体职责和工作标准，避免再次出现类似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指标4：购买养殖车辆数量，指标值：&gt;=2辆，实际完成值：2辆，指标完成率100%。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此项权重分值为10分，得分为9.17分。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指标1：购买饲料、人工授精器皿质量合格率，指标值：=100%，实际完成值：100%，指标完成率100%。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指标2：购买养殖车辆质量合格率，指标值：=100%，实际完成值：100%，指标完成率100%。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③时效指标：</w:t>
      </w:r>
    </w:p>
    <w:p w14:paraId="5597864F">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指标1：购买种公羊资金支付及时率，指标值：=100%，实际完成值：100%，指标完成率100%。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指标2：购买饲料、人工授精器皿完成时间，指标值：2024年11月30日，实际完成值：2024年11月28日，指标完成率100%。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指标3：饲养员运行经费支付及时率，指标值：=100%，实际完成值：100%，指标完成率100%。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指标4：购买养殖车辆完成时间，指标值：2024年11月30日，实际完成值：2024年11月28日，指标完成率100%。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指标1：购买饲料、人工授精器皿成本，指标值：&lt;=18.20万元，实际完成值：18.2万元，指标完成率100%。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指标2：购买种公羊成本，指标值：&lt;=4.80万元，实际完成值：4.80万元，指标完成率100%。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指标3：保障饲养员成本，指标值：&lt;=4.00万元，实际完成值：4.00万元，指标完成率100%。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指标4：购买养殖车辆成本，指标值：&lt;=3.00万元，实际完成值：3.00万元，指标完成率100%。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p>
    <w:p w14:paraId="071862F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6DF4082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项目效益类指标包括项目实施效益和满意度两方面的内容，由4个三级指标构成，权重分为20分，实际得分20分，得分率为100%。具体效益指标及满意度指标完成情况如下：</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指标1：畜牧产业提升农牧民经济收入水平，指标值：有效提升，实际完成值：有效提升，指标完成率100%。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指标2：提升畜禽良种增收能力，指标值：有效提升，实际完成值：有效提升，指标完成率100%。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指标3：提升养殖生产水平，指标值：有效提升，实际完成值：有效提升，指标完成率100%。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p>
    <w:p w14:paraId="15A93AB9">
      <w:pPr>
        <w:numPr>
          <w:ilvl w:val="0"/>
          <w:numId w:val="2"/>
        </w:numPr>
        <w:spacing w:line="540" w:lineRule="exact"/>
        <w:ind w:left="638" w:leftChars="304" w:firstLine="219" w:firstLineChars="70"/>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满意度：</w:t>
      </w:r>
      <w:r>
        <w:rPr>
          <w:rStyle w:val="18"/>
          <w:rFonts w:hint="eastAsia" w:ascii="楷体" w:hAnsi="楷体" w:eastAsia="楷体"/>
          <w:spacing w:val="-4"/>
          <w:sz w:val="32"/>
          <w:szCs w:val="32"/>
        </w:rPr>
        <w:cr/>
      </w:r>
      <w:r>
        <w:rPr>
          <w:rStyle w:val="18"/>
          <w:rFonts w:hint="eastAsia" w:ascii="楷体" w:hAnsi="楷体" w:eastAsia="楷体"/>
          <w:b w:val="0"/>
          <w:bCs w:val="0"/>
          <w:spacing w:val="-4"/>
          <w:sz w:val="32"/>
          <w:szCs w:val="32"/>
        </w:rPr>
        <w:t>指标1：农牧民满意度，指标值：&gt;=90%，实际完成值：90%，</w:t>
      </w:r>
    </w:p>
    <w:p w14:paraId="3460F9AC">
      <w:pPr>
        <w:numPr>
          <w:numId w:val="0"/>
        </w:numPr>
        <w:spacing w:line="540" w:lineRule="exact"/>
        <w:ind w:left="940" w:hanging="936" w:hangingChars="3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指标完成率100%。</w:t>
      </w:r>
    </w:p>
    <w:p w14:paraId="3898B3CC">
      <w:pPr>
        <w:numPr>
          <w:numId w:val="0"/>
        </w:numPr>
        <w:spacing w:line="540" w:lineRule="exact"/>
        <w:ind w:left="938" w:leftChars="298" w:hanging="312" w:hangingChars="100"/>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此项权重分值为10分，得分为10分。</w:t>
      </w:r>
    </w:p>
    <w:p w14:paraId="473861F1">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0C3A0D50">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为确保项目的顺利推进，必须预先制定详尽的项目计划，并反复进行严格审核。在项目执行过程中，应定期开展监督和检查工作，确保严格按照项目管理标准执行。此外，在资金使用方面，务必遵循严格的审核流程，确保资金合理且精准地用于既定项目，杜绝资金浪费。项目完成后，需对受益群体进行民意调查，并切实做好项目风险防范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秉持“先执行、后验收、再拨款”的原则，有效防范资金挪用或滥用现象，确保跟踪检查的严密性。财政、纪检、监察等部门应全程参与专项资金的前期、中期及后期监管。在监督机制上，需将重心前移，从传统的事后监督模式转变为事前审查、事中监控与事后稽核相结合的综合性监督体系，构建全方位、多层次的监管框架，以便及时发现并解决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指标设置过于笼统，缺乏针对性和可操作性，难以准确衡量项目实际成效；部分指标权重分配不合理，不能反映项目核心目标；定性指标多，定量指标少，导致评估结果主观性强。项目前期规划阶段，未充分结合项目特点和目标设计指标体系；缺乏对行业标准和同类项目经验的借鉴；项目团队对绩效评估理解不深，未能从多维度全面构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数据来源渠道单一，信息不完整；数据收集过程中存在错漏情况；部分数据难以量化，如社会效益、满意度等，导致评估依据不足。缺乏完善的数据收集机制和信息化手段；项目执行过程中，对数据记录和整理重视不足；涉及多方参与的项目，数据共享存在障碍，协调难度大。</w:t>
      </w:r>
    </w:p>
    <w:p w14:paraId="637ADF15">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31BF4D69">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强化专业知识培训，提升绩效管理能力。针对项目管理人员、绩效自评人员等不同岗位需求，开展分层培训。邀请行业专家围绕绩效指标设计、绩效评价方法、预算绩效管理等内容进行专题授课，每季度至少组织1次集中培训。搭建内部学习平台，定期分享绩效管理政策文件、优秀案例；设立内部研讨小组，每月开展1次绩效问题分析与经验交流活动。</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2.优化指标体系设计，增强科学性与可操作性。组织团队研究国家及地方畜牧业项目绩效评价规范，参考同类优质项目指标体系，结合本项目品种提升、技术推广等核心目标，重新梳理指标框架。将“提升品种性能”等笼统目标分解为“产肉量提高15%”“羊毛产量提升12%”等量化指标；项目阶段重点（如前期选育、后期推广）动态调整指标权重，突出核心目标；建立指标反馈机制，每年结合项目实际成效评估结果，优化指标体系。邀请行业专家、项目实施人员、利益相关方参与指标设计研讨，从技术、实操、社会效益等多维度提出建议，确保指标全面覆盖项目目标。</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3.完善数据管理体系，做好评估数据基础。整合养殖记录、检测报告、培训签到表等内部数据；对接农业农村局、行业协会等外部单位，获取区域畜牧业发展数据、养殖户反馈等信息；通过问卷调查、实地访谈等方式收集社会效益、满意度数据。明确数据采集频率、方法、责任人；建立数据交叉核对机制，对关键数据实行双人复核；定期开展数据质量抽查，对错误数据及时修正并追溯责任。定期召开数据协调会议，解决多方数据对接中的矛盾与障碍。进一步规范项目建设的程序。项目前期做好可行性研究报告，更加细化实施方案，严格执行资金管理办法和财政资金管理制度，严格按照项目实施方案稳步推进工作，各部门单位根据自己项目的特点进行总结。</w:t>
      </w:r>
    </w:p>
    <w:p w14:paraId="01D44836">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5B78F0B9">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本项目无其他需说明的问题。</w:t>
      </w:r>
    </w:p>
    <w:p w14:paraId="0000AF6E">
      <w:pPr>
        <w:spacing w:line="540" w:lineRule="exact"/>
        <w:ind w:firstLine="567"/>
        <w:rPr>
          <w:rStyle w:val="18"/>
          <w:rFonts w:ascii="仿宋" w:hAnsi="仿宋" w:eastAsia="仿宋"/>
          <w:b w:val="0"/>
          <w:spacing w:val="-4"/>
          <w:sz w:val="32"/>
          <w:szCs w:val="32"/>
        </w:rPr>
      </w:pPr>
      <w:bookmarkStart w:id="0" w:name="_GoBack"/>
      <w:bookmarkEnd w:id="0"/>
    </w:p>
    <w:p w14:paraId="464F0DD4">
      <w:pPr>
        <w:spacing w:line="540" w:lineRule="exact"/>
        <w:ind w:firstLine="567"/>
        <w:rPr>
          <w:rStyle w:val="18"/>
          <w:rFonts w:ascii="仿宋" w:hAnsi="仿宋" w:eastAsia="仿宋"/>
          <w:b w:val="0"/>
          <w:spacing w:val="-4"/>
          <w:sz w:val="32"/>
          <w:szCs w:val="32"/>
        </w:rPr>
      </w:pPr>
    </w:p>
    <w:p w14:paraId="7D895CCB">
      <w:pPr>
        <w:spacing w:line="540" w:lineRule="exact"/>
        <w:ind w:firstLine="567"/>
        <w:rPr>
          <w:rStyle w:val="18"/>
          <w:rFonts w:ascii="仿宋" w:hAnsi="仿宋" w:eastAsia="仿宋"/>
          <w:b w:val="0"/>
          <w:spacing w:val="-4"/>
          <w:sz w:val="32"/>
          <w:szCs w:val="32"/>
        </w:rPr>
      </w:pPr>
    </w:p>
    <w:p w14:paraId="406AE8ED">
      <w:pPr>
        <w:spacing w:line="540" w:lineRule="exact"/>
        <w:ind w:firstLine="567"/>
        <w:rPr>
          <w:rStyle w:val="18"/>
          <w:rFonts w:ascii="仿宋" w:hAnsi="仿宋" w:eastAsia="仿宋"/>
          <w:b w:val="0"/>
          <w:spacing w:val="-4"/>
          <w:sz w:val="32"/>
          <w:szCs w:val="32"/>
        </w:rPr>
      </w:pPr>
    </w:p>
    <w:p w14:paraId="3DC5B9AD">
      <w:pPr>
        <w:spacing w:line="540" w:lineRule="exact"/>
        <w:ind w:firstLine="567"/>
        <w:rPr>
          <w:rStyle w:val="18"/>
          <w:rFonts w:ascii="仿宋" w:hAnsi="仿宋" w:eastAsia="仿宋"/>
          <w:b w:val="0"/>
          <w:spacing w:val="-4"/>
          <w:sz w:val="32"/>
          <w:szCs w:val="32"/>
        </w:rPr>
      </w:pPr>
    </w:p>
    <w:p w14:paraId="29A9673A">
      <w:pPr>
        <w:spacing w:line="540" w:lineRule="exact"/>
        <w:ind w:firstLine="567"/>
        <w:rPr>
          <w:rStyle w:val="18"/>
          <w:rFonts w:ascii="仿宋" w:hAnsi="仿宋" w:eastAsia="仿宋"/>
          <w:b w:val="0"/>
          <w:spacing w:val="-4"/>
          <w:sz w:val="32"/>
          <w:szCs w:val="32"/>
        </w:rPr>
      </w:pPr>
    </w:p>
    <w:p w14:paraId="2C277FCA">
      <w:pPr>
        <w:spacing w:line="540" w:lineRule="exact"/>
        <w:ind w:firstLine="567"/>
        <w:rPr>
          <w:rStyle w:val="18"/>
          <w:rFonts w:ascii="仿宋" w:hAnsi="仿宋" w:eastAsia="仿宋"/>
          <w:b w:val="0"/>
          <w:spacing w:val="-4"/>
          <w:sz w:val="32"/>
          <w:szCs w:val="32"/>
        </w:rPr>
      </w:pPr>
    </w:p>
    <w:p w14:paraId="61DC29FA">
      <w:pPr>
        <w:spacing w:line="540" w:lineRule="exact"/>
        <w:ind w:firstLine="567"/>
        <w:rPr>
          <w:rStyle w:val="18"/>
          <w:rFonts w:ascii="仿宋" w:hAnsi="仿宋" w:eastAsia="仿宋"/>
          <w:b w:val="0"/>
          <w:spacing w:val="-4"/>
          <w:sz w:val="32"/>
          <w:szCs w:val="32"/>
        </w:rPr>
      </w:pPr>
    </w:p>
    <w:p w14:paraId="1F39B920">
      <w:pPr>
        <w:spacing w:line="540" w:lineRule="exact"/>
        <w:ind w:firstLine="567"/>
        <w:rPr>
          <w:rStyle w:val="18"/>
          <w:rFonts w:ascii="仿宋" w:hAnsi="仿宋" w:eastAsia="仿宋"/>
          <w:b w:val="0"/>
          <w:spacing w:val="-4"/>
          <w:sz w:val="32"/>
          <w:szCs w:val="32"/>
        </w:rPr>
      </w:pPr>
    </w:p>
    <w:p w14:paraId="7919661D">
      <w:pPr>
        <w:spacing w:line="540" w:lineRule="exact"/>
        <w:ind w:firstLine="567"/>
        <w:rPr>
          <w:rStyle w:val="18"/>
          <w:rFonts w:ascii="仿宋" w:hAnsi="仿宋" w:eastAsia="仿宋"/>
          <w:b w:val="0"/>
          <w:spacing w:val="-4"/>
          <w:sz w:val="32"/>
          <w:szCs w:val="32"/>
        </w:rPr>
      </w:pPr>
    </w:p>
    <w:p w14:paraId="3C34566E">
      <w:pPr>
        <w:spacing w:line="540" w:lineRule="exact"/>
        <w:ind w:firstLine="567"/>
        <w:rPr>
          <w:rStyle w:val="18"/>
          <w:rFonts w:ascii="仿宋" w:hAnsi="仿宋" w:eastAsia="仿宋"/>
          <w:b w:val="0"/>
          <w:spacing w:val="-4"/>
          <w:sz w:val="32"/>
          <w:szCs w:val="32"/>
        </w:rPr>
      </w:pPr>
    </w:p>
    <w:p w14:paraId="7DCB793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13F70E1D">
        <w:pPr>
          <w:pStyle w:val="12"/>
          <w:jc w:val="center"/>
        </w:pPr>
        <w:r>
          <w:fldChar w:fldCharType="begin"/>
        </w:r>
        <w:r>
          <w:instrText xml:space="preserve">PAGE   \* MERGEFORMAT</w:instrText>
        </w:r>
        <w:r>
          <w:fldChar w:fldCharType="separate"/>
        </w:r>
        <w:r>
          <w:rPr>
            <w:lang w:val="zh-CN"/>
          </w:rPr>
          <w:t>1</w:t>
        </w:r>
        <w:r>
          <w:fldChar w:fldCharType="end"/>
        </w:r>
      </w:p>
    </w:sdtContent>
  </w:sdt>
  <w:p w14:paraId="49F78DA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92DE2F"/>
    <w:multiLevelType w:val="singleLevel"/>
    <w:tmpl w:val="6C92DE2F"/>
    <w:lvl w:ilvl="0" w:tentative="0">
      <w:start w:val="2"/>
      <w:numFmt w:val="decimal"/>
      <w:lvlText w:val="%1."/>
      <w:lvlJc w:val="left"/>
      <w:pPr>
        <w:tabs>
          <w:tab w:val="left" w:pos="312"/>
        </w:tabs>
      </w:pPr>
    </w:lvl>
  </w:abstractNum>
  <w:abstractNum w:abstractNumId="1">
    <w:nsid w:val="7273663A"/>
    <w:multiLevelType w:val="singleLevel"/>
    <w:tmpl w:val="7273663A"/>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6953BCF"/>
    <w:rsid w:val="0CB44F22"/>
    <w:rsid w:val="4C3D1751"/>
    <w:rsid w:val="4D2606A1"/>
    <w:rsid w:val="5DCB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12372</Words>
  <Characters>12762</Characters>
  <Lines>5</Lines>
  <Paragraphs>1</Paragraphs>
  <TotalTime>21</TotalTime>
  <ScaleCrop>false</ScaleCrop>
  <LinksUpToDate>false</LinksUpToDate>
  <CharactersWithSpaces>12775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文新华</cp:lastModifiedBy>
  <cp:lastPrinted>2018-12-31T10:56:00Z</cp:lastPrinted>
  <dcterms:modified xsi:type="dcterms:W3CDTF">2025-08-17T11:42:59Z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160D1BA1944349B08C48068401F6E698</vt:lpwstr>
  </property>
  <property fmtid="{D5CDD505-2E9C-101B-9397-08002B2CF9AE}" pid="4" name="KSOTemplateDocerSaveRecord">
    <vt:lpwstr>eyJoZGlkIjoiNjJhZjlkMGJiOGI3Y2FkNzkyZTA5YzhkZjJjZTBiYjciLCJ1c2VySWQiOiI1MzMyNjY2NjMifQ==</vt:lpwstr>
  </property>
</Properties>
</file>