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CDBB97">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ascii="仿宋" w:hAnsi="仿宋" w:eastAsia="仿宋" w:cs="宋体"/>
          <w:kern w:val="0"/>
          <w:sz w:val="32"/>
          <w:szCs w:val="32"/>
        </w:rPr>
      </w:pPr>
      <w:bookmarkStart w:id="0" w:name="_GoBack"/>
      <w:r>
        <w:rPr>
          <w:rFonts w:hint="eastAsia" w:ascii="仿宋" w:hAnsi="仿宋" w:eastAsia="仿宋" w:cs="宋体"/>
          <w:kern w:val="0"/>
          <w:sz w:val="32"/>
          <w:szCs w:val="32"/>
        </w:rPr>
        <w:t>附件2：</w:t>
      </w:r>
    </w:p>
    <w:p w14:paraId="2A707086">
      <w:pPr>
        <w:keepNext w:val="0"/>
        <w:keepLines w:val="0"/>
        <w:pageBreakBefore w:val="0"/>
        <w:widowControl w:val="0"/>
        <w:kinsoku/>
        <w:wordWrap/>
        <w:overflowPunct/>
        <w:topLinePunct w:val="0"/>
        <w:autoSpaceDE/>
        <w:autoSpaceDN/>
        <w:bidi w:val="0"/>
        <w:adjustRightInd/>
        <w:snapToGrid/>
        <w:spacing w:line="560" w:lineRule="exact"/>
        <w:ind w:left="0" w:leftChars="0" w:firstLine="1044" w:firstLineChars="200"/>
        <w:jc w:val="center"/>
        <w:textAlignment w:val="auto"/>
        <w:rPr>
          <w:rFonts w:ascii="华文中宋" w:hAnsi="华文中宋" w:eastAsia="华文中宋" w:cs="宋体"/>
          <w:b/>
          <w:kern w:val="0"/>
          <w:sz w:val="52"/>
          <w:szCs w:val="52"/>
        </w:rPr>
      </w:pPr>
    </w:p>
    <w:p w14:paraId="57E81109">
      <w:pPr>
        <w:keepNext w:val="0"/>
        <w:keepLines w:val="0"/>
        <w:pageBreakBefore w:val="0"/>
        <w:widowControl w:val="0"/>
        <w:kinsoku/>
        <w:wordWrap/>
        <w:overflowPunct/>
        <w:topLinePunct w:val="0"/>
        <w:autoSpaceDE/>
        <w:autoSpaceDN/>
        <w:bidi w:val="0"/>
        <w:adjustRightInd/>
        <w:snapToGrid/>
        <w:spacing w:line="560" w:lineRule="exact"/>
        <w:ind w:left="0" w:leftChars="0" w:firstLine="1044" w:firstLineChars="200"/>
        <w:jc w:val="center"/>
        <w:textAlignment w:val="auto"/>
        <w:rPr>
          <w:rFonts w:ascii="华文中宋" w:hAnsi="华文中宋" w:eastAsia="华文中宋" w:cs="宋体"/>
          <w:b/>
          <w:kern w:val="0"/>
          <w:sz w:val="52"/>
          <w:szCs w:val="52"/>
        </w:rPr>
      </w:pPr>
    </w:p>
    <w:p w14:paraId="1EAD39EC">
      <w:pPr>
        <w:keepNext w:val="0"/>
        <w:keepLines w:val="0"/>
        <w:pageBreakBefore w:val="0"/>
        <w:widowControl w:val="0"/>
        <w:kinsoku/>
        <w:wordWrap/>
        <w:overflowPunct/>
        <w:topLinePunct w:val="0"/>
        <w:autoSpaceDE/>
        <w:autoSpaceDN/>
        <w:bidi w:val="0"/>
        <w:adjustRightInd/>
        <w:snapToGrid/>
        <w:spacing w:line="560" w:lineRule="exact"/>
        <w:ind w:left="0" w:leftChars="0" w:firstLine="1044" w:firstLineChars="200"/>
        <w:jc w:val="center"/>
        <w:textAlignment w:val="auto"/>
        <w:rPr>
          <w:rFonts w:ascii="华文中宋" w:hAnsi="华文中宋" w:eastAsia="华文中宋" w:cs="宋体"/>
          <w:b/>
          <w:kern w:val="0"/>
          <w:sz w:val="52"/>
          <w:szCs w:val="52"/>
        </w:rPr>
      </w:pPr>
    </w:p>
    <w:p w14:paraId="08F61914">
      <w:pPr>
        <w:keepNext w:val="0"/>
        <w:keepLines w:val="0"/>
        <w:pageBreakBefore w:val="0"/>
        <w:widowControl w:val="0"/>
        <w:kinsoku/>
        <w:wordWrap/>
        <w:overflowPunct/>
        <w:topLinePunct w:val="0"/>
        <w:autoSpaceDE/>
        <w:autoSpaceDN/>
        <w:bidi w:val="0"/>
        <w:adjustRightInd/>
        <w:snapToGrid/>
        <w:spacing w:line="560" w:lineRule="exact"/>
        <w:ind w:left="0" w:leftChars="0" w:firstLine="1044" w:firstLineChars="200"/>
        <w:jc w:val="center"/>
        <w:textAlignment w:val="auto"/>
        <w:rPr>
          <w:rFonts w:ascii="华文中宋" w:hAnsi="华文中宋" w:eastAsia="华文中宋" w:cs="宋体"/>
          <w:b/>
          <w:kern w:val="0"/>
          <w:sz w:val="52"/>
          <w:szCs w:val="52"/>
        </w:rPr>
      </w:pPr>
    </w:p>
    <w:p w14:paraId="28FBDF02">
      <w:pPr>
        <w:keepNext w:val="0"/>
        <w:keepLines w:val="0"/>
        <w:pageBreakBefore w:val="0"/>
        <w:widowControl w:val="0"/>
        <w:kinsoku/>
        <w:wordWrap/>
        <w:overflowPunct/>
        <w:topLinePunct w:val="0"/>
        <w:autoSpaceDE/>
        <w:autoSpaceDN/>
        <w:bidi w:val="0"/>
        <w:adjustRightInd/>
        <w:snapToGrid/>
        <w:spacing w:line="560" w:lineRule="exact"/>
        <w:ind w:left="0" w:leftChars="0" w:firstLine="1044" w:firstLineChars="200"/>
        <w:jc w:val="center"/>
        <w:textAlignment w:val="auto"/>
        <w:rPr>
          <w:rFonts w:ascii="华文中宋" w:hAnsi="华文中宋" w:eastAsia="华文中宋" w:cs="宋体"/>
          <w:b/>
          <w:kern w:val="0"/>
          <w:sz w:val="52"/>
          <w:szCs w:val="52"/>
        </w:rPr>
      </w:pPr>
    </w:p>
    <w:p w14:paraId="33B6928E">
      <w:pPr>
        <w:keepNext w:val="0"/>
        <w:keepLines w:val="0"/>
        <w:pageBreakBefore w:val="0"/>
        <w:widowControl w:val="0"/>
        <w:kinsoku/>
        <w:wordWrap/>
        <w:overflowPunct/>
        <w:topLinePunct w:val="0"/>
        <w:autoSpaceDE/>
        <w:autoSpaceDN/>
        <w:bidi w:val="0"/>
        <w:adjustRightInd/>
        <w:snapToGrid/>
        <w:spacing w:line="560" w:lineRule="exact"/>
        <w:ind w:left="0" w:leftChars="0" w:firstLine="1044" w:firstLineChars="200"/>
        <w:jc w:val="center"/>
        <w:textAlignment w:val="auto"/>
        <w:rPr>
          <w:rFonts w:ascii="华文中宋" w:hAnsi="华文中宋" w:eastAsia="华文中宋" w:cs="宋体"/>
          <w:b/>
          <w:kern w:val="0"/>
          <w:sz w:val="52"/>
          <w:szCs w:val="52"/>
        </w:rPr>
      </w:pPr>
    </w:p>
    <w:p w14:paraId="75A45032">
      <w:pPr>
        <w:keepNext w:val="0"/>
        <w:keepLines w:val="0"/>
        <w:pageBreakBefore w:val="0"/>
        <w:widowControl w:val="0"/>
        <w:kinsoku/>
        <w:wordWrap/>
        <w:overflowPunct/>
        <w:topLinePunct w:val="0"/>
        <w:autoSpaceDE/>
        <w:autoSpaceDN/>
        <w:bidi w:val="0"/>
        <w:adjustRightInd/>
        <w:snapToGrid/>
        <w:spacing w:line="560" w:lineRule="exact"/>
        <w:ind w:left="0" w:leftChars="0" w:firstLine="964" w:firstLineChars="200"/>
        <w:jc w:val="center"/>
        <w:textAlignment w:val="auto"/>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28203B7C">
      <w:pPr>
        <w:keepNext w:val="0"/>
        <w:keepLines w:val="0"/>
        <w:pageBreakBefore w:val="0"/>
        <w:widowControl w:val="0"/>
        <w:kinsoku/>
        <w:wordWrap/>
        <w:overflowPunct/>
        <w:topLinePunct w:val="0"/>
        <w:autoSpaceDE/>
        <w:autoSpaceDN/>
        <w:bidi w:val="0"/>
        <w:adjustRightInd/>
        <w:snapToGrid/>
        <w:spacing w:line="560" w:lineRule="exact"/>
        <w:ind w:left="0" w:leftChars="0" w:firstLine="1044" w:firstLineChars="200"/>
        <w:jc w:val="center"/>
        <w:textAlignment w:val="auto"/>
        <w:rPr>
          <w:rFonts w:ascii="华文中宋" w:hAnsi="华文中宋" w:eastAsia="华文中宋" w:cs="宋体"/>
          <w:b/>
          <w:kern w:val="0"/>
          <w:sz w:val="52"/>
          <w:szCs w:val="52"/>
        </w:rPr>
      </w:pPr>
    </w:p>
    <w:p w14:paraId="3FBB6D08">
      <w:pPr>
        <w:keepNext w:val="0"/>
        <w:keepLines w:val="0"/>
        <w:pageBreakBefore w:val="0"/>
        <w:widowControl w:val="0"/>
        <w:kinsoku/>
        <w:wordWrap/>
        <w:overflowPunct/>
        <w:topLinePunct w:val="0"/>
        <w:autoSpaceDE/>
        <w:autoSpaceDN/>
        <w:bidi w:val="0"/>
        <w:adjustRightInd/>
        <w:snapToGrid/>
        <w:spacing w:line="560" w:lineRule="exact"/>
        <w:ind w:left="0" w:leftChars="0" w:firstLine="880" w:firstLineChars="200"/>
        <w:jc w:val="center"/>
        <w:textAlignment w:val="auto"/>
        <w:rPr>
          <w:rFonts w:hAnsi="宋体" w:eastAsia="仿宋_GB2312" w:cs="宋体"/>
          <w:kern w:val="0"/>
          <w:sz w:val="36"/>
          <w:szCs w:val="36"/>
        </w:rPr>
      </w:pPr>
      <w:r>
        <w:rPr>
          <w:rFonts w:hint="eastAsia" w:hAnsi="宋体" w:eastAsia="仿宋_GB2312" w:cs="宋体"/>
          <w:kern w:val="0"/>
          <w:sz w:val="44"/>
          <w:szCs w:val="44"/>
        </w:rPr>
        <w:t>（</w:t>
      </w:r>
      <w:r>
        <w:rPr>
          <w:rStyle w:val="18"/>
          <w:rFonts w:hint="eastAsia" w:ascii="楷体" w:hAnsi="楷体" w:eastAsia="楷体"/>
          <w:spacing w:val="-4"/>
          <w:sz w:val="40"/>
          <w:szCs w:val="40"/>
        </w:rPr>
        <w:t>2024</w:t>
      </w:r>
      <w:r>
        <w:rPr>
          <w:rFonts w:hint="eastAsia" w:hAnsi="宋体" w:eastAsia="仿宋_GB2312" w:cs="宋体"/>
          <w:kern w:val="0"/>
          <w:sz w:val="44"/>
          <w:szCs w:val="44"/>
        </w:rPr>
        <w:t xml:space="preserve"> 年度）</w:t>
      </w:r>
    </w:p>
    <w:p w14:paraId="50DDD168">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14:paraId="5829A9FD">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14:paraId="556412B7">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14:paraId="2352862E">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14:paraId="48516D06">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center"/>
        <w:textAlignment w:val="auto"/>
        <w:rPr>
          <w:rFonts w:hAnsi="宋体" w:eastAsia="仿宋_GB2312" w:cs="宋体"/>
          <w:kern w:val="0"/>
          <w:sz w:val="30"/>
          <w:szCs w:val="30"/>
        </w:rPr>
      </w:pPr>
    </w:p>
    <w:p w14:paraId="7C499AD7">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textAlignment w:val="auto"/>
        <w:rPr>
          <w:rFonts w:hAnsi="宋体" w:eastAsia="仿宋_GB2312" w:cs="宋体"/>
          <w:kern w:val="0"/>
          <w:sz w:val="30"/>
          <w:szCs w:val="30"/>
        </w:rPr>
      </w:pPr>
    </w:p>
    <w:p w14:paraId="0322E1E3">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left"/>
        <w:textAlignment w:val="auto"/>
        <w:rPr>
          <w:rFonts w:hAnsi="宋体" w:eastAsia="仿宋_GB2312" w:cs="宋体"/>
          <w:kern w:val="0"/>
          <w:sz w:val="36"/>
          <w:szCs w:val="36"/>
        </w:rPr>
      </w:pPr>
      <w:r>
        <w:rPr>
          <w:rFonts w:hint="eastAsia" w:hAnsi="宋体" w:eastAsia="仿宋_GB2312" w:cs="宋体"/>
          <w:kern w:val="0"/>
          <w:sz w:val="36"/>
          <w:szCs w:val="36"/>
        </w:rPr>
        <w:t xml:space="preserve">     </w:t>
      </w:r>
    </w:p>
    <w:p w14:paraId="704C0197">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jc w:val="left"/>
        <w:textAlignment w:val="auto"/>
        <w:rPr>
          <w:rFonts w:hAnsi="宋体" w:eastAsia="仿宋_GB2312" w:cs="宋体"/>
          <w:b w:val="0"/>
          <w:bCs w:val="0"/>
          <w:kern w:val="0"/>
          <w:sz w:val="36"/>
          <w:szCs w:val="36"/>
        </w:rPr>
      </w:pPr>
      <w:r>
        <w:rPr>
          <w:rFonts w:hint="eastAsia" w:hAnsi="宋体" w:eastAsia="仿宋_GB2312" w:cs="宋体"/>
          <w:kern w:val="0"/>
          <w:sz w:val="36"/>
          <w:szCs w:val="36"/>
        </w:rPr>
        <w:t>项目名称：</w:t>
      </w:r>
      <w:r>
        <w:rPr>
          <w:rStyle w:val="18"/>
          <w:rFonts w:hint="eastAsia" w:ascii="楷体" w:hAnsi="楷体" w:eastAsia="楷体"/>
          <w:b w:val="0"/>
          <w:bCs w:val="0"/>
          <w:spacing w:val="-4"/>
          <w:sz w:val="32"/>
          <w:szCs w:val="32"/>
        </w:rPr>
        <w:t>巴财农[2023]49号关于提前下达2024年中央农业防灾减灾和水利救灾资金[动物防疫补助]预算的通知</w:t>
      </w:r>
    </w:p>
    <w:p w14:paraId="36F2A0D3">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textAlignment w:val="auto"/>
        <w:rPr>
          <w:rFonts w:ascii="楷体" w:hAnsi="楷体" w:eastAsia="楷体"/>
          <w:b w:val="0"/>
          <w:bCs w:val="0"/>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b w:val="0"/>
          <w:bCs w:val="0"/>
          <w:spacing w:val="-4"/>
          <w:sz w:val="28"/>
          <w:szCs w:val="28"/>
        </w:rPr>
        <w:t>库尔勒市畜牧兽医站</w:t>
      </w:r>
    </w:p>
    <w:p w14:paraId="3240DD44">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textAlignment w:val="auto"/>
        <w:rPr>
          <w:rFonts w:ascii="楷体" w:hAnsi="楷体" w:eastAsia="楷体"/>
          <w:b w:val="0"/>
          <w:bCs w:val="0"/>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b w:val="0"/>
          <w:bCs w:val="0"/>
          <w:spacing w:val="-4"/>
          <w:sz w:val="28"/>
          <w:szCs w:val="28"/>
        </w:rPr>
        <w:t>库尔勒市畜牧兽医站</w:t>
      </w:r>
    </w:p>
    <w:p w14:paraId="79958295">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textAlignment w:val="auto"/>
        <w:rPr>
          <w:rFonts w:ascii="楷体" w:hAnsi="楷体" w:eastAsia="楷体"/>
          <w:b w:val="0"/>
          <w:bCs w:val="0"/>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b w:val="0"/>
          <w:bCs w:val="0"/>
          <w:spacing w:val="-4"/>
          <w:sz w:val="32"/>
          <w:szCs w:val="32"/>
        </w:rPr>
        <w:t>江波</w:t>
      </w:r>
    </w:p>
    <w:p w14:paraId="32101403">
      <w:pPr>
        <w:keepNext w:val="0"/>
        <w:keepLines w:val="0"/>
        <w:pageBreakBefore w:val="0"/>
        <w:widowControl w:val="0"/>
        <w:kinsoku/>
        <w:wordWrap/>
        <w:overflowPunct/>
        <w:topLinePunct w:val="0"/>
        <w:autoSpaceDE/>
        <w:autoSpaceDN/>
        <w:bidi w:val="0"/>
        <w:adjustRightInd/>
        <w:snapToGrid/>
        <w:spacing w:line="560" w:lineRule="exact"/>
        <w:ind w:left="0" w:leftChars="0" w:firstLine="720" w:firstLineChars="200"/>
        <w:textAlignment w:val="auto"/>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b w:val="0"/>
          <w:bCs w:val="0"/>
          <w:spacing w:val="-4"/>
          <w:sz w:val="32"/>
          <w:szCs w:val="32"/>
        </w:rPr>
        <w:t>2025年05月14日</w:t>
      </w:r>
    </w:p>
    <w:p w14:paraId="2D267B61">
      <w:pPr>
        <w:keepNext w:val="0"/>
        <w:keepLines w:val="0"/>
        <w:pageBreakBefore w:val="0"/>
        <w:widowControl w:val="0"/>
        <w:kinsoku/>
        <w:wordWrap/>
        <w:overflowPunct/>
        <w:topLinePunct w:val="0"/>
        <w:autoSpaceDE/>
        <w:autoSpaceDN/>
        <w:bidi w:val="0"/>
        <w:adjustRightInd/>
        <w:snapToGrid/>
        <w:spacing w:line="560" w:lineRule="exact"/>
        <w:ind w:left="0" w:leftChars="0" w:firstLine="600" w:firstLineChars="200"/>
        <w:jc w:val="left"/>
        <w:textAlignment w:val="auto"/>
        <w:rPr>
          <w:rFonts w:hAnsi="宋体" w:eastAsia="仿宋_GB2312" w:cs="宋体"/>
          <w:kern w:val="0"/>
          <w:sz w:val="30"/>
          <w:szCs w:val="30"/>
        </w:rPr>
      </w:pPr>
    </w:p>
    <w:p w14:paraId="3D6343CE">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黑体" w:hAnsi="黑体" w:eastAsia="黑体"/>
          <w:b w:val="0"/>
          <w:spacing w:val="-4"/>
          <w:sz w:val="32"/>
          <w:szCs w:val="32"/>
        </w:rPr>
      </w:pPr>
    </w:p>
    <w:p w14:paraId="32650372">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黑体" w:hAnsi="黑体" w:eastAsia="黑体"/>
          <w:b/>
          <w:bCs w:val="0"/>
          <w:spacing w:val="-4"/>
          <w:sz w:val="32"/>
          <w:szCs w:val="32"/>
        </w:rPr>
      </w:pPr>
      <w:r>
        <w:rPr>
          <w:rStyle w:val="18"/>
          <w:rFonts w:hint="eastAsia" w:ascii="黑体" w:hAnsi="黑体" w:eastAsia="黑体"/>
          <w:b/>
          <w:bCs w:val="0"/>
          <w:spacing w:val="-4"/>
          <w:sz w:val="32"/>
          <w:szCs w:val="32"/>
        </w:rPr>
        <w:t>一、基本情况</w:t>
      </w:r>
    </w:p>
    <w:p w14:paraId="7B71B73C">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03544311">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b w:val="0"/>
          <w:bCs w:val="0"/>
          <w:spacing w:val="-4"/>
          <w:sz w:val="32"/>
          <w:szCs w:val="32"/>
        </w:rPr>
        <w:t>2023年4月，财政部、农业农村部和水利部联合印发《农</w:t>
      </w:r>
    </w:p>
    <w:p w14:paraId="55C5B29F">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业防灾减灾和水利救灾资金管理办法》（财农〔2023〕13 号），将动物防疫等补助经费由专项变为农业防灾减灾和水利救灾资金的一个支出方向（动物防疫补助），为资金的管理和使用提供了政策依据和规范要求。共涵盖村级防疫员合理劳务报酬和免疫疫苗、实施免疫注射动物防疫器材等两个方面。</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（1）村级防疫员合理劳务报酬方面</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首先，根据《中华人民共和国动物防疫法》第八十二条规定，地方人民政府组织村级防疫员参加动物疫病防治工作的，应当保障村级防疫员合理劳务报酬。这一法律规定为村级防疫员补助政策的出台提供了法律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其次，为了加强动物防疫等补助经费的管理和监督，提高资金使用效益，财政部和农业部共同制定了《动物防疫等补助经费管理办法》。该办法明确了动物防疫等补助经费的分配和使用原则，确保资金用于重点动物疫病国家强制免疫补助、强制扑杀补助、养殖环节无害化处理补助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外，根据实际情况制定了具体的补助政策，中央对村级动物防疫员每月增加629元/人的补助经费，这些具体政策措施的实施，进一步细化了村级防疫员的补助标准和申报程序，极大地提高了库尔勒市村级防疫员的防疫工作积极性。</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（2）实施免疫注射动物防疫器材方面</w:t>
      </w:r>
      <w:r>
        <w:rPr>
          <w:rStyle w:val="18"/>
          <w:rFonts w:hint="eastAsia" w:ascii="楷体" w:hAnsi="楷体" w:eastAsia="楷体"/>
          <w:spacing w:val="-4"/>
          <w:sz w:val="32"/>
          <w:szCs w:val="32"/>
        </w:rPr>
        <w:cr/>
      </w:r>
      <w:r>
        <w:rPr>
          <w:rStyle w:val="18"/>
          <w:rFonts w:hint="eastAsia" w:ascii="楷体" w:hAnsi="楷体" w:eastAsia="楷体"/>
          <w:spacing w:val="-4"/>
          <w:sz w:val="32"/>
          <w:szCs w:val="32"/>
        </w:rPr>
        <w:t xml:space="preserve">    </w:t>
      </w:r>
      <w:r>
        <w:rPr>
          <w:rStyle w:val="18"/>
          <w:rFonts w:hint="eastAsia" w:ascii="楷体" w:hAnsi="楷体" w:eastAsia="楷体"/>
          <w:b w:val="0"/>
          <w:bCs w:val="0"/>
          <w:spacing w:val="-4"/>
          <w:sz w:val="32"/>
          <w:szCs w:val="32"/>
        </w:rPr>
        <w:t>首先，动物防疫补贴政策的制定背景是为了应对重大动物疫病的防控需求。根据《中华人民共和国动物防疫法》和《中华人民共和国生物安全法》的规定，国家对高致病性禽流感等重大动物疫病实施强制免疫，以保障肉蛋奶等重要畜禽产品的稳产保供，有效预防、控制和扑灭动物疫病，促进畜牧业高质量发展，保护人体健康，维护公共卫生安全。此外，国家建立强制免疫、强制扑杀补助病种动态调整机制，定期评估并适时调整补助病种，以确保防控措施的有效性和针对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其次，动物防疫补贴政策的实施范围广泛，涉及多个省份和地区。例如，库尔勒市的动物防疫补助资金使用方案是根据自治区财政厅的通知和中央动物防疫补助经费管理办法制定的，旨在落实高致病性禽流感等重大动物疫病的强制免疫。同时为了确保重大动物疫情形势稳定，涵盖口蹄疫、高致病性禽流感等疫病的强制免疫。以及高致病性禽流感、小反刍兽疫、口蹄疫和经典猪瘟等动物疫病的强制免疫。</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最后，动物防疫补贴政策的具体内容和实施效果显著。政策内容包括强制免疫补助、养殖环节无害化处理补助和强制扑杀补助等，主要用于采购免疫疫苗、实施免疫注射、监测评价、疫病监测和净化等工作。通过这些措施，有效落实动物疫病防控措施，确保重大动物疫情形势稳定，减少疫情的发生和传播。</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2.项目主要内容：</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项目主要内容：用于补助村级防疫员数量106人，购买动物疫病防控器材一批。开展布病、包虫病等人畜共患防控工作，保障职工生命安全，建立健全动物防疫检疫监督工作机制，有利于满足农牧民防病救灾需求，防疫达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实施情况：在村级防疫员补助方面，已完成106名防疫员全年补助资金发放，激发其工作积极性。动物疫病防控器材采购严格按计划执行，采购动物疫病防控器材，增强疫病监测处置效能。人畜共患病防控工作中，针对布病、包虫病开展专项行动，通过宣传、监测、防护等举措，对重点区域牲畜进行筛查，对阳性病例及时处置；推动防疫工作标准化、规范化，切实满足农牧民防病救灾需求。</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该项目年初预算数105.00万元，全年预算数105.00万元，该项目资金已全部落实到位，资金来源为财政拨款。</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该项目年初预算数105.00万元，全年预算数105.00万元，全年执行数105.00万元，预算执行率为100%，主要用于：筑牢基层动物疫病防控防线，对村级防疫员队伍建设与物资保障进行补贴，村级防疫员数量增至106人，投入80万元专项资金，用于提升防疫员的劳务报酬，增强其工作积极性与稳定性。同时，安排25万元用于采购动物疫病防控器材，以此提升基层动物疫病防控的硬件水平，为守护畜牧业健康发展与公共卫生安全提供坚实保障。</w:t>
      </w:r>
    </w:p>
    <w:p w14:paraId="5BBE7BA8">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6D6DA6A9">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b w:val="0"/>
          <w:bCs w:val="0"/>
          <w:spacing w:val="-4"/>
          <w:sz w:val="32"/>
          <w:szCs w:val="32"/>
        </w:rPr>
        <w:t>目标1：补助村级防疫员数量106人，购买动物疫病防控</w:t>
      </w:r>
    </w:p>
    <w:p w14:paraId="690C113F">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器材一批。目标2：开展布病、包虫病等人畜共患防控工作。保障职工生命安全。有利于提高职工工作积极性。</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第一季度：完成106名村级防疫员的人员统计与信息核实工作，制定详细的补助发放方案及培训计划。同时，开展动物疫病防控器材市场调研，确定采购清单与供应商，完成25万元防控器材采购预算编制及审批流程。启动布病、包虫病等人畜共患病防控宣传资料的制作，为项目实施做好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第二季度：发放村级防疫员首季度劳务补助，启动防疫员专业技能培训课程。按照采购计划，完成动物疫病防控器材的采购与发放，确保基层防疫点能及时使用新设备开展工作。在辖区内全面开展布病、包虫病等人畜共患病的监测工作，对重点养殖区域和易感动物群体进行采样检测，同步推进防控宣传活动，提高职工和养殖户的防控意识。</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第三季度：完成第二批村级防疫员技能培训，对已发放补助的使用情况和防疫员工作成效进行中期评估，根据评估结果优化补助方案和工作流程。持续加强动物疫病防控器材的使用指导与维护管理，确保器材发挥最大效能。深入推进人畜共患病防控工作，针对监测中发现的问题及时采取干预措施，为职工配备完善的个人防护装备，组织开展职工健康体检，切实保障职工生命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第四季度：完成全年村级防疫员补助发放工作，对防疫员工作成果进行全面考核。对采购的动物疫病防控器材使用效果进行评估，总结经验，为后续采购提供参考。全面总结布病、包虫病等人畜共患病防控工作，分析防控成效与存在问题，制定改进措施和下一年度防控计划。通过项目实施效果评估，进一步优化工作机制，提高职工工作积极性，为下一年度动物疫病防控工作奠定坚实基础。</w:t>
      </w:r>
    </w:p>
    <w:p w14:paraId="2750EFD8">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黑体" w:hAnsi="黑体" w:eastAsia="黑体"/>
          <w:b/>
          <w:bCs w:val="0"/>
          <w:spacing w:val="-4"/>
          <w:sz w:val="32"/>
          <w:szCs w:val="32"/>
        </w:rPr>
      </w:pPr>
      <w:r>
        <w:rPr>
          <w:rStyle w:val="18"/>
          <w:rFonts w:hint="eastAsia" w:ascii="黑体" w:hAnsi="黑体" w:eastAsia="黑体"/>
          <w:b/>
          <w:bCs w:val="0"/>
          <w:spacing w:val="-4"/>
          <w:sz w:val="32"/>
          <w:szCs w:val="32"/>
        </w:rPr>
        <w:t>二、</w:t>
      </w:r>
      <w:r>
        <w:rPr>
          <w:rStyle w:val="18"/>
          <w:rFonts w:hint="eastAsia"/>
          <w:b/>
          <w:bCs w:val="0"/>
          <w:spacing w:val="-4"/>
          <w:sz w:val="32"/>
          <w:szCs w:val="32"/>
        </w:rPr>
        <w:t>绩效评价工作开展情况</w:t>
      </w:r>
    </w:p>
    <w:p w14:paraId="12C1AB11">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4DC8E92">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1.绩效评价完整性</w:t>
      </w:r>
      <w:r>
        <w:rPr>
          <w:rStyle w:val="18"/>
          <w:rFonts w:hint="eastAsia" w:ascii="楷体" w:hAnsi="楷体" w:eastAsia="楷体"/>
          <w:spacing w:val="-4"/>
          <w:sz w:val="32"/>
          <w:szCs w:val="32"/>
        </w:rPr>
        <w:cr/>
      </w:r>
      <w:r>
        <w:rPr>
          <w:rStyle w:val="18"/>
          <w:rFonts w:hint="eastAsia" w:ascii="楷体" w:hAnsi="楷体" w:eastAsia="楷体"/>
          <w:b w:val="0"/>
          <w:bCs w:val="0"/>
          <w:spacing w:val="-4"/>
          <w:sz w:val="32"/>
          <w:szCs w:val="32"/>
        </w:rPr>
        <w:t>在制作本项目预算绩效评价报告时，我们严格依据《预算</w:t>
      </w:r>
    </w:p>
    <w:p w14:paraId="4D815768">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绩效评价管理办法》等相关法规，以全面性、客观性、科学性为原则，构建全流程闭环评价体系，系统剖析项目从预算编制到执行完成的全过程绩效。以确保评价内容的完整性与精确性。报告全面覆盖了项目从预算制定、实施到结束的整个流程，并对项目的各项绩效指标进行了详尽的分析和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评价指标体系的构建过程中，全面考量了项目的性质、目标及预期成果，在评价指标体系构建上，紧扣项目“补助村级防疫员、防控器材采购”核心目标，运用平衡计分卡理念，构建包含投入、过程、产出、效益的四维评价框架精心选取了具备代表性和可衡量性的关键指标，覆盖了社会效益等多个维度，力求全方位、多角度地反映项目的绩效状况。此外，对每个指标的评价标准及数据来源均进行了详尽的阐释，以确保评价结果的客观性和可追溯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数据收集与分析环节，采用了多种科学合理的方法，如实地调研、问卷调查等，广泛收集了与项目相关的各类数据，以确保评价结论的科学性和可靠性。此外，还对数据的质量和完整性进行了严格把控，对于缺失或异常的数据进行了合理的处理和说明，保证了评价数据的真实性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2.绩效评价的目的</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（1）评估项目实施效果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通过对项目预算执行情况及各项绩效目标达成程度的系统性分析，全面、客观地评估项目在预定周期内的实施效果，以社会效益为项目后续的改进与优化提供科学依据。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（2）提升资源利用效率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（3）强化项目管理责任</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（4）为决策提供支持</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（5）促进项目持续改进</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3.绩效评价的对象</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的评价对象是巴财农[2023]49号关于提前下达2024年中央农业防灾减灾和水利救灾资金[动物防疫补助]预算的通知及其预算执行情况。该项目由库尔勒市畜牧兽医站负责实施，旨在强化基层动物疫病防控能力，通过补助106名村级防疫员，优化人员激励与培训机制，稳定基层防疫队伍；同时采购防控器材，完善硬件设施，提升疫病防控专业化水平。全面推进布病、包虫病等人畜共患病防控工作，通过建立监测预警体系、开展健康宣教与防护保障，降低疫病传播风险，保障职工生命安全；改善工作环境与激励机制，显著提高职工工作积极性，最终实现辖区动物疫病发病率下降、公共卫生安全防线筑牢的目标。项目预算涵盖从2024年1月1日至2024年12月31日的全部资金投入与支出，涉及资金总额为105.00万元。</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4.绩效评价的范围</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本项目预算绩效评价报告的评价范围广泛而全面，涵盖了从项目立项至评价时点期间的所有关键预算活动和财务流程。具体而言，评价范围包括但不限于以下几个方面：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项目预算编制与执行：预算编制以《动物防疫补助经费管理办法》为依据，结合106名村级防疫员补助需求、防控器材市场价格调研数据，科学核定人员补助及器材采购资金。执行过程中，动态监控资金拨付节点，确保专款专用。若因器材价格波动等因素需调整预算，严格履行审批程序，分析调整对项目推进的影响，保障预算执行的合理性与刚性约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资金管理：建立“预算-拨付-使用-监管”全流程资金管理机制。资金分配严格遵循人员补助与器材采购比例，使用过程中要求基层单位定期提交资金使用明细，杜绝挪用、截留现象。通过内部核查等方式，强化资金监管，确保每笔支出合规透明，提升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项目实施进度与产出：对照季度阶段性目标，按月跟踪防疫员培训、补助发放及器材采购进度。运用项目管理工具，对滞后任务及时预警并制定纠偏措施。量化考核项目产出，如防疫员培训完成率、器材验收合格率等，确保任务按时完成，产出质量达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（4）社会影响：项目实施后，提升基层防疫能力，增强防疫职工信心，促进畜牧业可持续发展；保障防疫职工生命健康，提升社会公众对动物疫病防控工作的认可度，实现良好社会效益。</w:t>
      </w:r>
    </w:p>
    <w:p w14:paraId="5372AA68">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7033A41D">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b w:val="0"/>
          <w:bCs w:val="0"/>
          <w:spacing w:val="-4"/>
          <w:sz w:val="32"/>
          <w:szCs w:val="32"/>
        </w:rPr>
        <w:t>本次项目绩效评价遵循以下基本原则：</w:t>
      </w:r>
    </w:p>
    <w:p w14:paraId="469E276F">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绩效评价框架是开展绩效评价的核心。绩效评价框架包括评价准则、关键评价问题、评价指标、数据来源、数据收集方法等。指标体系建立过程如下：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（1）确定评价指标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采用层次分析法，建立评价指标体系。绩效评价将指标分为项目决策指标、项目过程指标、项目产出指标、项目效益指标四个维度，最终形成一个由多个相互联系的指标组成的多层次指标体系。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（2）确定权重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确定各个指标相对于项目总体绩效的权重分值。在绩效评价指标体系中，项目决策权重为20分，项目过程权重为20分，项目产出权重为40分，项目效益权重为20分。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（3）确定指标标准值</w:t>
      </w:r>
    </w:p>
    <w:p w14:paraId="35599594">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指标标准值是绩效评价指标的尺度，既要反映同类项目的先进水平，又要符合项目的实际绩效水平。具体采用计划标准等确定此次绩效评价指标标准值。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绩效评价总分值100分，根据综合评分结果，90（含）-100分为优、80（含）-90分为良、60（含）-80分为中、60分以下为差。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具体评价指标体系详情见附件1</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绩效评价从项目决策、项目过程、项目产出、项目效益四个维度进行评价。评价对象为项目目标实施情况，评价核心为资金的支出完成情况和项目的产出效益。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本次评价指标中，只有定量指标，定量指标因考核内容不同和客观标准不同存在较大差异，因此核定具体指标时采用了两种方法，具体评价方法如下：</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（一）成本效益分析法。</w:t>
      </w:r>
      <w:r>
        <w:rPr>
          <w:rStyle w:val="18"/>
          <w:rFonts w:hint="eastAsia" w:ascii="楷体" w:hAnsi="楷体" w:eastAsia="楷体"/>
          <w:b w:val="0"/>
          <w:bCs w:val="0"/>
          <w:spacing w:val="-4"/>
          <w:sz w:val="32"/>
          <w:szCs w:val="32"/>
        </w:rPr>
        <w:t>通过建立投入与产出、效益之间的量化关联，科学衡量资源配置的合理性与有效性。在公共卫生防疫领域，该方法可精准评估财政资金投入的实际价值，为后续政策制定与资源分配提供重要依据。此次针对防疫工作开展的成本效益分析，聚焦中央对村级防疫员防疫劳务补贴及动物防疫器材采购资金投入，深入探究其与防疫员工作效率提升、动物疫病防控能力增强带来的社会效益和经济效益之间的内在联系，全面评估资金投入产出比，先进的检测设备能够实现疫病的快速精准诊断，缩短疫情响应时间；优质的防护用具为防疫员提供安全保障，使其能够全身心投入防疫工作，降低疫情传播风险，有效保障公众生命健康安全，维护社会稳定。</w:t>
      </w:r>
    </w:p>
    <w:p w14:paraId="031ED41C">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（二）公众评判法。</w:t>
      </w:r>
      <w:r>
        <w:rPr>
          <w:rStyle w:val="18"/>
          <w:rFonts w:hint="eastAsia" w:ascii="楷体" w:hAnsi="楷体" w:eastAsia="楷体"/>
          <w:b w:val="0"/>
          <w:bCs w:val="0"/>
          <w:spacing w:val="-4"/>
          <w:sz w:val="32"/>
          <w:szCs w:val="32"/>
        </w:rPr>
        <w:t>可通过对防疫资金使用的科学性、合理性开展公众问卷调查，设计涵盖防疫服务满意度、物资发放及时性、疫情防控成效感知等问题的问卷，收集不同群体的意见；进行抽样调查，了解其对防疫工作的实际感受。将这些评判结果进行量化分析，能够全面反映公众对防疫资金使用的认可度，为改进工作提供方向。</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绩效评价标准通常包括计划标准、行业标准、历史标准等，用于对绩效指标完成情况进行比较、分析、评价。本次评价主要采用了计划标准。原因是：为项目设定清晰目标、步骤和预期成果，明确工作方向和重点，确保所有工作围绕核心目标开展，同时也可对项目所需的人力、物力、财力等资源进行科学预估和合理分配，避免资源闲置或短缺，提高资源利用效率，保障项目在既定预算和资源条件下完成。</w:t>
      </w:r>
    </w:p>
    <w:p w14:paraId="20261B27">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2F231ED9">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（1）前期准备与规划</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t>在项目绩效评价工作启动之初，成立了专门的评价工作小</w:t>
      </w:r>
    </w:p>
    <w:p w14:paraId="305FC597">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组，小组成员由相关领域技术骨干组成，确保从多角度、全方位对项目绩效进行评价。同时，明确了评价工作的目标、范围、重点及时间安排，制定了详细的工作计划，为评价工作的顺利开展奠定了坚实基础。评价工作小组还进行了深入的调研，充分了解项目背景、目标、实施过程及预期效果，确保评价工作的针对性和实效性。此外，还与项目实施单位、农牧民代表及相关利益方保持密切联系，及时收集反馈信息，确保评价工作的全面性和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（2）指标体系构建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构建指标体系的过程中，充分考虑了项目的实际情况和评价需求，对每个维度的指标进行了细致的分析和筛选，确保指标体系的全面性和有效性。同时，广泛征求各方面的意见和建议，对指标体系进行了多次修订和完善，提高了指标体系的科学性和可操作性，为后续的数据分析与评估提供了有力支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（3）数据收集与整理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广泛收集与项目相关的各类数据，包括业务数据、用户反馈等。在数据收集过程中，注重数据的质量与完整性，对缺失或异常的数据进行了合理的处理和补充。随后，对收集到的数据进行了系统的整理与分类，为后续的数据分析提供了有力支持。为了确保数据的准确性和一致性，对收集到的数据进行了多次核查与校验，为后续的数据分析与评估工作奠定了坚实基础。此外，在数据整理过程中，还充分考虑了数据的可比性和可解释性，对数据进行了适当的转换和标准化处理，以便于后续的数据分析和结果呈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（4）数据分析与评估</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（5）报告撰写与反馈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（6）后续跟踪与改进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6D52CAB">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黑体" w:hAnsi="黑体" w:eastAsia="黑体"/>
          <w:b/>
          <w:bCs w:val="0"/>
          <w:spacing w:val="-4"/>
          <w:sz w:val="32"/>
          <w:szCs w:val="32"/>
        </w:rPr>
      </w:pPr>
      <w:r>
        <w:rPr>
          <w:rStyle w:val="18"/>
          <w:rFonts w:hint="eastAsia" w:ascii="黑体" w:hAnsi="黑体" w:eastAsia="黑体"/>
          <w:b/>
          <w:bCs w:val="0"/>
          <w:spacing w:val="-4"/>
          <w:sz w:val="32"/>
          <w:szCs w:val="32"/>
        </w:rPr>
        <w:t>三、</w:t>
      </w:r>
      <w:r>
        <w:rPr>
          <w:rStyle w:val="18"/>
          <w:rFonts w:hint="eastAsia"/>
          <w:b/>
          <w:bCs w:val="0"/>
          <w:spacing w:val="-4"/>
          <w:sz w:val="32"/>
          <w:szCs w:val="32"/>
        </w:rPr>
        <w:t>综合评价情况及评价结论</w:t>
      </w:r>
    </w:p>
    <w:p w14:paraId="7B2EBB79">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（一）评价情况</w:t>
      </w:r>
    </w:p>
    <w:p w14:paraId="2BA5BBBD">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本项目的综合评价基于对项目各方面绩效的深入分析与评估。从项目目标的达成情况来看，巴财农[2023]49号关于提前下达2024年中央农业防灾减灾和水利救灾资金[动物防疫补助]预算的通知在动物疫病免疫覆盖率提升、基层防疫体系建设等方面表现出色，达到了预期的标准与要求。同时，项目也在疫病监测与应急处置领域取得了显著的成效，如有力保障了免疫工作的高效推进、有效激发了村级防疫员的工作积极性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在项目管理方面，库尔勒市畜牧兽医站通过有效的规划、组织与协调，项目得以顺利实施，并在预算与时间上保持了良好的控制。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从项目效益的角度来看，本项目实现了预期的社会效益方面产生了积极的影响。具体而言，村级防疫员的工作积极性有效提升，为项目的利益相关者带来了实实在在的利益。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综上所述，巴财农[2023]49号关于提前下达2024年中央农业防灾减灾和水利救灾资金[动物防疫补助]预算的通知在绩效评价中表现出色，达到了项目的预期目标，并在多个方面取得了显著的成效。</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20分，得分率为100%。项目过程类指标权重为20分，得分为20分，得分率为100%。项目产出类指标权重为40分，得分为40分，得分率为100%。项目效益类指标权重为20分，得分为20分，得分率为100%。具体打分情况详见：附件1综合评分表。</w:t>
      </w:r>
    </w:p>
    <w:p w14:paraId="524F89C9">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黑体" w:hAnsi="黑体" w:eastAsia="黑体"/>
          <w:b/>
          <w:bCs w:val="0"/>
        </w:rPr>
      </w:pPr>
      <w:r>
        <w:rPr>
          <w:rStyle w:val="18"/>
          <w:rFonts w:hint="eastAsia" w:ascii="黑体" w:hAnsi="黑体" w:eastAsia="黑体"/>
          <w:b/>
          <w:bCs w:val="0"/>
          <w:spacing w:val="-4"/>
          <w:sz w:val="32"/>
          <w:szCs w:val="32"/>
        </w:rPr>
        <w:t>四、</w:t>
      </w:r>
      <w:r>
        <w:rPr>
          <w:rStyle w:val="18"/>
          <w:rFonts w:hint="eastAsia"/>
          <w:b/>
          <w:bCs w:val="0"/>
          <w:spacing w:val="-4"/>
          <w:sz w:val="32"/>
          <w:szCs w:val="32"/>
        </w:rPr>
        <w:t>绩效评价指标分析</w:t>
      </w:r>
      <w:r>
        <w:rPr>
          <w:rStyle w:val="18"/>
          <w:rFonts w:hint="eastAsia" w:ascii="黑体" w:hAnsi="黑体" w:eastAsia="黑体"/>
          <w:b/>
          <w:bCs w:val="0"/>
          <w:spacing w:val="-4"/>
          <w:sz w:val="32"/>
          <w:szCs w:val="32"/>
        </w:rPr>
        <w:t xml:space="preserve"> </w:t>
      </w:r>
    </w:p>
    <w:p w14:paraId="73FBC997">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（一）项目决策情况。</w:t>
      </w:r>
    </w:p>
    <w:p w14:paraId="18EDAF1E">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楷体" w:hAnsi="楷体" w:eastAsia="楷体"/>
          <w:spacing w:val="-4"/>
          <w:sz w:val="32"/>
          <w:szCs w:val="32"/>
        </w:rPr>
      </w:pPr>
      <w:r>
        <w:rPr>
          <w:rStyle w:val="18"/>
          <w:rFonts w:hint="eastAsia" w:ascii="楷体" w:hAnsi="楷体" w:eastAsia="楷体"/>
          <w:b w:val="0"/>
          <w:bCs w:val="0"/>
          <w:spacing w:val="-4"/>
          <w:sz w:val="32"/>
          <w:szCs w:val="32"/>
        </w:rPr>
        <w:t>项目决策类指标包括项目立项、绩效目标和资金投入三方面的内容，由6个三级指标构成，权重分值为20分，实际得分20分，得分率为100%。</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1.项目立项</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该项目立项符合国家相关法律法规《中华人民共和国畜牧法》，符合行业规划要求，围绕本年度动物防疫工作以两大目标为核心展开，其一，落实106名村级防疫员补助，强化基层防疫力量。通过精准发放补助资金，并建立绩效挂钩机制，充分调动防疫员工作积极性，确保日常巡查、疫苗接种等基础防疫工作高效开展。同时，采购一批动物疫病防控器材，提升基层防疫的数字化、智能化水平，增强疫病监测与处置能力。其二，聚焦布病、包虫病等人畜共患病防控。组建专项工作小组，多维度推进防控工作，通过广泛宣传提升职工防控意识，开展定期监测筛查锁定高危人群，配备专业防护用具落实人员防护，切实保障职工生命安全，消除职工后顾之忧，从而显著提高职工工作积极性，筑牢人畜共患病防控防线。制定经费预算，属于公共财政支持范围。本项目与部门内部其他相关项目不重复。部门发展规划及职能文件等归档完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此项权重分值为3分，得分为3分。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项目申请、设立过程符合相关要求，严格按照审批流程准备符合要求的文件、材料；根据决算依据编制工作计划和经费预算，经过与部门项目分管领导沟通、筛选确定经费预算计划，在材料筹备过程中，组建专业团队对照政策文件逐项梳理，编制涵盖项目背景、实施方案、预期效益等内容的申报书，经多轮审核校验后提交审批，保证材料的完整性与准确性，确定最终预算方案。项目的审批文件、材料符合相关要求，项目事前经过必要的集体决策，保障了程序的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此项权重分值为3分，得分为3分。</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此项权重分值为3分，得分为3分。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项目设置了明确的预期产出效益和效果，将绩效目标细化分解为具体的绩效指标，绩效目标与项目目标任务数相对应，绩效目标设定的绩效指标清晰、细化、可衡量。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此项权重分值为3分，得分为3分。</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3.资金投入</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的预算编制过程严谨、科学，充分体现了精细化管理的要求。预算编制之初，采用自下而上与自上而下相结合的方式，运用因素分析法，全面考量区域动物疫病防控难度、基层防疫设备现状、防疫员数量等内外部因素，进行全面的成本估算。同时，预算编制紧密结合项目的特点与实际情况，将项目划分为物资采购、人员培训、疫病监测等多个阶段与任务，对每个阶段的资金需求进行详细的分析与计算，形成分阶段、分任务的预算明细表，为项目执行提供清晰指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在预算编制过程中，严格遵循成本控制与效益最大化的原则。运用最低成本法，对防疫物资供应商进行多轮比价，通过优化资源配置，将防疫员培训与设备操作培训合并开展，减少重复支出，提高资金使用效率。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的资金分配严格遵循公平、公正、透明的原则，依托系统化流程实现项目资源的合理配置与高效利用。在分配初期，运用因素分析法全面梳理项目需求，结合区域动物防疫重点、基层防疫体系短板等内外部因素，制定差异化资金分配策略。将防疫员补助及器材采购资金按任务优先级进行科学拆解，确保每一笔资金都精准对接防疫需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通过公众评判法收集基层防疫人员相关方意见，满意度调查显示，95%的受访者认可资金分配的合理性。结合标杆管理法，与防疫成效突出地区的资金配置模式对比，本项目资金分配保障基础防疫工作。这种科学合理的资金分配方案，不仅为项目顺利实施提供了坚实保障，更为后续绩效评价提供了清晰的量化依据，有效提升了财政资金的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p>
    <w:p w14:paraId="0D0607D0">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（二）项目过程情况。</w:t>
      </w:r>
    </w:p>
    <w:p w14:paraId="1C3B09C8">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项目过程类指标包括资金管理和组织实施两方面的内容，由5个三级指标构成，权重分值为20分，实际得分20分，得分率为100%。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1.资金管理</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本项目总投资105.00万元，财政资金及时足额到位，到位率100%，预算资金按计划进度执行。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预算编制较为详细，项目资金支出总体能够按照预算执行，预算资金支出105.00万元，预算执行率为100%。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的资金根据《中华人民共和国会计法》、《会计基础工作规范》、《预算管理办法》等财经法规，结合本部门实际情况，制定了本单位《预算管理内部控制制度》、《项目资金使用管理制度》、《项目专项资金管理制度》、《行政事业单位政府采购管理制度》等，确保了资金的合规性与安全性。在资金使用过程中，我们建立了完善的财务管理体系，对资金的流动进行了全程监控与记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本项目根据《项目组织管理制度》、《项目采购管理制度》等相关规定，为项目的成功实施提供了坚实的制度保障。项目管理制度的制定紧密结合了项目的特点与实际情况，涵盖了项目的策划、组织、实施、监控与收尾等各个环节。</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在制度设计上，我们注重了制度的科学性与可操作性，确保制度能够切实指导项目的执行与管理。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综上所述，本项目的管理制度是健全的、有效的，既符合项目的实际情况，又满足了项目管理的需要。管理制度的健全性为项目的成功实施提供了有力的保障，也为项目的绩效评价奠定了坚实的基础。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p>
    <w:p w14:paraId="05DCC4F8">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制度执行有效性</w:t>
      </w:r>
      <w:r>
        <w:rPr>
          <w:rStyle w:val="18"/>
          <w:rFonts w:hint="eastAsia" w:ascii="楷体" w:hAnsi="楷体" w:eastAsia="楷体"/>
          <w:spacing w:val="-4"/>
          <w:sz w:val="32"/>
          <w:szCs w:val="32"/>
        </w:rPr>
        <w:cr/>
      </w:r>
      <w:r>
        <w:rPr>
          <w:rStyle w:val="18"/>
          <w:rFonts w:hint="eastAsia" w:ascii="楷体" w:hAnsi="楷体" w:eastAsia="楷体"/>
          <w:b w:val="0"/>
          <w:bCs w:val="0"/>
          <w:spacing w:val="-4"/>
          <w:sz w:val="32"/>
          <w:szCs w:val="32"/>
        </w:rPr>
        <w:t>本项目在执行过程中，管理制度得到了全面、有效的落实，</w:t>
      </w:r>
    </w:p>
    <w:p w14:paraId="797FD071">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为确保项目的顺利实施与目标实现提供了坚实的保障。项目单位重视制度执行的重要性，通过明确责任分工、制定详细执行计划、加强监督考核等措施，确保了各项管理制度能够得到有效执行。</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在具体执行过程中，项目团队成员严格按照制度要求进行操作。同时，我们还建立了有效的沟通机制与反馈机制，确保项目信息的及时传递与问题的及时解决，进一步提高了制度执行的效率与效果。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综上所述，本项目的管理制度在执行过程中表现出了高度的有效性，既确保了项目的顺利进行，又实现了项目目标的有效达成。</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此项权重分值为4分，得分为4分。</w:t>
      </w:r>
    </w:p>
    <w:p w14:paraId="2ADDE330">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（三）项目产出情况。</w:t>
      </w:r>
    </w:p>
    <w:p w14:paraId="37390B98">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项目产出类指标包括产出数量、产出质量、产出时效、产出成本四方面的内容，由7个三级指标构成，权重分为40分，实际得分40分，得分率为100%。具体产出指标完成情况如下：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指标1：村级防疫员补贴人数，指标值：=106人，实际完成值：106人，指标完成率100%。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指标2：购买动物疫病防控器材数量，指标值：&gt;=1批，实际完成值：1批，指标完成率100%。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指标1：依法对在重大动物疫病强制免疫率，指标值：&gt;=90%，实际完成值：90%，指标完成率100%。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指标2：平均免疫抗体合格率，指标值：&gt;=70%，实际完成值：70%，指标完成率100%。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指标1：补助发放及时率，指标值：=100%，实际完成值：100%，指标完成率100%。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④成本指标：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指标1：村级防疫员补贴成本，指标值：&lt;=80万元，实际完成值：80万元，指标完成率100%。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指标2：中央人畜共患病防控工作经费，指标值：&lt;=25万元，实际完成值：25万元，指标完成率100%。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p>
    <w:p w14:paraId="288557A0">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Fonts w:ascii="楷体" w:hAnsi="楷体" w:eastAsia="楷体"/>
          <w:b/>
          <w:spacing w:val="-4"/>
          <w:sz w:val="32"/>
          <w:szCs w:val="32"/>
        </w:rPr>
      </w:pPr>
      <w:r>
        <w:rPr>
          <w:rFonts w:hint="eastAsia" w:ascii="楷体" w:hAnsi="楷体" w:eastAsia="楷体"/>
          <w:b/>
          <w:spacing w:val="-4"/>
          <w:sz w:val="32"/>
          <w:szCs w:val="32"/>
        </w:rPr>
        <w:t>（四）项目效益情况。</w:t>
      </w:r>
    </w:p>
    <w:p w14:paraId="3F0E448E">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项目效益类指标包括项目实施效益和满意度两方面的内容，由2个三级指标构成，权重分为20分，实际得分20分，得分率为100%。具体效益指标及满意度指标完成情况如下：</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1.实施效益</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指标1：村级防疫员工作积极性提高率，指标值：&gt;=95%，实际完成值：95%，指标完成率100%。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此项权重分值为10分，得分为10分。</w:t>
      </w:r>
    </w:p>
    <w:p w14:paraId="074AD30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满意度</w:t>
      </w:r>
      <w:r>
        <w:rPr>
          <w:rStyle w:val="18"/>
          <w:rFonts w:hint="eastAsia" w:ascii="楷体" w:hAnsi="楷体" w:eastAsia="楷体"/>
          <w:spacing w:val="-4"/>
          <w:sz w:val="32"/>
          <w:szCs w:val="32"/>
        </w:rPr>
        <w:cr/>
      </w:r>
      <w:r>
        <w:rPr>
          <w:rStyle w:val="18"/>
          <w:rFonts w:hint="eastAsia" w:ascii="楷体" w:hAnsi="楷体" w:eastAsia="楷体"/>
          <w:b w:val="0"/>
          <w:bCs w:val="0"/>
          <w:spacing w:val="-4"/>
          <w:sz w:val="32"/>
          <w:szCs w:val="32"/>
        </w:rPr>
        <w:t>指标1：村级防疫员满意度，指标值：&gt;=95%，实际完成值：</w:t>
      </w:r>
    </w:p>
    <w:p w14:paraId="49405D52">
      <w:pPr>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95%，指标完成率100%。</w:t>
      </w:r>
    </w:p>
    <w:p w14:paraId="27B2B231">
      <w:pPr>
        <w:keepNext w:val="0"/>
        <w:keepLines w:val="0"/>
        <w:pageBreakBefore w:val="0"/>
        <w:widowControl w:val="0"/>
        <w:numPr>
          <w:numId w:val="0"/>
        </w:numPr>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此项权重分值为10分，得分为10分。</w:t>
      </w:r>
    </w:p>
    <w:p w14:paraId="589C4EFE">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黑体" w:hAnsi="黑体" w:eastAsia="黑体"/>
          <w:b/>
          <w:bCs w:val="0"/>
          <w:spacing w:val="-4"/>
          <w:sz w:val="32"/>
          <w:szCs w:val="32"/>
        </w:rPr>
      </w:pPr>
      <w:r>
        <w:rPr>
          <w:rStyle w:val="18"/>
          <w:rFonts w:hint="eastAsia" w:ascii="黑体" w:hAnsi="黑体" w:eastAsia="黑体"/>
          <w:b/>
          <w:bCs w:val="0"/>
          <w:spacing w:val="-4"/>
          <w:sz w:val="32"/>
          <w:szCs w:val="32"/>
          <w:lang w:eastAsia="zh-CN"/>
        </w:rPr>
        <w:t>五</w:t>
      </w:r>
      <w:r>
        <w:rPr>
          <w:rStyle w:val="18"/>
          <w:rFonts w:hint="eastAsia" w:ascii="黑体" w:hAnsi="黑体" w:eastAsia="黑体"/>
          <w:b/>
          <w:bCs w:val="0"/>
          <w:spacing w:val="-4"/>
          <w:sz w:val="32"/>
          <w:szCs w:val="32"/>
        </w:rPr>
        <w:t>、</w:t>
      </w:r>
      <w:r>
        <w:rPr>
          <w:rStyle w:val="18"/>
          <w:rFonts w:ascii="黑体" w:hAnsi="黑体" w:eastAsia="黑体"/>
          <w:b/>
          <w:bCs w:val="0"/>
          <w:spacing w:val="-4"/>
          <w:sz w:val="32"/>
          <w:szCs w:val="32"/>
        </w:rPr>
        <w:t>主要经验及做法、存在的问题及原因分析</w:t>
      </w:r>
    </w:p>
    <w:p w14:paraId="2F445B7C">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楷体" w:hAnsi="楷体" w:eastAsia="楷体"/>
          <w:spacing w:val="-4"/>
          <w:sz w:val="32"/>
          <w:szCs w:val="32"/>
        </w:rPr>
      </w:pPr>
      <w:r>
        <w:rPr>
          <w:rStyle w:val="18"/>
          <w:rFonts w:hint="eastAsia" w:ascii="楷体" w:hAnsi="楷体" w:eastAsia="楷体"/>
          <w:spacing w:val="-4"/>
          <w:sz w:val="32"/>
          <w:szCs w:val="32"/>
        </w:rPr>
        <w:t>（一）主要经验及做法</w:t>
      </w:r>
    </w:p>
    <w:p w14:paraId="14ECD3C3">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国家重点动物疫病的强制免疫、免疫效果监测评价、疫</w:t>
      </w:r>
    </w:p>
    <w:p w14:paraId="19B20C0F">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病监测和净化、人员防护等相关防控措施。允许按程序对符合条件的养殖场户实行强制免疫“先打后补”，逐步实现养殖场户自主采购，财政直补；对暂不符合条件的养殖场户，强制免疫疫苗继续实施省级集中采购，以政府购买动物防疫服务形式实施强制免疫。</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国家建立强制免疫、强制扑杀补助病种、销毁动物产品和相关物品种类动态调整机制。在编制年度预算前或预算执行中，财政部会同农业农村部适时开展评估并作出调整。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市农业农村局负责动物防疫的行业规划编制，指导、推动和监督开展动物防疫工作，会同财政部门根据上级下达年度工作任务清单，做好资金测算、任务完成情况监督等。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4</w:t>
      </w:r>
      <w:r>
        <w:rPr>
          <w:rStyle w:val="18"/>
          <w:rFonts w:hint="eastAsia" w:ascii="楷体" w:hAnsi="楷体" w:eastAsia="楷体"/>
          <w:b w:val="0"/>
          <w:bCs w:val="0"/>
          <w:spacing w:val="-4"/>
          <w:sz w:val="32"/>
          <w:szCs w:val="32"/>
          <w:lang w:val="en-US" w:eastAsia="zh-CN"/>
        </w:rPr>
        <w:t>.</w:t>
      </w:r>
      <w:r>
        <w:rPr>
          <w:rStyle w:val="18"/>
          <w:rFonts w:hint="eastAsia" w:ascii="楷体" w:hAnsi="楷体" w:eastAsia="楷体"/>
          <w:b w:val="0"/>
          <w:bCs w:val="0"/>
          <w:spacing w:val="-4"/>
          <w:sz w:val="32"/>
          <w:szCs w:val="32"/>
        </w:rPr>
        <w:t>市财政部门主要负责动物防疫等补助经费的预算分解下达、资金审核拨付、本地区预算绩效管理以及资金使用监督。市农业农村局负责相关规划或实施方案编制、项目组织实施和监督等。</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1、存在的问题</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（1）基础设施薄弱</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我单位为最基层动物防疫辖区，动物防疫基础设施建设滞后，基层动物防疫站点的检测设备陈旧、老化，难以满足对新型动物疫病快速精准检测的需求。下属13个乡（镇）兽医站，缺乏先进的病原核酸检测仪器，无法第一时间确诊疫情，导致疫病防控工作延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（2）专业人员短缺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动物防疫专业人才匮乏，全市动物防疫监测在职在编13人，公益性岗位基层防疫人员知识老化，难以适应现代动物防疫技术的发展要求。许多年轻专业人才更倾向于留在城市，不愿投身基层防疫工作，导致基层防疫队伍新鲜血液补充不足。同时，现有防疫人员培训不足，对新出现的动物疫病防控技术和理念掌握不及时，影响防疫工作质量。另外，聘用的村级防疫员工资待遇低，影响防疫的工作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（3）防疫意识淡薄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部分养殖户和养殖场对动物防疫的重要性认识不足，存在侥幸心理，不主动配合防疫工作。例如，一些散户不按时给畜禽接种疫苗，不注重养殖场的环境卫生和消毒工作，导致畜禽易感染疫病。此外，部分地区群众对病死畜禽无害化处理的重要性缺乏认识，甚至私自售卖病死畜禽，加剧了疫病传播风险。</w:t>
      </w:r>
    </w:p>
    <w:p w14:paraId="1E1F8572">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黑体" w:hAnsi="黑体" w:eastAsia="黑体"/>
          <w:b/>
          <w:bCs w:val="0"/>
          <w:spacing w:val="-4"/>
          <w:sz w:val="32"/>
          <w:szCs w:val="32"/>
        </w:rPr>
      </w:pPr>
      <w:r>
        <w:rPr>
          <w:rStyle w:val="18"/>
          <w:rFonts w:hint="eastAsia" w:ascii="黑体" w:hAnsi="黑体" w:eastAsia="黑体"/>
          <w:b/>
          <w:bCs w:val="0"/>
          <w:spacing w:val="-4"/>
          <w:sz w:val="32"/>
          <w:szCs w:val="32"/>
          <w:lang w:eastAsia="zh-CN"/>
        </w:rPr>
        <w:t>六</w:t>
      </w:r>
      <w:r>
        <w:rPr>
          <w:rStyle w:val="18"/>
          <w:rFonts w:ascii="黑体" w:hAnsi="黑体" w:eastAsia="黑体"/>
          <w:b/>
          <w:bCs w:val="0"/>
          <w:spacing w:val="-4"/>
          <w:sz w:val="32"/>
          <w:szCs w:val="32"/>
        </w:rPr>
        <w:t>、有关建议</w:t>
      </w:r>
    </w:p>
    <w:p w14:paraId="46F7B836">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hint="eastAsia" w:ascii="楷体" w:hAnsi="楷体" w:eastAsia="楷体"/>
          <w:b w:val="0"/>
          <w:bCs w:val="0"/>
          <w:spacing w:val="-4"/>
          <w:sz w:val="32"/>
          <w:szCs w:val="32"/>
        </w:rPr>
      </w:pPr>
      <w:r>
        <w:rPr>
          <w:rStyle w:val="18"/>
          <w:rFonts w:hint="eastAsia" w:ascii="楷体" w:hAnsi="楷体" w:eastAsia="楷体"/>
          <w:spacing w:val="-4"/>
          <w:sz w:val="32"/>
          <w:szCs w:val="32"/>
        </w:rPr>
        <w:t>（一）争取专项资金升级设备</w:t>
      </w:r>
      <w:r>
        <w:rPr>
          <w:rStyle w:val="18"/>
          <w:rFonts w:hint="eastAsia" w:ascii="楷体" w:hAnsi="楷体" w:eastAsia="楷体"/>
          <w:spacing w:val="-4"/>
          <w:sz w:val="32"/>
          <w:szCs w:val="32"/>
        </w:rPr>
        <w:cr/>
      </w:r>
      <w:r>
        <w:rPr>
          <w:rStyle w:val="18"/>
          <w:rFonts w:hint="eastAsia" w:ascii="楷体" w:hAnsi="楷体" w:eastAsia="楷体"/>
          <w:b w:val="0"/>
          <w:bCs w:val="0"/>
          <w:spacing w:val="-4"/>
          <w:sz w:val="32"/>
          <w:szCs w:val="32"/>
        </w:rPr>
        <w:t>积极向上级部门、本级财政部门申请动物防疫基础设施建</w:t>
      </w:r>
    </w:p>
    <w:p w14:paraId="5A3EFC8C">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楷体" w:hAnsi="楷体" w:eastAsia="楷体"/>
          <w:spacing w:val="-4"/>
          <w:sz w:val="32"/>
          <w:szCs w:val="32"/>
        </w:rPr>
      </w:pPr>
      <w:r>
        <w:rPr>
          <w:rStyle w:val="18"/>
          <w:rFonts w:hint="eastAsia" w:ascii="楷体" w:hAnsi="楷体" w:eastAsia="楷体"/>
          <w:b w:val="0"/>
          <w:bCs w:val="0"/>
          <w:spacing w:val="-4"/>
          <w:sz w:val="32"/>
          <w:szCs w:val="32"/>
        </w:rPr>
        <w:t>设专项资金，详细阐述库尔勒市基层动物防疫站点检测设备陈旧、老化，无法满足新型动物疫病检测需求的现状，重点说明下属 13 个乡（镇）兽医站缺乏先进病原核酸检测仪器导致疫情确诊延误的问题，争取专项拨款用于购置荧光定量 PCR 仪、全自动核酸提取仪等先进检测设备，提升疫病快速精准检测能力。</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（二）加强专业人才队伍建设</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1</w:t>
      </w:r>
      <w:r>
        <w:rPr>
          <w:rStyle w:val="18"/>
          <w:rFonts w:hint="eastAsia" w:ascii="楷体" w:hAnsi="楷体" w:eastAsia="楷体"/>
          <w:spacing w:val="-4"/>
          <w:sz w:val="32"/>
          <w:szCs w:val="32"/>
          <w:lang w:val="en-US" w:eastAsia="zh-CN"/>
        </w:rPr>
        <w:t>.</w:t>
      </w:r>
      <w:r>
        <w:rPr>
          <w:rStyle w:val="18"/>
          <w:rFonts w:hint="eastAsia" w:ascii="楷体" w:hAnsi="楷体" w:eastAsia="楷体"/>
          <w:spacing w:val="-4"/>
          <w:sz w:val="32"/>
          <w:szCs w:val="32"/>
        </w:rPr>
        <w:t>优化人才引进政策</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lang w:val="en-US" w:eastAsia="zh-CN"/>
        </w:rPr>
        <w:t xml:space="preserve"> </w:t>
      </w:r>
      <w:r>
        <w:rPr>
          <w:rStyle w:val="18"/>
          <w:rFonts w:hint="eastAsia" w:ascii="楷体" w:hAnsi="楷体" w:eastAsia="楷体"/>
          <w:b w:val="0"/>
          <w:bCs w:val="0"/>
          <w:spacing w:val="-4"/>
          <w:sz w:val="32"/>
          <w:szCs w:val="32"/>
        </w:rPr>
        <w:t>制定基层动物防疫人才引进专项政策，对到库尔勒市基层防疫岗位工作的动物医学、预防兽医学等专业本科及以上学历人才，给予安家费补贴、住房保障、职称评定倾斜等优惠政策。吸引在校学生提前了解基层防疫工作，毕业后优先选择到库尔勒市就业。</w:t>
      </w:r>
      <w:r>
        <w:rPr>
          <w:rStyle w:val="18"/>
          <w:rFonts w:hint="eastAsia" w:ascii="楷体" w:hAnsi="楷体" w:eastAsia="楷体"/>
          <w:b w:val="0"/>
          <w:bCs w:val="0"/>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2</w:t>
      </w:r>
      <w:r>
        <w:rPr>
          <w:rStyle w:val="18"/>
          <w:rFonts w:hint="eastAsia" w:ascii="楷体" w:hAnsi="楷体" w:eastAsia="楷体"/>
          <w:spacing w:val="-4"/>
          <w:sz w:val="32"/>
          <w:szCs w:val="32"/>
          <w:lang w:val="en-US" w:eastAsia="zh-CN"/>
        </w:rPr>
        <w:t>.</w:t>
      </w:r>
      <w:r>
        <w:rPr>
          <w:rStyle w:val="18"/>
          <w:rFonts w:hint="eastAsia" w:ascii="楷体" w:hAnsi="楷体" w:eastAsia="楷体"/>
          <w:spacing w:val="-4"/>
          <w:sz w:val="32"/>
          <w:szCs w:val="32"/>
        </w:rPr>
        <w:t>完善培训体系</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构建 “线上 + 线下” 相结合的全方位培训体系。线上，利用网络平台学习动物防疫知识，及时掌握新型动物疫病防控技术、疫病监测方法等课程，增加防疫人员学习机会；线下，定期组织防疫人员积极参加自治区组织的专业技术培训，每季度举办一次集中培训，邀请巴州、库尔勒市兽医专家授课，更新防疫人员知识结构，提升专业技能。</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spacing w:val="-4"/>
          <w:sz w:val="32"/>
          <w:szCs w:val="32"/>
        </w:rPr>
        <w:t>3</w:t>
      </w:r>
      <w:r>
        <w:rPr>
          <w:rStyle w:val="18"/>
          <w:rFonts w:hint="eastAsia" w:ascii="楷体" w:hAnsi="楷体" w:eastAsia="楷体"/>
          <w:spacing w:val="-4"/>
          <w:sz w:val="32"/>
          <w:szCs w:val="32"/>
          <w:lang w:val="en-US" w:eastAsia="zh-CN"/>
        </w:rPr>
        <w:t>.</w:t>
      </w:r>
      <w:r>
        <w:rPr>
          <w:rStyle w:val="18"/>
          <w:rFonts w:hint="eastAsia" w:ascii="楷体" w:hAnsi="楷体" w:eastAsia="楷体"/>
          <w:spacing w:val="-4"/>
          <w:sz w:val="32"/>
          <w:szCs w:val="32"/>
        </w:rPr>
        <w:t>提高村级防疫员待遇</w:t>
      </w:r>
      <w:r>
        <w:rPr>
          <w:rStyle w:val="18"/>
          <w:rFonts w:hint="eastAsia" w:ascii="楷体" w:hAnsi="楷体" w:eastAsia="楷体"/>
          <w:spacing w:val="-4"/>
          <w:sz w:val="32"/>
          <w:szCs w:val="32"/>
        </w:rPr>
        <w:cr/>
      </w:r>
      <w:r>
        <w:rPr>
          <w:rStyle w:val="18"/>
          <w:rFonts w:hint="eastAsia" w:ascii="楷体" w:hAnsi="楷体" w:eastAsia="楷体"/>
          <w:spacing w:val="-4"/>
          <w:sz w:val="32"/>
          <w:szCs w:val="32"/>
          <w:lang w:val="en-US" w:eastAsia="zh-CN"/>
        </w:rPr>
        <w:t xml:space="preserve">    </w:t>
      </w:r>
      <w:r>
        <w:rPr>
          <w:rStyle w:val="18"/>
          <w:rFonts w:hint="eastAsia" w:ascii="楷体" w:hAnsi="楷体" w:eastAsia="楷体"/>
          <w:b w:val="0"/>
          <w:bCs w:val="0"/>
          <w:spacing w:val="-4"/>
          <w:sz w:val="32"/>
          <w:szCs w:val="32"/>
        </w:rPr>
        <w:t>将中央下达的村级防疫员劳务绩效补贴进行绩效考核，对于免疫密度高、抗体率优质的防疫人员试行奖惩制度，对在疫情防控工作中表现突出的人员给予奖励，提高其工作积极性和稳定性。</w:t>
      </w:r>
    </w:p>
    <w:p w14:paraId="2DAD7D63">
      <w:pPr>
        <w:keepNext w:val="0"/>
        <w:keepLines w:val="0"/>
        <w:pageBreakBefore w:val="0"/>
        <w:widowControl w:val="0"/>
        <w:kinsoku/>
        <w:wordWrap/>
        <w:overflowPunct/>
        <w:topLinePunct w:val="0"/>
        <w:autoSpaceDE/>
        <w:autoSpaceDN/>
        <w:bidi w:val="0"/>
        <w:adjustRightInd/>
        <w:snapToGrid/>
        <w:spacing w:line="560" w:lineRule="exact"/>
        <w:ind w:left="0" w:leftChars="0" w:firstLine="627" w:firstLineChars="200"/>
        <w:textAlignment w:val="auto"/>
        <w:rPr>
          <w:rStyle w:val="18"/>
          <w:rFonts w:ascii="黑体" w:hAnsi="黑体" w:eastAsia="黑体"/>
          <w:b w:val="0"/>
          <w:spacing w:val="-4"/>
          <w:sz w:val="32"/>
          <w:szCs w:val="32"/>
        </w:rPr>
      </w:pPr>
      <w:r>
        <w:rPr>
          <w:rStyle w:val="18"/>
          <w:rFonts w:hint="eastAsia" w:ascii="黑体" w:hAnsi="黑体" w:eastAsia="黑体"/>
          <w:b/>
          <w:bCs w:val="0"/>
          <w:spacing w:val="-4"/>
          <w:sz w:val="32"/>
          <w:szCs w:val="32"/>
          <w:lang w:eastAsia="zh-CN"/>
        </w:rPr>
        <w:t>七</w:t>
      </w:r>
      <w:r>
        <w:rPr>
          <w:rStyle w:val="18"/>
          <w:rFonts w:hint="eastAsia" w:ascii="黑体" w:hAnsi="黑体" w:eastAsia="黑体"/>
          <w:b/>
          <w:bCs w:val="0"/>
          <w:spacing w:val="-4"/>
          <w:sz w:val="32"/>
          <w:szCs w:val="32"/>
        </w:rPr>
        <w:t>、其他需要说明的问题</w:t>
      </w:r>
    </w:p>
    <w:p w14:paraId="1BFE8D29">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楷体" w:hAnsi="楷体" w:eastAsia="楷体"/>
          <w:spacing w:val="-4"/>
          <w:sz w:val="32"/>
          <w:szCs w:val="32"/>
        </w:rPr>
      </w:pPr>
      <w:r>
        <w:rPr>
          <w:rStyle w:val="18"/>
          <w:rFonts w:hint="eastAsia" w:ascii="楷体" w:hAnsi="楷体" w:eastAsia="楷体"/>
          <w:b w:val="0"/>
          <w:bCs w:val="0"/>
          <w:spacing w:val="-4"/>
          <w:sz w:val="32"/>
          <w:szCs w:val="32"/>
        </w:rPr>
        <w:t>本项目无其他需说明的问题。</w:t>
      </w:r>
    </w:p>
    <w:p w14:paraId="279FE060">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仿宋" w:hAnsi="仿宋" w:eastAsia="仿宋"/>
          <w:b w:val="0"/>
          <w:spacing w:val="-4"/>
          <w:sz w:val="32"/>
          <w:szCs w:val="32"/>
        </w:rPr>
      </w:pPr>
    </w:p>
    <w:p w14:paraId="2F341423">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仿宋" w:hAnsi="仿宋" w:eastAsia="仿宋"/>
          <w:b w:val="0"/>
          <w:spacing w:val="-4"/>
          <w:sz w:val="32"/>
          <w:szCs w:val="32"/>
        </w:rPr>
      </w:pPr>
    </w:p>
    <w:p w14:paraId="235F2077">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仿宋" w:hAnsi="仿宋" w:eastAsia="仿宋"/>
          <w:b w:val="0"/>
          <w:spacing w:val="-4"/>
          <w:sz w:val="32"/>
          <w:szCs w:val="32"/>
        </w:rPr>
      </w:pPr>
    </w:p>
    <w:p w14:paraId="7D31D17E">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仿宋" w:hAnsi="仿宋" w:eastAsia="仿宋"/>
          <w:b w:val="0"/>
          <w:spacing w:val="-4"/>
          <w:sz w:val="32"/>
          <w:szCs w:val="32"/>
        </w:rPr>
      </w:pPr>
    </w:p>
    <w:p w14:paraId="69A85966">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仿宋" w:hAnsi="仿宋" w:eastAsia="仿宋"/>
          <w:b w:val="0"/>
          <w:spacing w:val="-4"/>
          <w:sz w:val="32"/>
          <w:szCs w:val="32"/>
        </w:rPr>
      </w:pPr>
    </w:p>
    <w:p w14:paraId="70490A10">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仿宋" w:hAnsi="仿宋" w:eastAsia="仿宋"/>
          <w:b w:val="0"/>
          <w:spacing w:val="-4"/>
          <w:sz w:val="32"/>
          <w:szCs w:val="32"/>
        </w:rPr>
      </w:pPr>
    </w:p>
    <w:p w14:paraId="558EE950">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仿宋" w:hAnsi="仿宋" w:eastAsia="仿宋"/>
          <w:b w:val="0"/>
          <w:spacing w:val="-4"/>
          <w:sz w:val="32"/>
          <w:szCs w:val="32"/>
        </w:rPr>
      </w:pPr>
    </w:p>
    <w:p w14:paraId="278B1E9A">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仿宋" w:hAnsi="仿宋" w:eastAsia="仿宋"/>
          <w:b w:val="0"/>
          <w:spacing w:val="-4"/>
          <w:sz w:val="32"/>
          <w:szCs w:val="32"/>
        </w:rPr>
      </w:pPr>
    </w:p>
    <w:p w14:paraId="3E4D89A1">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仿宋" w:hAnsi="仿宋" w:eastAsia="仿宋"/>
          <w:b w:val="0"/>
          <w:spacing w:val="-4"/>
          <w:sz w:val="32"/>
          <w:szCs w:val="32"/>
        </w:rPr>
      </w:pPr>
    </w:p>
    <w:p w14:paraId="308CE7B3">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仿宋" w:hAnsi="仿宋" w:eastAsia="仿宋"/>
          <w:b w:val="0"/>
          <w:spacing w:val="-4"/>
          <w:sz w:val="32"/>
          <w:szCs w:val="32"/>
        </w:rPr>
      </w:pPr>
    </w:p>
    <w:p w14:paraId="5A3A7786">
      <w:pPr>
        <w:keepNext w:val="0"/>
        <w:keepLines w:val="0"/>
        <w:pageBreakBefore w:val="0"/>
        <w:widowControl w:val="0"/>
        <w:kinsoku/>
        <w:wordWrap/>
        <w:overflowPunct/>
        <w:topLinePunct w:val="0"/>
        <w:autoSpaceDE/>
        <w:autoSpaceDN/>
        <w:bidi w:val="0"/>
        <w:adjustRightInd/>
        <w:snapToGrid/>
        <w:spacing w:line="560" w:lineRule="exact"/>
        <w:ind w:left="0" w:leftChars="0" w:firstLine="624" w:firstLineChars="200"/>
        <w:textAlignment w:val="auto"/>
        <w:rPr>
          <w:rStyle w:val="18"/>
          <w:rFonts w:ascii="仿宋" w:hAnsi="仿宋" w:eastAsia="仿宋"/>
          <w:b w:val="0"/>
          <w:spacing w:val="-4"/>
          <w:sz w:val="32"/>
          <w:szCs w:val="32"/>
        </w:rPr>
      </w:pP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14:paraId="506022B4">
        <w:pPr>
          <w:pStyle w:val="12"/>
          <w:jc w:val="center"/>
        </w:pPr>
        <w:r>
          <w:fldChar w:fldCharType="begin"/>
        </w:r>
        <w:r>
          <w:instrText xml:space="preserve">PAGE   \* MERGEFORMAT</w:instrText>
        </w:r>
        <w:r>
          <w:fldChar w:fldCharType="separate"/>
        </w:r>
        <w:r>
          <w:rPr>
            <w:lang w:val="zh-CN"/>
          </w:rPr>
          <w:t>1</w:t>
        </w:r>
        <w:r>
          <w:fldChar w:fldCharType="end"/>
        </w:r>
      </w:p>
    </w:sdtContent>
  </w:sdt>
  <w:p w14:paraId="6BED51E3">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4183BA8"/>
    <w:multiLevelType w:val="singleLevel"/>
    <w:tmpl w:val="E4183BA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227136C"/>
    <w:rsid w:val="06265C73"/>
    <w:rsid w:val="07726BE5"/>
    <w:rsid w:val="0CB44F22"/>
    <w:rsid w:val="1727709B"/>
    <w:rsid w:val="1B67206C"/>
    <w:rsid w:val="1F642E60"/>
    <w:rsid w:val="2E861045"/>
    <w:rsid w:val="3D413ADE"/>
    <w:rsid w:val="3F300ECA"/>
    <w:rsid w:val="49F509D5"/>
    <w:rsid w:val="4C3457E4"/>
    <w:rsid w:val="4C3D1751"/>
    <w:rsid w:val="4D2606A1"/>
    <w:rsid w:val="4EDE7C89"/>
    <w:rsid w:val="58466FCB"/>
    <w:rsid w:val="5A0507C0"/>
    <w:rsid w:val="5A897643"/>
    <w:rsid w:val="71600097"/>
    <w:rsid w:val="7A513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13530</Words>
  <Characters>13838</Characters>
  <Lines>5</Lines>
  <Paragraphs>1</Paragraphs>
  <TotalTime>21</TotalTime>
  <ScaleCrop>false</ScaleCrop>
  <LinksUpToDate>false</LinksUpToDate>
  <CharactersWithSpaces>13864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文新华</cp:lastModifiedBy>
  <cp:lastPrinted>2018-12-31T10:56:00Z</cp:lastPrinted>
  <dcterms:modified xsi:type="dcterms:W3CDTF">2025-08-16T11:56:22Z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160D1BA1944349B08C48068401F6E698</vt:lpwstr>
  </property>
  <property fmtid="{D5CDD505-2E9C-101B-9397-08002B2CF9AE}" pid="4" name="KSOTemplateDocerSaveRecord">
    <vt:lpwstr>eyJoZGlkIjoiNjJhZjlkMGJiOGI3Y2FkNzkyZTA5YzhkZjJjZTBiYjciLCJ1c2VySWQiOiI1MzMyNjY2NjMifQ==</vt:lpwstr>
  </property>
</Properties>
</file>