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33BB" w:rsidRDefault="00E05007">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2333BB" w:rsidRDefault="002333BB">
      <w:pPr>
        <w:spacing w:line="540" w:lineRule="exact"/>
        <w:jc w:val="center"/>
        <w:rPr>
          <w:rFonts w:ascii="华文中宋" w:eastAsia="华文中宋" w:hAnsi="华文中宋" w:cs="宋体"/>
          <w:b/>
          <w:kern w:val="0"/>
          <w:sz w:val="52"/>
          <w:szCs w:val="52"/>
        </w:rPr>
      </w:pPr>
    </w:p>
    <w:p w:rsidR="002333BB" w:rsidRDefault="002333BB">
      <w:pPr>
        <w:spacing w:line="540" w:lineRule="exact"/>
        <w:jc w:val="center"/>
        <w:rPr>
          <w:rFonts w:ascii="华文中宋" w:eastAsia="华文中宋" w:hAnsi="华文中宋" w:cs="宋体"/>
          <w:b/>
          <w:kern w:val="0"/>
          <w:sz w:val="52"/>
          <w:szCs w:val="52"/>
        </w:rPr>
      </w:pPr>
    </w:p>
    <w:p w:rsidR="002333BB" w:rsidRDefault="002333BB">
      <w:pPr>
        <w:spacing w:line="540" w:lineRule="exact"/>
        <w:jc w:val="center"/>
        <w:rPr>
          <w:rFonts w:ascii="华文中宋" w:eastAsia="华文中宋" w:hAnsi="华文中宋" w:cs="宋体"/>
          <w:b/>
          <w:kern w:val="0"/>
          <w:sz w:val="52"/>
          <w:szCs w:val="52"/>
        </w:rPr>
      </w:pPr>
    </w:p>
    <w:p w:rsidR="002333BB" w:rsidRDefault="002333BB">
      <w:pPr>
        <w:spacing w:line="540" w:lineRule="exact"/>
        <w:jc w:val="center"/>
        <w:rPr>
          <w:rFonts w:ascii="华文中宋" w:eastAsia="华文中宋" w:hAnsi="华文中宋" w:cs="宋体"/>
          <w:b/>
          <w:kern w:val="0"/>
          <w:sz w:val="52"/>
          <w:szCs w:val="52"/>
        </w:rPr>
      </w:pPr>
    </w:p>
    <w:p w:rsidR="002333BB" w:rsidRDefault="002333BB">
      <w:pPr>
        <w:spacing w:line="540" w:lineRule="exact"/>
        <w:jc w:val="center"/>
        <w:rPr>
          <w:rFonts w:ascii="华文中宋" w:eastAsia="华文中宋" w:hAnsi="华文中宋" w:cs="宋体"/>
          <w:b/>
          <w:kern w:val="0"/>
          <w:sz w:val="52"/>
          <w:szCs w:val="52"/>
        </w:rPr>
      </w:pPr>
    </w:p>
    <w:p w:rsidR="002333BB" w:rsidRDefault="002333BB">
      <w:pPr>
        <w:spacing w:line="540" w:lineRule="exact"/>
        <w:jc w:val="center"/>
        <w:rPr>
          <w:rFonts w:ascii="华文中宋" w:eastAsia="华文中宋" w:hAnsi="华文中宋" w:cs="宋体"/>
          <w:b/>
          <w:kern w:val="0"/>
          <w:sz w:val="52"/>
          <w:szCs w:val="52"/>
        </w:rPr>
      </w:pPr>
    </w:p>
    <w:p w:rsidR="002333BB" w:rsidRDefault="00E0500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2333BB" w:rsidRDefault="002333BB">
      <w:pPr>
        <w:spacing w:line="540" w:lineRule="exact"/>
        <w:jc w:val="center"/>
        <w:rPr>
          <w:rFonts w:ascii="华文中宋" w:eastAsia="华文中宋" w:hAnsi="华文中宋" w:cs="宋体"/>
          <w:b/>
          <w:kern w:val="0"/>
          <w:sz w:val="52"/>
          <w:szCs w:val="52"/>
        </w:rPr>
      </w:pPr>
    </w:p>
    <w:p w:rsidR="002333BB" w:rsidRDefault="00E0500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2333BB" w:rsidRDefault="002333BB">
      <w:pPr>
        <w:spacing w:line="540" w:lineRule="exact"/>
        <w:jc w:val="center"/>
        <w:rPr>
          <w:rFonts w:eastAsia="仿宋_GB2312" w:hAnsi="宋体" w:cs="宋体"/>
          <w:kern w:val="0"/>
          <w:sz w:val="30"/>
          <w:szCs w:val="30"/>
        </w:rPr>
      </w:pPr>
    </w:p>
    <w:p w:rsidR="002333BB" w:rsidRDefault="002333BB">
      <w:pPr>
        <w:spacing w:line="540" w:lineRule="exact"/>
        <w:jc w:val="center"/>
        <w:rPr>
          <w:rFonts w:eastAsia="仿宋_GB2312" w:hAnsi="宋体" w:cs="宋体"/>
          <w:kern w:val="0"/>
          <w:sz w:val="30"/>
          <w:szCs w:val="30"/>
        </w:rPr>
      </w:pPr>
    </w:p>
    <w:p w:rsidR="002333BB" w:rsidRDefault="00E05007">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2333BB" w:rsidRDefault="002333BB">
      <w:pPr>
        <w:spacing w:line="540" w:lineRule="exact"/>
        <w:jc w:val="center"/>
        <w:rPr>
          <w:rFonts w:eastAsia="仿宋_GB2312" w:hAnsi="宋体" w:cs="宋体"/>
          <w:kern w:val="0"/>
          <w:sz w:val="30"/>
          <w:szCs w:val="30"/>
        </w:rPr>
      </w:pPr>
    </w:p>
    <w:p w:rsidR="002333BB" w:rsidRDefault="002333BB">
      <w:pPr>
        <w:spacing w:line="540" w:lineRule="exact"/>
        <w:jc w:val="center"/>
        <w:rPr>
          <w:rFonts w:eastAsia="仿宋_GB2312" w:hAnsi="宋体" w:cs="宋体"/>
          <w:kern w:val="0"/>
          <w:sz w:val="30"/>
          <w:szCs w:val="30"/>
        </w:rPr>
      </w:pPr>
    </w:p>
    <w:p w:rsidR="002333BB" w:rsidRDefault="002333BB">
      <w:pPr>
        <w:spacing w:line="540" w:lineRule="exact"/>
        <w:jc w:val="center"/>
        <w:rPr>
          <w:rFonts w:eastAsia="仿宋_GB2312" w:hAnsi="宋体" w:cs="宋体"/>
          <w:kern w:val="0"/>
          <w:sz w:val="30"/>
          <w:szCs w:val="30"/>
        </w:rPr>
      </w:pPr>
    </w:p>
    <w:p w:rsidR="002333BB" w:rsidRDefault="002333BB">
      <w:pPr>
        <w:spacing w:line="540" w:lineRule="exact"/>
        <w:rPr>
          <w:rFonts w:eastAsia="仿宋_GB2312" w:hAnsi="宋体" w:cs="宋体"/>
          <w:kern w:val="0"/>
          <w:sz w:val="30"/>
          <w:szCs w:val="30"/>
        </w:rPr>
      </w:pPr>
    </w:p>
    <w:p w:rsidR="002333BB" w:rsidRDefault="00E0500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2333BB" w:rsidRDefault="00E0500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巴财农</w:t>
      </w:r>
      <w:r>
        <w:rPr>
          <w:rStyle w:val="ad"/>
          <w:rFonts w:ascii="楷体" w:eastAsia="楷体" w:hAnsi="楷体" w:hint="eastAsia"/>
          <w:spacing w:val="-4"/>
          <w:sz w:val="32"/>
          <w:szCs w:val="32"/>
        </w:rPr>
        <w:t>[2023]55</w:t>
      </w:r>
      <w:r>
        <w:rPr>
          <w:rStyle w:val="ad"/>
          <w:rFonts w:ascii="楷体" w:eastAsia="楷体" w:hAnsi="楷体" w:hint="eastAsia"/>
          <w:spacing w:val="-4"/>
          <w:sz w:val="32"/>
          <w:szCs w:val="32"/>
        </w:rPr>
        <w:t>号关于提前下达</w:t>
      </w:r>
      <w:r>
        <w:rPr>
          <w:rStyle w:val="ad"/>
          <w:rFonts w:ascii="楷体" w:eastAsia="楷体" w:hAnsi="楷体" w:hint="eastAsia"/>
          <w:spacing w:val="-4"/>
          <w:sz w:val="32"/>
          <w:szCs w:val="32"/>
        </w:rPr>
        <w:t>2024</w:t>
      </w:r>
      <w:r>
        <w:rPr>
          <w:rStyle w:val="ad"/>
          <w:rFonts w:ascii="楷体" w:eastAsia="楷体" w:hAnsi="楷体" w:hint="eastAsia"/>
          <w:spacing w:val="-4"/>
          <w:sz w:val="32"/>
          <w:szCs w:val="32"/>
        </w:rPr>
        <w:t>年中央农业产业发展资金预算的通知（农机</w:t>
      </w:r>
      <w:r>
        <w:rPr>
          <w:rStyle w:val="ad"/>
          <w:rFonts w:ascii="楷体" w:eastAsia="楷体" w:hAnsi="楷体" w:hint="eastAsia"/>
          <w:spacing w:val="-4"/>
          <w:sz w:val="32"/>
          <w:szCs w:val="32"/>
        </w:rPr>
        <w:t>2024</w:t>
      </w:r>
      <w:r>
        <w:rPr>
          <w:rStyle w:val="ad"/>
          <w:rFonts w:ascii="楷体" w:eastAsia="楷体" w:hAnsi="楷体" w:hint="eastAsia"/>
          <w:spacing w:val="-4"/>
          <w:sz w:val="32"/>
          <w:szCs w:val="32"/>
        </w:rPr>
        <w:t>，产业强镇</w:t>
      </w:r>
      <w:r>
        <w:rPr>
          <w:rStyle w:val="ad"/>
          <w:rFonts w:ascii="楷体" w:eastAsia="楷体" w:hAnsi="楷体" w:hint="eastAsia"/>
          <w:spacing w:val="-4"/>
          <w:sz w:val="32"/>
          <w:szCs w:val="32"/>
        </w:rPr>
        <w:t>700</w:t>
      </w:r>
      <w:r>
        <w:rPr>
          <w:rStyle w:val="ad"/>
          <w:rFonts w:ascii="楷体" w:eastAsia="楷体" w:hAnsi="楷体" w:hint="eastAsia"/>
          <w:spacing w:val="-4"/>
          <w:sz w:val="32"/>
          <w:szCs w:val="32"/>
        </w:rPr>
        <w:t>万，畜牧粮改饲</w:t>
      </w:r>
      <w:r>
        <w:rPr>
          <w:rStyle w:val="ad"/>
          <w:rFonts w:ascii="楷体" w:eastAsia="楷体" w:hAnsi="楷体" w:hint="eastAsia"/>
          <w:spacing w:val="-4"/>
          <w:sz w:val="32"/>
          <w:szCs w:val="32"/>
        </w:rPr>
        <w:t>48.45</w:t>
      </w:r>
      <w:r>
        <w:rPr>
          <w:rStyle w:val="ad"/>
          <w:rFonts w:ascii="楷体" w:eastAsia="楷体" w:hAnsi="楷体" w:hint="eastAsia"/>
          <w:spacing w:val="-4"/>
          <w:sz w:val="32"/>
          <w:szCs w:val="32"/>
        </w:rPr>
        <w:t>万）、巴财农</w:t>
      </w:r>
      <w:r>
        <w:rPr>
          <w:rStyle w:val="ad"/>
          <w:rFonts w:ascii="楷体" w:eastAsia="楷体" w:hAnsi="楷体" w:hint="eastAsia"/>
          <w:spacing w:val="-4"/>
          <w:sz w:val="32"/>
          <w:szCs w:val="32"/>
        </w:rPr>
        <w:t>[2023]39</w:t>
      </w:r>
      <w:r>
        <w:rPr>
          <w:rStyle w:val="ad"/>
          <w:rFonts w:ascii="楷体" w:eastAsia="楷体" w:hAnsi="楷体" w:hint="eastAsia"/>
          <w:spacing w:val="-4"/>
          <w:sz w:val="32"/>
          <w:szCs w:val="32"/>
        </w:rPr>
        <w:t>号关于下达</w:t>
      </w:r>
      <w:r>
        <w:rPr>
          <w:rStyle w:val="ad"/>
          <w:rFonts w:ascii="楷体" w:eastAsia="楷体" w:hAnsi="楷体" w:hint="eastAsia"/>
          <w:spacing w:val="-4"/>
          <w:sz w:val="32"/>
          <w:szCs w:val="32"/>
        </w:rPr>
        <w:t>2023</w:t>
      </w:r>
      <w:r>
        <w:rPr>
          <w:rStyle w:val="ad"/>
          <w:rFonts w:ascii="楷体" w:eastAsia="楷体" w:hAnsi="楷体" w:hint="eastAsia"/>
          <w:spacing w:val="-4"/>
          <w:sz w:val="32"/>
          <w:szCs w:val="32"/>
        </w:rPr>
        <w:t>年自治区农机购置补贴资金预算的通知</w:t>
      </w:r>
      <w:r>
        <w:rPr>
          <w:rStyle w:val="ad"/>
          <w:rFonts w:ascii="楷体" w:eastAsia="楷体" w:hAnsi="楷体" w:hint="eastAsia"/>
          <w:spacing w:val="-4"/>
          <w:sz w:val="32"/>
          <w:szCs w:val="32"/>
        </w:rPr>
        <w:t>165</w:t>
      </w:r>
      <w:r>
        <w:rPr>
          <w:rStyle w:val="ad"/>
          <w:rFonts w:ascii="楷体" w:eastAsia="楷体" w:hAnsi="楷体" w:hint="eastAsia"/>
          <w:spacing w:val="-4"/>
          <w:sz w:val="32"/>
          <w:szCs w:val="32"/>
        </w:rPr>
        <w:t>万元</w:t>
      </w:r>
    </w:p>
    <w:p w:rsidR="002333BB" w:rsidRDefault="00E0500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库尔勒市农业农村局</w:t>
      </w:r>
    </w:p>
    <w:p w:rsidR="002333BB" w:rsidRDefault="00E0500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库尔勒市农业农村局</w:t>
      </w:r>
    </w:p>
    <w:p w:rsidR="002333BB" w:rsidRDefault="00E0500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lastRenderedPageBreak/>
        <w:t>项目负责人（签章）：</w:t>
      </w:r>
      <w:r>
        <w:rPr>
          <w:rStyle w:val="ad"/>
          <w:rFonts w:ascii="楷体" w:eastAsia="楷体" w:hAnsi="楷体" w:hint="eastAsia"/>
          <w:spacing w:val="-4"/>
          <w:sz w:val="32"/>
          <w:szCs w:val="32"/>
        </w:rPr>
        <w:t>任胜富</w:t>
      </w:r>
    </w:p>
    <w:p w:rsidR="002333BB" w:rsidRDefault="00E05007">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05</w:t>
      </w:r>
      <w:r>
        <w:rPr>
          <w:rStyle w:val="ad"/>
          <w:rFonts w:ascii="楷体" w:eastAsia="楷体" w:hAnsi="楷体" w:hint="eastAsia"/>
          <w:spacing w:val="-4"/>
          <w:sz w:val="32"/>
          <w:szCs w:val="32"/>
        </w:rPr>
        <w:t>月</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日</w:t>
      </w:r>
    </w:p>
    <w:p w:rsidR="002333BB" w:rsidRDefault="002333BB">
      <w:pPr>
        <w:spacing w:line="700" w:lineRule="exact"/>
        <w:ind w:firstLineChars="236" w:firstLine="708"/>
        <w:jc w:val="left"/>
        <w:rPr>
          <w:rFonts w:eastAsia="仿宋_GB2312" w:hAnsi="宋体" w:cs="宋体"/>
          <w:kern w:val="0"/>
          <w:sz w:val="30"/>
          <w:szCs w:val="30"/>
        </w:rPr>
      </w:pPr>
    </w:p>
    <w:p w:rsidR="002333BB" w:rsidRDefault="002333BB">
      <w:pPr>
        <w:spacing w:line="540" w:lineRule="exact"/>
        <w:rPr>
          <w:rStyle w:val="ad"/>
          <w:rFonts w:ascii="黑体" w:eastAsia="黑体" w:hAnsi="黑体"/>
          <w:b w:val="0"/>
          <w:spacing w:val="-4"/>
          <w:sz w:val="32"/>
          <w:szCs w:val="32"/>
        </w:rPr>
      </w:pPr>
    </w:p>
    <w:p w:rsidR="002333BB" w:rsidRDefault="00E0500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rsidR="002333BB" w:rsidRDefault="00E0500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rsidR="002333BB" w:rsidRDefault="00E0500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项目背景</w:t>
      </w:r>
      <w:r>
        <w:rPr>
          <w:rStyle w:val="ad"/>
          <w:rFonts w:ascii="楷体" w:eastAsia="楷体" w:hAnsi="楷体" w:hint="eastAsia"/>
          <w:spacing w:val="-4"/>
          <w:sz w:val="32"/>
          <w:szCs w:val="32"/>
        </w:rPr>
        <w:br/>
      </w:r>
      <w:r>
        <w:rPr>
          <w:rStyle w:val="ad"/>
          <w:rFonts w:ascii="楷体" w:eastAsia="楷体" w:hAnsi="楷体" w:hint="eastAsia"/>
          <w:spacing w:val="-4"/>
          <w:sz w:val="32"/>
          <w:szCs w:val="32"/>
        </w:rPr>
        <w:t>根据《新疆维吾尔自治区</w:t>
      </w:r>
      <w:r>
        <w:rPr>
          <w:rStyle w:val="ad"/>
          <w:rFonts w:ascii="楷体" w:eastAsia="楷体" w:hAnsi="楷体" w:hint="eastAsia"/>
          <w:spacing w:val="-4"/>
          <w:sz w:val="32"/>
          <w:szCs w:val="32"/>
        </w:rPr>
        <w:t>2021-2023</w:t>
      </w:r>
      <w:r>
        <w:rPr>
          <w:rStyle w:val="ad"/>
          <w:rFonts w:ascii="楷体" w:eastAsia="楷体" w:hAnsi="楷体" w:hint="eastAsia"/>
          <w:spacing w:val="-4"/>
          <w:sz w:val="32"/>
          <w:szCs w:val="32"/>
        </w:rPr>
        <w:t>年农业机械购置补贴实施方案》（新农机〔</w:t>
      </w:r>
      <w:r>
        <w:rPr>
          <w:rStyle w:val="ad"/>
          <w:rFonts w:ascii="楷体" w:eastAsia="楷体" w:hAnsi="楷体" w:hint="eastAsia"/>
          <w:spacing w:val="-4"/>
          <w:sz w:val="32"/>
          <w:szCs w:val="32"/>
        </w:rPr>
        <w:t>2021</w:t>
      </w:r>
      <w:r>
        <w:rPr>
          <w:rStyle w:val="ad"/>
          <w:rFonts w:ascii="楷体" w:eastAsia="楷体" w:hAnsi="楷体" w:hint="eastAsia"/>
          <w:spacing w:val="-4"/>
          <w:sz w:val="32"/>
          <w:szCs w:val="32"/>
        </w:rPr>
        <w:t>〕</w:t>
      </w:r>
      <w:r>
        <w:rPr>
          <w:rStyle w:val="ad"/>
          <w:rFonts w:ascii="楷体" w:eastAsia="楷体" w:hAnsi="楷体" w:hint="eastAsia"/>
          <w:spacing w:val="-4"/>
          <w:sz w:val="32"/>
          <w:szCs w:val="32"/>
        </w:rPr>
        <w:t>94</w:t>
      </w:r>
      <w:r>
        <w:rPr>
          <w:rStyle w:val="ad"/>
          <w:rFonts w:ascii="楷体" w:eastAsia="楷体" w:hAnsi="楷体" w:hint="eastAsia"/>
          <w:spacing w:val="-4"/>
          <w:sz w:val="32"/>
          <w:szCs w:val="32"/>
        </w:rPr>
        <w:t>号）、《关于印发</w:t>
      </w:r>
      <w:r>
        <w:rPr>
          <w:rStyle w:val="ad"/>
          <w:rFonts w:ascii="楷体" w:eastAsia="楷体" w:hAnsi="楷体" w:hint="eastAsia"/>
          <w:spacing w:val="-4"/>
          <w:sz w:val="32"/>
          <w:szCs w:val="32"/>
        </w:rPr>
        <w:t>2024</w:t>
      </w:r>
      <w:r>
        <w:rPr>
          <w:rStyle w:val="ad"/>
          <w:rFonts w:ascii="楷体" w:eastAsia="楷体" w:hAnsi="楷体" w:hint="eastAsia"/>
          <w:spacing w:val="-4"/>
          <w:sz w:val="32"/>
          <w:szCs w:val="32"/>
        </w:rPr>
        <w:t>年农业产业强镇续建项目实施方案的通知》（新农办产函〔</w:t>
      </w:r>
      <w:r>
        <w:rPr>
          <w:rStyle w:val="ad"/>
          <w:rFonts w:ascii="楷体" w:eastAsia="楷体" w:hAnsi="楷体" w:hint="eastAsia"/>
          <w:spacing w:val="-4"/>
          <w:sz w:val="32"/>
          <w:szCs w:val="32"/>
        </w:rPr>
        <w:t>2024</w:t>
      </w:r>
      <w:r>
        <w:rPr>
          <w:rStyle w:val="ad"/>
          <w:rFonts w:ascii="楷体" w:eastAsia="楷体" w:hAnsi="楷体" w:hint="eastAsia"/>
          <w:spacing w:val="-4"/>
          <w:sz w:val="32"/>
          <w:szCs w:val="32"/>
        </w:rPr>
        <w:t>〕</w:t>
      </w:r>
      <w:r>
        <w:rPr>
          <w:rStyle w:val="ad"/>
          <w:rFonts w:ascii="楷体" w:eastAsia="楷体" w:hAnsi="楷体" w:hint="eastAsia"/>
          <w:spacing w:val="-4"/>
          <w:sz w:val="32"/>
          <w:szCs w:val="32"/>
        </w:rPr>
        <w:t>579</w:t>
      </w:r>
      <w:r>
        <w:rPr>
          <w:rStyle w:val="ad"/>
          <w:rFonts w:ascii="楷体" w:eastAsia="楷体" w:hAnsi="楷体" w:hint="eastAsia"/>
          <w:spacing w:val="-4"/>
          <w:sz w:val="32"/>
          <w:szCs w:val="32"/>
        </w:rPr>
        <w:t>号）《巴州</w:t>
      </w:r>
      <w:r>
        <w:rPr>
          <w:rStyle w:val="ad"/>
          <w:rFonts w:ascii="楷体" w:eastAsia="楷体" w:hAnsi="楷体" w:hint="eastAsia"/>
          <w:spacing w:val="-4"/>
          <w:sz w:val="32"/>
          <w:szCs w:val="32"/>
        </w:rPr>
        <w:t>2024</w:t>
      </w:r>
      <w:r>
        <w:rPr>
          <w:rStyle w:val="ad"/>
          <w:rFonts w:ascii="楷体" w:eastAsia="楷体" w:hAnsi="楷体" w:hint="eastAsia"/>
          <w:spacing w:val="-4"/>
          <w:sz w:val="32"/>
          <w:szCs w:val="32"/>
        </w:rPr>
        <w:t>年粮改饲项目实施方案》文件要求，充分发挥政策效益，旨在通过科学规划与资源投入，推动库尔勒市农业机械化向全程全面高质高效转型升级，推动种植业结构调整，推动牛羊养殖业高质量发展，促进农业产业化发展，实现农业产业强镇带动农民就业</w:t>
      </w:r>
      <w:r>
        <w:rPr>
          <w:rStyle w:val="ad"/>
          <w:rFonts w:ascii="楷体" w:eastAsia="楷体" w:hAnsi="楷体" w:hint="eastAsia"/>
          <w:spacing w:val="-4"/>
          <w:sz w:val="32"/>
          <w:szCs w:val="32"/>
        </w:rPr>
        <w:t>，助力全面推进乡村振兴和加快农业农村现代化。</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项目主要内容：</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项目主要内容：计划补贴各类农机具</w:t>
      </w:r>
      <w:r>
        <w:rPr>
          <w:rStyle w:val="ad"/>
          <w:rFonts w:ascii="楷体" w:eastAsia="楷体" w:hAnsi="楷体" w:hint="eastAsia"/>
          <w:spacing w:val="-4"/>
          <w:sz w:val="32"/>
          <w:szCs w:val="32"/>
        </w:rPr>
        <w:t>833</w:t>
      </w:r>
      <w:r>
        <w:rPr>
          <w:rStyle w:val="ad"/>
          <w:rFonts w:ascii="楷体" w:eastAsia="楷体" w:hAnsi="楷体" w:hint="eastAsia"/>
          <w:spacing w:val="-4"/>
          <w:sz w:val="32"/>
          <w:szCs w:val="32"/>
        </w:rPr>
        <w:t>台，补贴补短板重点机械</w:t>
      </w:r>
      <w:r>
        <w:rPr>
          <w:rStyle w:val="ad"/>
          <w:rFonts w:ascii="楷体" w:eastAsia="楷体" w:hAnsi="楷体" w:hint="eastAsia"/>
          <w:spacing w:val="-4"/>
          <w:sz w:val="32"/>
          <w:szCs w:val="32"/>
        </w:rPr>
        <w:t>88</w:t>
      </w:r>
      <w:r>
        <w:rPr>
          <w:rStyle w:val="ad"/>
          <w:rFonts w:ascii="楷体" w:eastAsia="楷体" w:hAnsi="楷体" w:hint="eastAsia"/>
          <w:spacing w:val="-4"/>
          <w:sz w:val="32"/>
          <w:szCs w:val="32"/>
        </w:rPr>
        <w:t>台，配套脱绒主机</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台（</w:t>
      </w:r>
      <w:r>
        <w:rPr>
          <w:rStyle w:val="ad"/>
          <w:rFonts w:ascii="楷体" w:eastAsia="楷体" w:hAnsi="楷体" w:hint="eastAsia"/>
          <w:spacing w:val="-4"/>
          <w:sz w:val="32"/>
          <w:szCs w:val="32"/>
        </w:rPr>
        <w:t>110</w:t>
      </w:r>
      <w:r>
        <w:rPr>
          <w:rStyle w:val="ad"/>
          <w:rFonts w:ascii="楷体" w:eastAsia="楷体" w:hAnsi="楷体" w:hint="eastAsia"/>
          <w:spacing w:val="-4"/>
          <w:sz w:val="32"/>
          <w:szCs w:val="32"/>
        </w:rPr>
        <w:t>万</w:t>
      </w:r>
      <w:r>
        <w:rPr>
          <w:rStyle w:val="ad"/>
          <w:rFonts w:ascii="楷体" w:eastAsia="楷体" w:hAnsi="楷体" w:hint="eastAsia"/>
          <w:spacing w:val="-4"/>
          <w:sz w:val="32"/>
          <w:szCs w:val="32"/>
        </w:rPr>
        <w:t>/</w:t>
      </w:r>
      <w:r>
        <w:rPr>
          <w:rStyle w:val="ad"/>
          <w:rFonts w:ascii="楷体" w:eastAsia="楷体" w:hAnsi="楷体" w:hint="eastAsia"/>
          <w:spacing w:val="-4"/>
          <w:sz w:val="32"/>
          <w:szCs w:val="32"/>
        </w:rPr>
        <w:t>台）、脱绒辅机系统</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套（</w:t>
      </w:r>
      <w:r>
        <w:rPr>
          <w:rStyle w:val="ad"/>
          <w:rFonts w:ascii="楷体" w:eastAsia="楷体" w:hAnsi="楷体" w:hint="eastAsia"/>
          <w:spacing w:val="-4"/>
          <w:sz w:val="32"/>
          <w:szCs w:val="32"/>
        </w:rPr>
        <w:t>70</w:t>
      </w:r>
      <w:r>
        <w:rPr>
          <w:rStyle w:val="ad"/>
          <w:rFonts w:ascii="楷体" w:eastAsia="楷体" w:hAnsi="楷体" w:hint="eastAsia"/>
          <w:spacing w:val="-4"/>
          <w:sz w:val="32"/>
          <w:szCs w:val="32"/>
        </w:rPr>
        <w:t>万</w:t>
      </w:r>
      <w:r>
        <w:rPr>
          <w:rStyle w:val="ad"/>
          <w:rFonts w:ascii="楷体" w:eastAsia="楷体" w:hAnsi="楷体" w:hint="eastAsia"/>
          <w:spacing w:val="-4"/>
          <w:sz w:val="32"/>
          <w:szCs w:val="32"/>
        </w:rPr>
        <w:t>/</w:t>
      </w:r>
      <w:r>
        <w:rPr>
          <w:rStyle w:val="ad"/>
          <w:rFonts w:ascii="楷体" w:eastAsia="楷体" w:hAnsi="楷体" w:hint="eastAsia"/>
          <w:spacing w:val="-4"/>
          <w:sz w:val="32"/>
          <w:szCs w:val="32"/>
        </w:rPr>
        <w:t>套），完成粮改饲项目结构调整面积</w:t>
      </w:r>
      <w:r>
        <w:rPr>
          <w:rStyle w:val="ad"/>
          <w:rFonts w:ascii="楷体" w:eastAsia="楷体" w:hAnsi="楷体" w:hint="eastAsia"/>
          <w:spacing w:val="-4"/>
          <w:sz w:val="32"/>
          <w:szCs w:val="32"/>
        </w:rPr>
        <w:t>0.3</w:t>
      </w:r>
      <w:r>
        <w:rPr>
          <w:rStyle w:val="ad"/>
          <w:rFonts w:ascii="楷体" w:eastAsia="楷体" w:hAnsi="楷体" w:hint="eastAsia"/>
          <w:spacing w:val="-4"/>
          <w:sz w:val="32"/>
          <w:szCs w:val="32"/>
        </w:rPr>
        <w:t>万亩。主要用于用于农民或者农业生产组织申请农机购置与应用补贴、农业产业强镇建设和粮改饲项目的兑付，支持引导广大农民和农业生产经营组织购置使用先进适用的农业机械，带动农民就业人数，推动种植业结构调整，推动牛羊养殖业高质量发展。</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项目实施情况：根据自治区农机购置与应用补贴政策文件精神</w:t>
      </w:r>
      <w:r>
        <w:rPr>
          <w:rStyle w:val="ad"/>
          <w:rFonts w:ascii="楷体" w:eastAsia="楷体" w:hAnsi="楷体" w:hint="eastAsia"/>
          <w:spacing w:val="-4"/>
          <w:sz w:val="32"/>
          <w:szCs w:val="32"/>
        </w:rPr>
        <w:t>，</w:t>
      </w:r>
      <w:r>
        <w:rPr>
          <w:rStyle w:val="ad"/>
          <w:rFonts w:ascii="楷体" w:eastAsia="楷体" w:hAnsi="楷体" w:hint="eastAsia"/>
          <w:spacing w:val="-4"/>
          <w:sz w:val="32"/>
          <w:szCs w:val="32"/>
        </w:rPr>
        <w:lastRenderedPageBreak/>
        <w:t>加大政策宣传力度，优化补贴流程，加强教育培训，</w:t>
      </w:r>
      <w:r>
        <w:rPr>
          <w:rStyle w:val="ad"/>
          <w:rFonts w:ascii="楷体" w:eastAsia="楷体" w:hAnsi="楷体" w:hint="eastAsia"/>
          <w:spacing w:val="-4"/>
          <w:sz w:val="32"/>
          <w:szCs w:val="32"/>
        </w:rPr>
        <w:t>2024</w:t>
      </w:r>
      <w:r>
        <w:rPr>
          <w:rStyle w:val="ad"/>
          <w:rFonts w:ascii="楷体" w:eastAsia="楷体" w:hAnsi="楷体" w:hint="eastAsia"/>
          <w:spacing w:val="-4"/>
          <w:sz w:val="32"/>
          <w:szCs w:val="32"/>
        </w:rPr>
        <w:t>年度内共补贴各类农机具</w:t>
      </w:r>
      <w:r>
        <w:rPr>
          <w:rStyle w:val="ad"/>
          <w:rFonts w:ascii="楷体" w:eastAsia="楷体" w:hAnsi="楷体" w:hint="eastAsia"/>
          <w:spacing w:val="-4"/>
          <w:sz w:val="32"/>
          <w:szCs w:val="32"/>
        </w:rPr>
        <w:t>1270</w:t>
      </w:r>
      <w:r>
        <w:rPr>
          <w:rStyle w:val="ad"/>
          <w:rFonts w:ascii="楷体" w:eastAsia="楷体" w:hAnsi="楷体" w:hint="eastAsia"/>
          <w:spacing w:val="-4"/>
          <w:sz w:val="32"/>
          <w:szCs w:val="32"/>
        </w:rPr>
        <w:t>台，续建农业产业强镇数量</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个，粮改饲结构调整面积</w:t>
      </w:r>
      <w:r>
        <w:rPr>
          <w:rStyle w:val="ad"/>
          <w:rFonts w:ascii="楷体" w:eastAsia="楷体" w:hAnsi="楷体" w:hint="eastAsia"/>
          <w:spacing w:val="-4"/>
          <w:sz w:val="32"/>
          <w:szCs w:val="32"/>
        </w:rPr>
        <w:t>0.3</w:t>
      </w:r>
      <w:r>
        <w:rPr>
          <w:rStyle w:val="ad"/>
          <w:rFonts w:ascii="楷体" w:eastAsia="楷体" w:hAnsi="楷体" w:hint="eastAsia"/>
          <w:spacing w:val="-4"/>
          <w:sz w:val="32"/>
          <w:szCs w:val="32"/>
        </w:rPr>
        <w:t>万亩，切实保障补贴政策的顺利实施，受益户数达到</w:t>
      </w:r>
      <w:r>
        <w:rPr>
          <w:rStyle w:val="ad"/>
          <w:rFonts w:ascii="楷体" w:eastAsia="楷体" w:hAnsi="楷体" w:hint="eastAsia"/>
          <w:spacing w:val="-4"/>
          <w:sz w:val="32"/>
          <w:szCs w:val="32"/>
        </w:rPr>
        <w:t>798</w:t>
      </w:r>
      <w:r>
        <w:rPr>
          <w:rStyle w:val="ad"/>
          <w:rFonts w:ascii="楷体" w:eastAsia="楷体" w:hAnsi="楷体" w:hint="eastAsia"/>
          <w:spacing w:val="-4"/>
          <w:sz w:val="32"/>
          <w:szCs w:val="32"/>
        </w:rPr>
        <w:t>户，产业强镇带动从业人民</w:t>
      </w:r>
      <w:r>
        <w:rPr>
          <w:rStyle w:val="ad"/>
          <w:rFonts w:ascii="楷体" w:eastAsia="楷体" w:hAnsi="楷体" w:hint="eastAsia"/>
          <w:spacing w:val="-4"/>
          <w:sz w:val="32"/>
          <w:szCs w:val="32"/>
        </w:rPr>
        <w:t>500</w:t>
      </w:r>
      <w:r>
        <w:rPr>
          <w:rStyle w:val="ad"/>
          <w:rFonts w:ascii="楷体" w:eastAsia="楷体" w:hAnsi="楷体" w:hint="eastAsia"/>
          <w:spacing w:val="-4"/>
          <w:sz w:val="32"/>
          <w:szCs w:val="32"/>
        </w:rPr>
        <w:t>人次，促进农机装备优化，最大限度发挥了政策效应</w:t>
      </w:r>
      <w:r>
        <w:rPr>
          <w:rStyle w:val="ad"/>
          <w:rFonts w:ascii="楷体" w:eastAsia="楷体" w:hAnsi="楷体" w:hint="eastAsia"/>
          <w:spacing w:val="-4"/>
          <w:sz w:val="32"/>
          <w:szCs w:val="32"/>
        </w:rPr>
        <w:t>,</w:t>
      </w:r>
      <w:r>
        <w:rPr>
          <w:rStyle w:val="ad"/>
          <w:rFonts w:ascii="楷体" w:eastAsia="楷体" w:hAnsi="楷体" w:hint="eastAsia"/>
          <w:spacing w:val="-4"/>
          <w:sz w:val="32"/>
          <w:szCs w:val="32"/>
        </w:rPr>
        <w:t>促进了农业机械装备结构的转型，推动了农业现代化发展，有效促进了农牧民的就业率。</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资金投入和使用情况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）资金投入情况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该项目年初预算数</w:t>
      </w:r>
      <w:r>
        <w:rPr>
          <w:rStyle w:val="ad"/>
          <w:rFonts w:ascii="楷体" w:eastAsia="楷体" w:hAnsi="楷体" w:hint="eastAsia"/>
          <w:spacing w:val="-4"/>
          <w:sz w:val="32"/>
          <w:szCs w:val="32"/>
        </w:rPr>
        <w:t>2772.55</w:t>
      </w:r>
      <w:r>
        <w:rPr>
          <w:rStyle w:val="ad"/>
          <w:rFonts w:ascii="楷体" w:eastAsia="楷体" w:hAnsi="楷体" w:hint="eastAsia"/>
          <w:spacing w:val="-4"/>
          <w:sz w:val="32"/>
          <w:szCs w:val="32"/>
        </w:rPr>
        <w:t>万元，全年预算数</w:t>
      </w:r>
      <w:r>
        <w:rPr>
          <w:rStyle w:val="ad"/>
          <w:rFonts w:ascii="楷体" w:eastAsia="楷体" w:hAnsi="楷体" w:hint="eastAsia"/>
          <w:spacing w:val="-4"/>
          <w:sz w:val="32"/>
          <w:szCs w:val="32"/>
        </w:rPr>
        <w:t>2772.55</w:t>
      </w:r>
      <w:r>
        <w:rPr>
          <w:rStyle w:val="ad"/>
          <w:rFonts w:ascii="楷体" w:eastAsia="楷体" w:hAnsi="楷体" w:hint="eastAsia"/>
          <w:spacing w:val="-4"/>
          <w:sz w:val="32"/>
          <w:szCs w:val="32"/>
        </w:rPr>
        <w:t>万元，该项目资金已全部落实到位，资金来源为财政拨款。</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）资金使用情况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该项目年初预算数</w:t>
      </w:r>
      <w:r>
        <w:rPr>
          <w:rStyle w:val="ad"/>
          <w:rFonts w:ascii="楷体" w:eastAsia="楷体" w:hAnsi="楷体" w:hint="eastAsia"/>
          <w:spacing w:val="-4"/>
          <w:sz w:val="32"/>
          <w:szCs w:val="32"/>
        </w:rPr>
        <w:t>2772.55</w:t>
      </w:r>
      <w:r>
        <w:rPr>
          <w:rStyle w:val="ad"/>
          <w:rFonts w:ascii="楷体" w:eastAsia="楷体" w:hAnsi="楷体" w:hint="eastAsia"/>
          <w:spacing w:val="-4"/>
          <w:sz w:val="32"/>
          <w:szCs w:val="32"/>
        </w:rPr>
        <w:t>万元，全年预算数</w:t>
      </w:r>
      <w:r>
        <w:rPr>
          <w:rStyle w:val="ad"/>
          <w:rFonts w:ascii="楷体" w:eastAsia="楷体" w:hAnsi="楷体" w:hint="eastAsia"/>
          <w:spacing w:val="-4"/>
          <w:sz w:val="32"/>
          <w:szCs w:val="32"/>
        </w:rPr>
        <w:t>2772.55</w:t>
      </w:r>
      <w:r>
        <w:rPr>
          <w:rStyle w:val="ad"/>
          <w:rFonts w:ascii="楷体" w:eastAsia="楷体" w:hAnsi="楷体" w:hint="eastAsia"/>
          <w:spacing w:val="-4"/>
          <w:sz w:val="32"/>
          <w:szCs w:val="32"/>
        </w:rPr>
        <w:t>万元，全年执行数</w:t>
      </w:r>
      <w:r>
        <w:rPr>
          <w:rStyle w:val="ad"/>
          <w:rFonts w:ascii="楷体" w:eastAsia="楷体" w:hAnsi="楷体" w:hint="eastAsia"/>
          <w:spacing w:val="-4"/>
          <w:sz w:val="32"/>
          <w:szCs w:val="32"/>
        </w:rPr>
        <w:t>2702.55</w:t>
      </w:r>
      <w:r>
        <w:rPr>
          <w:rStyle w:val="ad"/>
          <w:rFonts w:ascii="楷体" w:eastAsia="楷体" w:hAnsi="楷体" w:hint="eastAsia"/>
          <w:spacing w:val="-4"/>
          <w:sz w:val="32"/>
          <w:szCs w:val="32"/>
        </w:rPr>
        <w:t>万元，预算执行率为</w:t>
      </w:r>
      <w:r>
        <w:rPr>
          <w:rStyle w:val="ad"/>
          <w:rFonts w:ascii="楷体" w:eastAsia="楷体" w:hAnsi="楷体" w:hint="eastAsia"/>
          <w:spacing w:val="-4"/>
          <w:sz w:val="32"/>
          <w:szCs w:val="32"/>
        </w:rPr>
        <w:t>97.48%</w:t>
      </w:r>
      <w:r>
        <w:rPr>
          <w:rStyle w:val="ad"/>
          <w:rFonts w:ascii="楷体" w:eastAsia="楷体" w:hAnsi="楷体" w:hint="eastAsia"/>
          <w:spacing w:val="-4"/>
          <w:sz w:val="32"/>
          <w:szCs w:val="32"/>
        </w:rPr>
        <w:t>。主要用于以下方面：支付农民或者农业生产组织申请的农机购置补贴共计</w:t>
      </w:r>
      <w:r>
        <w:rPr>
          <w:rStyle w:val="ad"/>
          <w:rFonts w:ascii="楷体" w:eastAsia="楷体" w:hAnsi="楷体" w:hint="eastAsia"/>
          <w:spacing w:val="-4"/>
          <w:sz w:val="32"/>
          <w:szCs w:val="32"/>
        </w:rPr>
        <w:t>2012.50</w:t>
      </w:r>
      <w:r>
        <w:rPr>
          <w:rStyle w:val="ad"/>
          <w:rFonts w:ascii="楷体" w:eastAsia="楷体" w:hAnsi="楷体" w:hint="eastAsia"/>
          <w:spacing w:val="-4"/>
          <w:sz w:val="32"/>
          <w:szCs w:val="32"/>
        </w:rPr>
        <w:t>万元，以保障申请人的利益，促进农牧民购买先进适用的农机具；支付农民或者农业生产组织申请的农机报废更新补贴共计</w:t>
      </w:r>
      <w:r>
        <w:rPr>
          <w:rStyle w:val="ad"/>
          <w:rFonts w:ascii="楷体" w:eastAsia="楷体" w:hAnsi="楷体" w:hint="eastAsia"/>
          <w:spacing w:val="-4"/>
          <w:sz w:val="32"/>
          <w:szCs w:val="32"/>
        </w:rPr>
        <w:t>11.6</w:t>
      </w:r>
      <w:r>
        <w:rPr>
          <w:rStyle w:val="ad"/>
          <w:rFonts w:ascii="楷体" w:eastAsia="楷体" w:hAnsi="楷体" w:hint="eastAsia"/>
          <w:spacing w:val="-4"/>
          <w:sz w:val="32"/>
          <w:szCs w:val="32"/>
        </w:rPr>
        <w:t>万元，旨在促进申请人报废老旧机械，减少安全隐患；</w:t>
      </w:r>
      <w:r>
        <w:rPr>
          <w:rStyle w:val="ad"/>
          <w:rFonts w:ascii="楷体" w:eastAsia="楷体" w:hAnsi="楷体" w:hint="eastAsia"/>
          <w:spacing w:val="-4"/>
          <w:sz w:val="32"/>
          <w:szCs w:val="32"/>
        </w:rPr>
        <w:t>2024</w:t>
      </w:r>
      <w:r>
        <w:rPr>
          <w:rStyle w:val="ad"/>
          <w:rFonts w:ascii="楷体" w:eastAsia="楷体" w:hAnsi="楷体" w:hint="eastAsia"/>
          <w:spacing w:val="-4"/>
          <w:sz w:val="32"/>
          <w:szCs w:val="32"/>
        </w:rPr>
        <w:t>年粮改饲项目支付资金</w:t>
      </w:r>
      <w:r>
        <w:rPr>
          <w:rStyle w:val="ad"/>
          <w:rFonts w:ascii="楷体" w:eastAsia="楷体" w:hAnsi="楷体" w:hint="eastAsia"/>
          <w:spacing w:val="-4"/>
          <w:sz w:val="32"/>
          <w:szCs w:val="32"/>
        </w:rPr>
        <w:t>48.45</w:t>
      </w:r>
      <w:r>
        <w:rPr>
          <w:rStyle w:val="ad"/>
          <w:rFonts w:ascii="楷体" w:eastAsia="楷体" w:hAnsi="楷体" w:hint="eastAsia"/>
          <w:spacing w:val="-4"/>
          <w:sz w:val="32"/>
          <w:szCs w:val="32"/>
        </w:rPr>
        <w:t>万元，库尔勒市粮改饲项目补贴收储面积</w:t>
      </w:r>
      <w:r>
        <w:rPr>
          <w:rStyle w:val="ad"/>
          <w:rFonts w:ascii="楷体" w:eastAsia="楷体" w:hAnsi="楷体" w:hint="eastAsia"/>
          <w:spacing w:val="-4"/>
          <w:sz w:val="32"/>
          <w:szCs w:val="32"/>
        </w:rPr>
        <w:t>0.3</w:t>
      </w:r>
      <w:r>
        <w:rPr>
          <w:rStyle w:val="ad"/>
          <w:rFonts w:ascii="楷体" w:eastAsia="楷体" w:hAnsi="楷体" w:hint="eastAsia"/>
          <w:spacing w:val="-4"/>
          <w:sz w:val="32"/>
          <w:szCs w:val="32"/>
        </w:rPr>
        <w:t>万亩，补助标准</w:t>
      </w:r>
      <w:r>
        <w:rPr>
          <w:rStyle w:val="ad"/>
          <w:rFonts w:ascii="楷体" w:eastAsia="楷体" w:hAnsi="楷体" w:hint="eastAsia"/>
          <w:spacing w:val="-4"/>
          <w:sz w:val="32"/>
          <w:szCs w:val="32"/>
        </w:rPr>
        <w:t>40.374</w:t>
      </w:r>
      <w:r>
        <w:rPr>
          <w:rStyle w:val="ad"/>
          <w:rFonts w:ascii="楷体" w:eastAsia="楷体" w:hAnsi="楷体" w:hint="eastAsia"/>
          <w:spacing w:val="-4"/>
          <w:sz w:val="32"/>
          <w:szCs w:val="32"/>
        </w:rPr>
        <w:t>元</w:t>
      </w:r>
      <w:r>
        <w:rPr>
          <w:rStyle w:val="ad"/>
          <w:rFonts w:ascii="楷体" w:eastAsia="楷体" w:hAnsi="楷体" w:hint="eastAsia"/>
          <w:spacing w:val="-4"/>
          <w:sz w:val="32"/>
          <w:szCs w:val="32"/>
        </w:rPr>
        <w:t>/</w:t>
      </w:r>
      <w:r>
        <w:rPr>
          <w:rStyle w:val="ad"/>
          <w:rFonts w:ascii="楷体" w:eastAsia="楷体" w:hAnsi="楷体" w:hint="eastAsia"/>
          <w:spacing w:val="-4"/>
          <w:sz w:val="32"/>
          <w:szCs w:val="32"/>
        </w:rPr>
        <w:t>吨，旨在促进购买优质饲</w:t>
      </w:r>
      <w:r>
        <w:rPr>
          <w:rStyle w:val="ad"/>
          <w:rFonts w:ascii="楷体" w:eastAsia="楷体" w:hAnsi="楷体" w:hint="eastAsia"/>
          <w:spacing w:val="-4"/>
          <w:sz w:val="32"/>
          <w:szCs w:val="32"/>
        </w:rPr>
        <w:t>草料、提高养殖业发展、减少养殖成本；支付巴州阿瓦提农场农业产业强镇续建项目奖补资金共计</w:t>
      </w:r>
      <w:r>
        <w:rPr>
          <w:rStyle w:val="ad"/>
          <w:rFonts w:ascii="楷体" w:eastAsia="楷体" w:hAnsi="楷体" w:hint="eastAsia"/>
          <w:spacing w:val="-4"/>
          <w:sz w:val="32"/>
          <w:szCs w:val="32"/>
        </w:rPr>
        <w:t>630</w:t>
      </w:r>
      <w:r>
        <w:rPr>
          <w:rStyle w:val="ad"/>
          <w:rFonts w:ascii="楷体" w:eastAsia="楷体" w:hAnsi="楷体" w:hint="eastAsia"/>
          <w:spacing w:val="-4"/>
          <w:sz w:val="32"/>
          <w:szCs w:val="32"/>
        </w:rPr>
        <w:t>万元，推进棉种科研创新力提升、棉种加工能力提升。</w:t>
      </w:r>
    </w:p>
    <w:p w:rsidR="002333BB" w:rsidRDefault="00E0500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rsidR="002333BB" w:rsidRDefault="00E0500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总体目标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目标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）补贴各类机具</w:t>
      </w:r>
      <w:r>
        <w:rPr>
          <w:rStyle w:val="ad"/>
          <w:rFonts w:ascii="楷体" w:eastAsia="楷体" w:hAnsi="楷体" w:hint="eastAsia"/>
          <w:spacing w:val="-4"/>
          <w:sz w:val="32"/>
          <w:szCs w:val="32"/>
        </w:rPr>
        <w:t>833</w:t>
      </w:r>
      <w:r>
        <w:rPr>
          <w:rStyle w:val="ad"/>
          <w:rFonts w:ascii="楷体" w:eastAsia="楷体" w:hAnsi="楷体" w:hint="eastAsia"/>
          <w:spacing w:val="-4"/>
          <w:sz w:val="32"/>
          <w:szCs w:val="32"/>
        </w:rPr>
        <w:t>台，补贴补短板重点机械</w:t>
      </w:r>
      <w:r>
        <w:rPr>
          <w:rStyle w:val="ad"/>
          <w:rFonts w:ascii="楷体" w:eastAsia="楷体" w:hAnsi="楷体" w:hint="eastAsia"/>
          <w:spacing w:val="-4"/>
          <w:sz w:val="32"/>
          <w:szCs w:val="32"/>
        </w:rPr>
        <w:t>88</w:t>
      </w:r>
      <w:r>
        <w:rPr>
          <w:rStyle w:val="ad"/>
          <w:rFonts w:ascii="楷体" w:eastAsia="楷体" w:hAnsi="楷体" w:hint="eastAsia"/>
          <w:spacing w:val="-4"/>
          <w:sz w:val="32"/>
          <w:szCs w:val="32"/>
        </w:rPr>
        <w:t>台（套）。确保农机补贴政策顺利实施，充分调动和保护农民购买使用农机的积极性，促进农机装备优化、农机化作业能力和水平提升，推进农业发展方式转变，切实保障主要农产品有效供给，最大限度发挥农机购置补贴政策效应；（</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）科研大楼配套设施设备，配套脱绒主机</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台（</w:t>
      </w:r>
      <w:r>
        <w:rPr>
          <w:rStyle w:val="ad"/>
          <w:rFonts w:ascii="楷体" w:eastAsia="楷体" w:hAnsi="楷体" w:hint="eastAsia"/>
          <w:spacing w:val="-4"/>
          <w:sz w:val="32"/>
          <w:szCs w:val="32"/>
        </w:rPr>
        <w:t>110</w:t>
      </w:r>
      <w:r>
        <w:rPr>
          <w:rStyle w:val="ad"/>
          <w:rFonts w:ascii="楷体" w:eastAsia="楷体" w:hAnsi="楷体" w:hint="eastAsia"/>
          <w:spacing w:val="-4"/>
          <w:sz w:val="32"/>
          <w:szCs w:val="32"/>
        </w:rPr>
        <w:t>万</w:t>
      </w:r>
      <w:r>
        <w:rPr>
          <w:rStyle w:val="ad"/>
          <w:rFonts w:ascii="楷体" w:eastAsia="楷体" w:hAnsi="楷体" w:hint="eastAsia"/>
          <w:spacing w:val="-4"/>
          <w:sz w:val="32"/>
          <w:szCs w:val="32"/>
        </w:rPr>
        <w:t>/</w:t>
      </w:r>
      <w:r>
        <w:rPr>
          <w:rStyle w:val="ad"/>
          <w:rFonts w:ascii="楷体" w:eastAsia="楷体" w:hAnsi="楷体" w:hint="eastAsia"/>
          <w:spacing w:val="-4"/>
          <w:sz w:val="32"/>
          <w:szCs w:val="32"/>
        </w:rPr>
        <w:t>台）、脱绒辅机系统</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套（</w:t>
      </w:r>
      <w:r>
        <w:rPr>
          <w:rStyle w:val="ad"/>
          <w:rFonts w:ascii="楷体" w:eastAsia="楷体" w:hAnsi="楷体" w:hint="eastAsia"/>
          <w:spacing w:val="-4"/>
          <w:sz w:val="32"/>
          <w:szCs w:val="32"/>
        </w:rPr>
        <w:t>70</w:t>
      </w:r>
      <w:r>
        <w:rPr>
          <w:rStyle w:val="ad"/>
          <w:rFonts w:ascii="楷体" w:eastAsia="楷体" w:hAnsi="楷体" w:hint="eastAsia"/>
          <w:spacing w:val="-4"/>
          <w:sz w:val="32"/>
          <w:szCs w:val="32"/>
        </w:rPr>
        <w:t>万</w:t>
      </w:r>
      <w:r>
        <w:rPr>
          <w:rStyle w:val="ad"/>
          <w:rFonts w:ascii="楷体" w:eastAsia="楷体" w:hAnsi="楷体" w:hint="eastAsia"/>
          <w:spacing w:val="-4"/>
          <w:sz w:val="32"/>
          <w:szCs w:val="32"/>
        </w:rPr>
        <w:t>/</w:t>
      </w:r>
      <w:r>
        <w:rPr>
          <w:rStyle w:val="ad"/>
          <w:rFonts w:ascii="楷体" w:eastAsia="楷体" w:hAnsi="楷体" w:hint="eastAsia"/>
          <w:spacing w:val="-4"/>
          <w:sz w:val="32"/>
          <w:szCs w:val="32"/>
        </w:rPr>
        <w:t>套）；（</w:t>
      </w:r>
      <w:r>
        <w:rPr>
          <w:rStyle w:val="ad"/>
          <w:rFonts w:ascii="楷体" w:eastAsia="楷体" w:hAnsi="楷体" w:hint="eastAsia"/>
          <w:spacing w:val="-4"/>
          <w:sz w:val="32"/>
          <w:szCs w:val="32"/>
        </w:rPr>
        <w:t>3</w:t>
      </w:r>
      <w:r>
        <w:rPr>
          <w:rStyle w:val="ad"/>
          <w:rFonts w:ascii="楷体" w:eastAsia="楷体" w:hAnsi="楷体" w:hint="eastAsia"/>
          <w:spacing w:val="-4"/>
          <w:sz w:val="32"/>
          <w:szCs w:val="32"/>
        </w:rPr>
        <w:t>）完成粮改饲项目结构调整面积</w:t>
      </w:r>
      <w:r>
        <w:rPr>
          <w:rStyle w:val="ad"/>
          <w:rFonts w:ascii="楷体" w:eastAsia="楷体" w:hAnsi="楷体" w:hint="eastAsia"/>
          <w:spacing w:val="-4"/>
          <w:sz w:val="32"/>
          <w:szCs w:val="32"/>
        </w:rPr>
        <w:t>0.3</w:t>
      </w:r>
      <w:r>
        <w:rPr>
          <w:rStyle w:val="ad"/>
          <w:rFonts w:ascii="楷体" w:eastAsia="楷体" w:hAnsi="楷体" w:hint="eastAsia"/>
          <w:spacing w:val="-4"/>
          <w:sz w:val="32"/>
          <w:szCs w:val="32"/>
        </w:rPr>
        <w:t>万亩。</w:t>
      </w:r>
      <w:r>
        <w:rPr>
          <w:rStyle w:val="ad"/>
          <w:rFonts w:ascii="楷体" w:eastAsia="楷体" w:hAnsi="楷体" w:hint="eastAsia"/>
          <w:spacing w:val="-4"/>
          <w:sz w:val="32"/>
          <w:szCs w:val="32"/>
        </w:rPr>
        <w:br/>
      </w:r>
      <w:r>
        <w:rPr>
          <w:rStyle w:val="ad"/>
          <w:rFonts w:ascii="楷体" w:eastAsia="楷体" w:hAnsi="楷体" w:hint="eastAsia"/>
          <w:spacing w:val="-4"/>
          <w:sz w:val="32"/>
          <w:szCs w:val="32"/>
        </w:rPr>
        <w:t>目标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：确保农机补贴政策顺利实施，充分调动和保护农民购买使用农机的积极性，切实保障主要农产品有效供给，最大限度发挥农机购置补贴政策效应。</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阶段性目标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一季度计划制定库尔勒市农机购置补贴政策，加大农机购置补贴政策、粮改饲政策的宣传力度，开展一期培训班，引导广大农牧民对政策的知晓度，完善巴州阿瓦提农场农业产业强镇续建项目实施方案，同步开展设备采购计划。</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第二季度计划开展对农机购置补贴申请的筛选与审核，对申请补贴的</w:t>
      </w:r>
      <w:r>
        <w:rPr>
          <w:rStyle w:val="ad"/>
          <w:rFonts w:ascii="楷体" w:eastAsia="楷体" w:hAnsi="楷体" w:hint="eastAsia"/>
          <w:spacing w:val="-4"/>
          <w:sz w:val="32"/>
          <w:szCs w:val="32"/>
        </w:rPr>
        <w:t>农机现场核验，录入补贴系统，各乡镇、村（社区）针对粮改饲项目全方位、多角度向辖区农民进行广泛宣传，督促承担产业强镇企业项目实施进度，确保项目如期完成。</w:t>
      </w:r>
      <w:r>
        <w:rPr>
          <w:rStyle w:val="ad"/>
          <w:rFonts w:ascii="楷体" w:eastAsia="楷体" w:hAnsi="楷体" w:hint="eastAsia"/>
          <w:spacing w:val="-4"/>
          <w:sz w:val="32"/>
          <w:szCs w:val="32"/>
        </w:rPr>
        <w:br/>
      </w:r>
      <w:r>
        <w:rPr>
          <w:rStyle w:val="ad"/>
          <w:rFonts w:ascii="楷体" w:eastAsia="楷体" w:hAnsi="楷体" w:hint="eastAsia"/>
          <w:spacing w:val="-4"/>
          <w:sz w:val="32"/>
          <w:szCs w:val="32"/>
        </w:rPr>
        <w:t>第三季度计划开展补贴机具核实和农机报废更新补贴工作，下乡入户对已享受补贴的农机具进行现场核实，对各乡镇上报的申请报废的农机逐一审核是否符合补贴条件，督促产业强镇项设备安装调试，组织项目验收；根据“以畜定需、以需定种”原则，摸清项目实施主体现有牲畜存栏量、出栏量、青贮窖容量等基础信息数据</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第四季度计划开展农机补贴公示及汇总工作，粮改饲项目取自愿申请原则，确定收</w:t>
      </w:r>
      <w:r>
        <w:rPr>
          <w:rStyle w:val="ad"/>
          <w:rFonts w:ascii="楷体" w:eastAsia="楷体" w:hAnsi="楷体" w:hint="eastAsia"/>
          <w:spacing w:val="-4"/>
          <w:sz w:val="32"/>
          <w:szCs w:val="32"/>
        </w:rPr>
        <w:t>贮对象，引导有意愿的经营主体向所在乡镇提交申报材料，主要包括：营业执照、动物防疫合格证、法定代表人身份证复印件、开户许可证，青贮饲料购销合同或流转土地自种相关证明、乡镇出具的实施主体现有牲畜存出栏等相关信息数据。</w:t>
      </w:r>
    </w:p>
    <w:p w:rsidR="002333BB" w:rsidRDefault="00E0500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rsidR="002333BB" w:rsidRDefault="00E0500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rsidR="002333BB" w:rsidRDefault="00E0500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绩效评价完整性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Style w:val="ad"/>
          <w:rFonts w:ascii="楷体" w:eastAsia="楷体" w:hAnsi="楷体" w:hint="eastAsia"/>
          <w:spacing w:val="-4"/>
          <w:sz w:val="32"/>
          <w:szCs w:val="32"/>
        </w:rPr>
        <w:br/>
      </w:r>
      <w:r>
        <w:rPr>
          <w:rStyle w:val="ad"/>
          <w:rFonts w:ascii="楷体" w:eastAsia="楷体" w:hAnsi="楷体" w:hint="eastAsia"/>
          <w:spacing w:val="-4"/>
          <w:sz w:val="32"/>
          <w:szCs w:val="32"/>
        </w:rPr>
        <w:t>在评价指标体系的构建上，充分考虑了项</w:t>
      </w:r>
      <w:r>
        <w:rPr>
          <w:rStyle w:val="ad"/>
          <w:rFonts w:ascii="楷体" w:eastAsia="楷体" w:hAnsi="楷体" w:hint="eastAsia"/>
          <w:spacing w:val="-4"/>
          <w:sz w:val="32"/>
          <w:szCs w:val="32"/>
        </w:rPr>
        <w:t>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在数据收集与分析环节，采用了多种科学合理的方法，如实地调研、问卷调查、数据分析等，广泛收集了与项目相关的各类数据，以确保评价结论的科学性和可靠性。此外，还对数据的质量和完整性进行了严格把控，对于偏差数据进行了合理的处理和说明，保证了评价数据的真实性和有效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在报告的撰写结构上，按照统一的格式和规范</w:t>
      </w:r>
      <w:r>
        <w:rPr>
          <w:rStyle w:val="ad"/>
          <w:rFonts w:ascii="楷体" w:eastAsia="楷体" w:hAnsi="楷体" w:hint="eastAsia"/>
          <w:spacing w:val="-4"/>
          <w:sz w:val="32"/>
          <w:szCs w:val="32"/>
        </w:rPr>
        <w:t>进行编排，内容层次分明、条理清晰。首先对项目的背景、目标和预算安排进行</w:t>
      </w:r>
      <w:r>
        <w:rPr>
          <w:rStyle w:val="ad"/>
          <w:rFonts w:ascii="楷体" w:eastAsia="楷体" w:hAnsi="楷体" w:hint="eastAsia"/>
          <w:spacing w:val="-4"/>
          <w:sz w:val="32"/>
          <w:szCs w:val="32"/>
        </w:rPr>
        <w:lastRenderedPageBreak/>
        <w:t>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本项目预算绩效评价报告在内容、方法和数据等方面均具备较高的完整性，</w:t>
      </w:r>
      <w:r>
        <w:rPr>
          <w:rStyle w:val="ad"/>
          <w:rFonts w:ascii="楷体" w:eastAsia="楷体" w:hAnsi="楷体" w:hint="eastAsia"/>
          <w:spacing w:val="-4"/>
          <w:sz w:val="32"/>
          <w:szCs w:val="32"/>
        </w:rPr>
        <w:t>能够真实、客观地反映项目的绩效情况，为项目管理决策提供了有价值的参考依据。在未来的工作中，我们将继续完善绩效评价体系，不断提升评价工作的质量和水平，以更好地服务于项目的管理和优化。</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绩效评价的目的</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）评估项目实施效果</w:t>
      </w:r>
      <w:r>
        <w:rPr>
          <w:rStyle w:val="ad"/>
          <w:rFonts w:ascii="楷体" w:eastAsia="楷体" w:hAnsi="楷体" w:hint="eastAsia"/>
          <w:spacing w:val="-4"/>
          <w:sz w:val="32"/>
          <w:szCs w:val="32"/>
        </w:rPr>
        <w:br/>
      </w:r>
      <w:r>
        <w:rPr>
          <w:rStyle w:val="ad"/>
          <w:rFonts w:ascii="楷体" w:eastAsia="楷体" w:hAnsi="楷体" w:hint="eastAsia"/>
          <w:spacing w:val="-4"/>
          <w:sz w:val="32"/>
          <w:szCs w:val="32"/>
        </w:rPr>
        <w:t>通过对项目预算执行情况及各项绩效目标达成程度的系统性分析，全面、客观地评估项目在预定周期内的实施效果，包括社会效益等多维度指标，为项目后续的改进与优化提供科学依据。</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）提升资源利用效率</w:t>
      </w:r>
      <w:r>
        <w:rPr>
          <w:rStyle w:val="ad"/>
          <w:rFonts w:ascii="楷体" w:eastAsia="楷体" w:hAnsi="楷体" w:hint="eastAsia"/>
          <w:spacing w:val="-4"/>
          <w:sz w:val="32"/>
          <w:szCs w:val="32"/>
        </w:rPr>
        <w:br/>
      </w:r>
      <w:r>
        <w:rPr>
          <w:rStyle w:val="ad"/>
          <w:rFonts w:ascii="楷体" w:eastAsia="楷体" w:hAnsi="楷体" w:hint="eastAsia"/>
          <w:spacing w:val="-4"/>
          <w:sz w:val="32"/>
          <w:szCs w:val="32"/>
        </w:rPr>
        <w:t>深入剖析项目预算资金的投入与产出关系，识别资金使用过程中的冗余环节与低效领域，挖掘潜在的资源优化</w:t>
      </w:r>
      <w:r>
        <w:rPr>
          <w:rStyle w:val="ad"/>
          <w:rFonts w:ascii="楷体" w:eastAsia="楷体" w:hAnsi="楷体" w:hint="eastAsia"/>
          <w:spacing w:val="-4"/>
          <w:sz w:val="32"/>
          <w:szCs w:val="32"/>
        </w:rPr>
        <w:t>配置空间，推动项目在有限的预算资源下实现更高的绩效产出，提升整体资源利用效率，确保财政资金的合理、高效运用。</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）强化项目管理责任</w:t>
      </w:r>
      <w:r>
        <w:rPr>
          <w:rStyle w:val="ad"/>
          <w:rFonts w:ascii="楷体" w:eastAsia="楷体" w:hAnsi="楷体" w:hint="eastAsia"/>
          <w:spacing w:val="-4"/>
          <w:sz w:val="32"/>
          <w:szCs w:val="32"/>
        </w:rPr>
        <w:br/>
      </w:r>
      <w:r>
        <w:rPr>
          <w:rStyle w:val="ad"/>
          <w:rFonts w:ascii="楷体" w:eastAsia="楷体" w:hAnsi="楷体" w:hint="eastAsia"/>
          <w:spacing w:val="-4"/>
          <w:sz w:val="32"/>
          <w:szCs w:val="32"/>
        </w:rPr>
        <w:t>明确项目各参与主体在预算绩效管理中的职责与任务，借助绩效评价结果对项目管理过程进行监督与问责，促使项目管理者</w:t>
      </w:r>
      <w:r>
        <w:rPr>
          <w:rStyle w:val="ad"/>
          <w:rFonts w:ascii="楷体" w:eastAsia="楷体" w:hAnsi="楷体" w:hint="eastAsia"/>
          <w:spacing w:val="-4"/>
          <w:sz w:val="32"/>
          <w:szCs w:val="32"/>
        </w:rPr>
        <w:lastRenderedPageBreak/>
        <w:t>增强责任意识，主动优化管理流程，完善内部控制机制，提高项目管理水平与执行力，保障项目按计划、高质量推进。</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4</w:t>
      </w:r>
      <w:r>
        <w:rPr>
          <w:rStyle w:val="ad"/>
          <w:rFonts w:ascii="楷体" w:eastAsia="楷体" w:hAnsi="楷体" w:hint="eastAsia"/>
          <w:spacing w:val="-4"/>
          <w:sz w:val="32"/>
          <w:szCs w:val="32"/>
        </w:rPr>
        <w:t>）为决策提供支持</w:t>
      </w:r>
      <w:r>
        <w:rPr>
          <w:rStyle w:val="ad"/>
          <w:rFonts w:ascii="楷体" w:eastAsia="楷体" w:hAnsi="楷体" w:hint="eastAsia"/>
          <w:spacing w:val="-4"/>
          <w:sz w:val="32"/>
          <w:szCs w:val="32"/>
        </w:rPr>
        <w:br/>
      </w:r>
      <w:r>
        <w:rPr>
          <w:rStyle w:val="ad"/>
          <w:rFonts w:ascii="楷体" w:eastAsia="楷体" w:hAnsi="楷体" w:hint="eastAsia"/>
          <w:spacing w:val="-4"/>
          <w:sz w:val="32"/>
          <w:szCs w:val="32"/>
        </w:rPr>
        <w:t>为项目主管部门、财政部门及相关决策层提供详实、准确的绩效评价信息，辅助其在项目审批、预算安排、政策调整等关键决策环节做出更加科学、合理的判断，</w:t>
      </w:r>
      <w:r>
        <w:rPr>
          <w:rStyle w:val="ad"/>
          <w:rFonts w:ascii="楷体" w:eastAsia="楷体" w:hAnsi="楷体" w:hint="eastAsia"/>
          <w:spacing w:val="-4"/>
          <w:sz w:val="32"/>
          <w:szCs w:val="32"/>
        </w:rPr>
        <w:t>促进项目资源的合理分配与有效整合，推动项目管理体系的不断完善与升级，提升公共资源配置的精准度与有效性。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5</w:t>
      </w:r>
      <w:r>
        <w:rPr>
          <w:rStyle w:val="ad"/>
          <w:rFonts w:ascii="楷体" w:eastAsia="楷体" w:hAnsi="楷体" w:hint="eastAsia"/>
          <w:spacing w:val="-4"/>
          <w:sz w:val="32"/>
          <w:szCs w:val="32"/>
        </w:rPr>
        <w:t>）促进项目持续改进</w:t>
      </w:r>
      <w:r>
        <w:rPr>
          <w:rStyle w:val="ad"/>
          <w:rFonts w:ascii="楷体" w:eastAsia="楷体" w:hAnsi="楷体" w:hint="eastAsia"/>
          <w:spacing w:val="-4"/>
          <w:sz w:val="32"/>
          <w:szCs w:val="32"/>
        </w:rPr>
        <w:br/>
      </w:r>
      <w:r>
        <w:rPr>
          <w:rStyle w:val="ad"/>
          <w:rFonts w:ascii="楷体" w:eastAsia="楷体" w:hAnsi="楷体" w:hint="eastAsia"/>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本项目预算绩效评价报告的编制以提升项目绩效为核心，旨在通过科学、严谨的评价工作，为项目管理与决策提供全方位、深层次的支持，推动项目在预算约束下实现高质量、可持续发展，</w:t>
      </w:r>
      <w:r>
        <w:rPr>
          <w:rStyle w:val="ad"/>
          <w:rFonts w:ascii="楷体" w:eastAsia="楷体" w:hAnsi="楷体" w:hint="eastAsia"/>
          <w:spacing w:val="-4"/>
          <w:sz w:val="32"/>
          <w:szCs w:val="32"/>
        </w:rPr>
        <w:t>充分发挥财政资金的经济效益与社会效益。</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绩效评价的对象</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本项目预算绩效评价报告的评价对象是巴财农〔</w:t>
      </w:r>
      <w:r>
        <w:rPr>
          <w:rStyle w:val="ad"/>
          <w:rFonts w:ascii="楷体" w:eastAsia="楷体" w:hAnsi="楷体" w:hint="eastAsia"/>
          <w:spacing w:val="-4"/>
          <w:sz w:val="32"/>
          <w:szCs w:val="32"/>
        </w:rPr>
        <w:t>2023</w:t>
      </w:r>
      <w:r>
        <w:rPr>
          <w:rStyle w:val="ad"/>
          <w:rFonts w:ascii="楷体" w:eastAsia="楷体" w:hAnsi="楷体" w:hint="eastAsia"/>
          <w:spacing w:val="-4"/>
          <w:sz w:val="32"/>
          <w:szCs w:val="32"/>
        </w:rPr>
        <w:t>〕</w:t>
      </w:r>
      <w:r>
        <w:rPr>
          <w:rStyle w:val="ad"/>
          <w:rFonts w:ascii="楷体" w:eastAsia="楷体" w:hAnsi="楷体" w:hint="eastAsia"/>
          <w:spacing w:val="-4"/>
          <w:sz w:val="32"/>
          <w:szCs w:val="32"/>
        </w:rPr>
        <w:t>55</w:t>
      </w:r>
      <w:r>
        <w:rPr>
          <w:rStyle w:val="ad"/>
          <w:rFonts w:ascii="楷体" w:eastAsia="楷体" w:hAnsi="楷体" w:hint="eastAsia"/>
          <w:spacing w:val="-4"/>
          <w:sz w:val="32"/>
          <w:szCs w:val="32"/>
        </w:rPr>
        <w:t>号关于提前下达</w:t>
      </w:r>
      <w:r>
        <w:rPr>
          <w:rStyle w:val="ad"/>
          <w:rFonts w:ascii="楷体" w:eastAsia="楷体" w:hAnsi="楷体" w:hint="eastAsia"/>
          <w:spacing w:val="-4"/>
          <w:sz w:val="32"/>
          <w:szCs w:val="32"/>
        </w:rPr>
        <w:t>2024</w:t>
      </w:r>
      <w:r>
        <w:rPr>
          <w:rStyle w:val="ad"/>
          <w:rFonts w:ascii="楷体" w:eastAsia="楷体" w:hAnsi="楷体" w:hint="eastAsia"/>
          <w:spacing w:val="-4"/>
          <w:sz w:val="32"/>
          <w:szCs w:val="32"/>
        </w:rPr>
        <w:t>年中央农业产业发展资金预算的通知（农机</w:t>
      </w:r>
      <w:r>
        <w:rPr>
          <w:rStyle w:val="ad"/>
          <w:rFonts w:ascii="楷体" w:eastAsia="楷体" w:hAnsi="楷体" w:hint="eastAsia"/>
          <w:spacing w:val="-4"/>
          <w:sz w:val="32"/>
          <w:szCs w:val="32"/>
        </w:rPr>
        <w:t>2024</w:t>
      </w:r>
      <w:r>
        <w:rPr>
          <w:rStyle w:val="ad"/>
          <w:rFonts w:ascii="楷体" w:eastAsia="楷体" w:hAnsi="楷体" w:hint="eastAsia"/>
          <w:spacing w:val="-4"/>
          <w:sz w:val="32"/>
          <w:szCs w:val="32"/>
        </w:rPr>
        <w:t>，产业强镇</w:t>
      </w:r>
      <w:r>
        <w:rPr>
          <w:rStyle w:val="ad"/>
          <w:rFonts w:ascii="楷体" w:eastAsia="楷体" w:hAnsi="楷体" w:hint="eastAsia"/>
          <w:spacing w:val="-4"/>
          <w:sz w:val="32"/>
          <w:szCs w:val="32"/>
        </w:rPr>
        <w:t>700</w:t>
      </w:r>
      <w:r>
        <w:rPr>
          <w:rStyle w:val="ad"/>
          <w:rFonts w:ascii="楷体" w:eastAsia="楷体" w:hAnsi="楷体" w:hint="eastAsia"/>
          <w:spacing w:val="-4"/>
          <w:sz w:val="32"/>
          <w:szCs w:val="32"/>
        </w:rPr>
        <w:t>万，畜牧粮改饲</w:t>
      </w:r>
      <w:r>
        <w:rPr>
          <w:rStyle w:val="ad"/>
          <w:rFonts w:ascii="楷体" w:eastAsia="楷体" w:hAnsi="楷体" w:hint="eastAsia"/>
          <w:spacing w:val="-4"/>
          <w:sz w:val="32"/>
          <w:szCs w:val="32"/>
        </w:rPr>
        <w:t>48.45</w:t>
      </w:r>
      <w:r>
        <w:rPr>
          <w:rStyle w:val="ad"/>
          <w:rFonts w:ascii="楷体" w:eastAsia="楷体" w:hAnsi="楷体" w:hint="eastAsia"/>
          <w:spacing w:val="-4"/>
          <w:sz w:val="32"/>
          <w:szCs w:val="32"/>
        </w:rPr>
        <w:t>万）、巴财农〔</w:t>
      </w:r>
      <w:r>
        <w:rPr>
          <w:rStyle w:val="ad"/>
          <w:rFonts w:ascii="楷体" w:eastAsia="楷体" w:hAnsi="楷体" w:hint="eastAsia"/>
          <w:spacing w:val="-4"/>
          <w:sz w:val="32"/>
          <w:szCs w:val="32"/>
        </w:rPr>
        <w:t>2023</w:t>
      </w:r>
      <w:r>
        <w:rPr>
          <w:rStyle w:val="ad"/>
          <w:rFonts w:ascii="楷体" w:eastAsia="楷体" w:hAnsi="楷体" w:hint="eastAsia"/>
          <w:spacing w:val="-4"/>
          <w:sz w:val="32"/>
          <w:szCs w:val="32"/>
        </w:rPr>
        <w:t>〕</w:t>
      </w:r>
      <w:r>
        <w:rPr>
          <w:rStyle w:val="ad"/>
          <w:rFonts w:ascii="楷体" w:eastAsia="楷体" w:hAnsi="楷体" w:hint="eastAsia"/>
          <w:spacing w:val="-4"/>
          <w:sz w:val="32"/>
          <w:szCs w:val="32"/>
        </w:rPr>
        <w:t>39</w:t>
      </w:r>
      <w:r>
        <w:rPr>
          <w:rStyle w:val="ad"/>
          <w:rFonts w:ascii="楷体" w:eastAsia="楷体" w:hAnsi="楷体" w:hint="eastAsia"/>
          <w:spacing w:val="-4"/>
          <w:sz w:val="32"/>
          <w:szCs w:val="32"/>
        </w:rPr>
        <w:t>号关于下达</w:t>
      </w:r>
      <w:r>
        <w:rPr>
          <w:rStyle w:val="ad"/>
          <w:rFonts w:ascii="楷体" w:eastAsia="楷体" w:hAnsi="楷体" w:hint="eastAsia"/>
          <w:spacing w:val="-4"/>
          <w:sz w:val="32"/>
          <w:szCs w:val="32"/>
        </w:rPr>
        <w:t>2023</w:t>
      </w:r>
      <w:r>
        <w:rPr>
          <w:rStyle w:val="ad"/>
          <w:rFonts w:ascii="楷体" w:eastAsia="楷体" w:hAnsi="楷体" w:hint="eastAsia"/>
          <w:spacing w:val="-4"/>
          <w:sz w:val="32"/>
          <w:szCs w:val="32"/>
        </w:rPr>
        <w:t>年自治区农机购置补贴资金预算的通知（</w:t>
      </w:r>
      <w:r>
        <w:rPr>
          <w:rStyle w:val="ad"/>
          <w:rFonts w:ascii="楷体" w:eastAsia="楷体" w:hAnsi="楷体" w:hint="eastAsia"/>
          <w:spacing w:val="-4"/>
          <w:sz w:val="32"/>
          <w:szCs w:val="32"/>
        </w:rPr>
        <w:t>165</w:t>
      </w:r>
      <w:r>
        <w:rPr>
          <w:rStyle w:val="ad"/>
          <w:rFonts w:ascii="楷体" w:eastAsia="楷体" w:hAnsi="楷体" w:hint="eastAsia"/>
          <w:spacing w:val="-4"/>
          <w:sz w:val="32"/>
          <w:szCs w:val="32"/>
        </w:rPr>
        <w:t>万元）及其预算执行情况。该项目由库尔勒市农业农村局负责实施，旨在确保农机补贴政策顺利实施，充分调动和保护农民购买使用农机的积极性，切实保障主要农产品有效供给，</w:t>
      </w:r>
      <w:r>
        <w:rPr>
          <w:rStyle w:val="ad"/>
          <w:rFonts w:ascii="楷体" w:eastAsia="楷体" w:hAnsi="楷体" w:hint="eastAsia"/>
          <w:spacing w:val="-4"/>
          <w:sz w:val="32"/>
          <w:szCs w:val="32"/>
        </w:rPr>
        <w:lastRenderedPageBreak/>
        <w:t>最大限度发挥农机购置补贴政策效应，通过产业</w:t>
      </w:r>
      <w:r>
        <w:rPr>
          <w:rStyle w:val="ad"/>
          <w:rFonts w:ascii="楷体" w:eastAsia="楷体" w:hAnsi="楷体" w:hint="eastAsia"/>
          <w:spacing w:val="-4"/>
          <w:sz w:val="32"/>
          <w:szCs w:val="32"/>
        </w:rPr>
        <w:t>强镇增设就业岗位，提升食用菌产业相关技术装备水平和经营效益水平，推动农业产业向科技化、标准化、规模化发展，促进农牧民的就业率，推动种植业结构调整，推动牛羊养殖业高质量发展。项目预算涵盖从</w:t>
      </w:r>
      <w:r>
        <w:rPr>
          <w:rStyle w:val="ad"/>
          <w:rFonts w:ascii="楷体" w:eastAsia="楷体" w:hAnsi="楷体" w:hint="eastAsia"/>
          <w:spacing w:val="-4"/>
          <w:sz w:val="32"/>
          <w:szCs w:val="32"/>
        </w:rPr>
        <w:t>2024</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月</w:t>
      </w:r>
      <w:r>
        <w:rPr>
          <w:rStyle w:val="ad"/>
          <w:rFonts w:ascii="楷体" w:eastAsia="楷体" w:hAnsi="楷体" w:hint="eastAsia"/>
          <w:spacing w:val="-4"/>
          <w:sz w:val="32"/>
          <w:szCs w:val="32"/>
        </w:rPr>
        <w:t>6</w:t>
      </w:r>
      <w:r>
        <w:rPr>
          <w:rStyle w:val="ad"/>
          <w:rFonts w:ascii="楷体" w:eastAsia="楷体" w:hAnsi="楷体" w:hint="eastAsia"/>
          <w:spacing w:val="-4"/>
          <w:sz w:val="32"/>
          <w:szCs w:val="32"/>
        </w:rPr>
        <w:t>日至</w:t>
      </w:r>
      <w:r>
        <w:rPr>
          <w:rStyle w:val="ad"/>
          <w:rFonts w:ascii="楷体" w:eastAsia="楷体" w:hAnsi="楷体" w:hint="eastAsia"/>
          <w:spacing w:val="-4"/>
          <w:sz w:val="32"/>
          <w:szCs w:val="32"/>
        </w:rPr>
        <w:t>2024</w:t>
      </w:r>
      <w:r>
        <w:rPr>
          <w:rStyle w:val="ad"/>
          <w:rFonts w:ascii="楷体" w:eastAsia="楷体" w:hAnsi="楷体" w:hint="eastAsia"/>
          <w:spacing w:val="-4"/>
          <w:sz w:val="32"/>
          <w:szCs w:val="32"/>
        </w:rPr>
        <w:t>年</w:t>
      </w:r>
      <w:r>
        <w:rPr>
          <w:rStyle w:val="ad"/>
          <w:rFonts w:ascii="楷体" w:eastAsia="楷体" w:hAnsi="楷体" w:hint="eastAsia"/>
          <w:spacing w:val="-4"/>
          <w:sz w:val="32"/>
          <w:szCs w:val="32"/>
        </w:rPr>
        <w:t>12</w:t>
      </w:r>
      <w:r>
        <w:rPr>
          <w:rStyle w:val="ad"/>
          <w:rFonts w:ascii="楷体" w:eastAsia="楷体" w:hAnsi="楷体" w:hint="eastAsia"/>
          <w:spacing w:val="-4"/>
          <w:sz w:val="32"/>
          <w:szCs w:val="32"/>
        </w:rPr>
        <w:t>月</w:t>
      </w:r>
      <w:r>
        <w:rPr>
          <w:rStyle w:val="ad"/>
          <w:rFonts w:ascii="楷体" w:eastAsia="楷体" w:hAnsi="楷体" w:hint="eastAsia"/>
          <w:spacing w:val="-4"/>
          <w:sz w:val="32"/>
          <w:szCs w:val="32"/>
        </w:rPr>
        <w:t>31</w:t>
      </w:r>
      <w:r>
        <w:rPr>
          <w:rStyle w:val="ad"/>
          <w:rFonts w:ascii="楷体" w:eastAsia="楷体" w:hAnsi="楷体" w:hint="eastAsia"/>
          <w:spacing w:val="-4"/>
          <w:sz w:val="32"/>
          <w:szCs w:val="32"/>
        </w:rPr>
        <w:t>日的全部资金投入与支出，涉及资金总额为</w:t>
      </w:r>
      <w:r>
        <w:rPr>
          <w:rStyle w:val="ad"/>
          <w:rFonts w:ascii="楷体" w:eastAsia="楷体" w:hAnsi="楷体" w:hint="eastAsia"/>
          <w:spacing w:val="-4"/>
          <w:sz w:val="32"/>
          <w:szCs w:val="32"/>
        </w:rPr>
        <w:t>2772.55</w:t>
      </w:r>
      <w:r>
        <w:rPr>
          <w:rStyle w:val="ad"/>
          <w:rFonts w:ascii="楷体" w:eastAsia="楷体" w:hAnsi="楷体" w:hint="eastAsia"/>
          <w:spacing w:val="-4"/>
          <w:sz w:val="32"/>
          <w:szCs w:val="32"/>
        </w:rPr>
        <w:t>万元。</w:t>
      </w:r>
      <w:r>
        <w:rPr>
          <w:rStyle w:val="ad"/>
          <w:rFonts w:ascii="楷体" w:eastAsia="楷体" w:hAnsi="楷体" w:hint="eastAsia"/>
          <w:spacing w:val="-4"/>
          <w:sz w:val="32"/>
          <w:szCs w:val="32"/>
        </w:rPr>
        <w:br/>
        <w:t>4.</w:t>
      </w:r>
      <w:r>
        <w:rPr>
          <w:rStyle w:val="ad"/>
          <w:rFonts w:ascii="楷体" w:eastAsia="楷体" w:hAnsi="楷体" w:hint="eastAsia"/>
          <w:spacing w:val="-4"/>
          <w:sz w:val="32"/>
          <w:szCs w:val="32"/>
        </w:rPr>
        <w:t>绩效评价的范围</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）项目预算编制与执行：全面审视项目预算的编制依据、合</w:t>
      </w:r>
      <w:r>
        <w:rPr>
          <w:rStyle w:val="ad"/>
          <w:rFonts w:ascii="楷体" w:eastAsia="楷体" w:hAnsi="楷体" w:hint="eastAsia"/>
          <w:spacing w:val="-4"/>
          <w:sz w:val="32"/>
          <w:szCs w:val="32"/>
        </w:rPr>
        <w:t>理性、科学性以及实际执行情况，包括预算调整的原因和效果。</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）资金管理：深入分析项目资金的分配、使用和监管情况，确保资金使用的合规性、高效性和透明度。</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）项目实施进度与产出：评估项目是否按照既定计划顺利推进，各项任务是否按时完成，以及项目产出的数量、质量和时效性是否符合预期。</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4</w:t>
      </w:r>
      <w:r>
        <w:rPr>
          <w:rStyle w:val="ad"/>
          <w:rFonts w:ascii="楷体" w:eastAsia="楷体" w:hAnsi="楷体" w:hint="eastAsia"/>
          <w:spacing w:val="-4"/>
          <w:sz w:val="32"/>
          <w:szCs w:val="32"/>
        </w:rPr>
        <w:t>）社会影响：考察项目对提升农作物耕种收综合机械化水平、农机购置与应用补贴直接受益户数、产业强镇带动从业强镇成本等方面的影响。</w:t>
      </w:r>
    </w:p>
    <w:p w:rsidR="002333BB" w:rsidRDefault="00E0500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rsidR="002333BB" w:rsidRDefault="00E0500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绩效评价原则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本次项目绩</w:t>
      </w:r>
      <w:r>
        <w:rPr>
          <w:rStyle w:val="ad"/>
          <w:rFonts w:ascii="楷体" w:eastAsia="楷体" w:hAnsi="楷体" w:hint="eastAsia"/>
          <w:spacing w:val="-4"/>
          <w:sz w:val="32"/>
          <w:szCs w:val="32"/>
        </w:rPr>
        <w:t>效评价遵循以下基本原则：</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）科学公正。绩效评价应当运用科学合理的方法，按照规范</w:t>
      </w:r>
      <w:r>
        <w:rPr>
          <w:rStyle w:val="ad"/>
          <w:rFonts w:ascii="楷体" w:eastAsia="楷体" w:hAnsi="楷体" w:hint="eastAsia"/>
          <w:spacing w:val="-4"/>
          <w:sz w:val="32"/>
          <w:szCs w:val="32"/>
        </w:rPr>
        <w:lastRenderedPageBreak/>
        <w:t>的程序，对项目绩效进行客观、公正的反映。</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）统筹兼顾。单位自评、部门评价和财政评价应职责明确，各有侧重，相互衔接。单位自评应由项目单位自主实施，即“谁支出、谁自评”。部门评价和财政评价应在单位自评的基础上开展。</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）激励约束。绩效评价结果应与预算安排、政策调整、改进管理实质性挂钩，体现奖优罚劣和激励相容导向，有效要安排、低效要压减、无效要问责。</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）公开透明。绩效评价结果应依法依规公开，并自觉接受社会监督。</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评价指</w:t>
      </w:r>
      <w:r>
        <w:rPr>
          <w:rStyle w:val="ad"/>
          <w:rFonts w:ascii="楷体" w:eastAsia="楷体" w:hAnsi="楷体" w:hint="eastAsia"/>
          <w:spacing w:val="-4"/>
          <w:sz w:val="32"/>
          <w:szCs w:val="32"/>
        </w:rPr>
        <w:t>标体系</w:t>
      </w:r>
      <w:r>
        <w:rPr>
          <w:rStyle w:val="ad"/>
          <w:rFonts w:ascii="楷体" w:eastAsia="楷体" w:hAnsi="楷体" w:hint="eastAsia"/>
          <w:spacing w:val="-4"/>
          <w:sz w:val="32"/>
          <w:szCs w:val="32"/>
        </w:rPr>
        <w:br/>
      </w:r>
      <w:r>
        <w:rPr>
          <w:rStyle w:val="ad"/>
          <w:rFonts w:ascii="楷体" w:eastAsia="楷体" w:hAnsi="楷体" w:hint="eastAsia"/>
          <w:spacing w:val="-4"/>
          <w:sz w:val="32"/>
          <w:szCs w:val="32"/>
        </w:rPr>
        <w:t>绩效评价框架是开展绩效评价的核心。绩效评价框架包括评价准则、关键评价问题、评价指标、数据来源、数据收集方法等。指标体系建立过程如下：</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）确定评价指标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）确定权重</w:t>
      </w:r>
      <w:r>
        <w:rPr>
          <w:rStyle w:val="ad"/>
          <w:rFonts w:ascii="楷体" w:eastAsia="楷体" w:hAnsi="楷体" w:hint="eastAsia"/>
          <w:spacing w:val="-4"/>
          <w:sz w:val="32"/>
          <w:szCs w:val="32"/>
        </w:rPr>
        <w:br/>
      </w:r>
      <w:r>
        <w:rPr>
          <w:rStyle w:val="ad"/>
          <w:rFonts w:ascii="楷体" w:eastAsia="楷体" w:hAnsi="楷体" w:hint="eastAsia"/>
          <w:spacing w:val="-4"/>
          <w:sz w:val="32"/>
          <w:szCs w:val="32"/>
        </w:rPr>
        <w:t>确定各个指标相对于项目总体绩效的权重分值。在绩效评价指标体系中，项目决策权重为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分，项目过程权重为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分，项目产出权重为</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分，项目效益权重为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）确</w:t>
      </w:r>
      <w:r>
        <w:rPr>
          <w:rStyle w:val="ad"/>
          <w:rFonts w:ascii="楷体" w:eastAsia="楷体" w:hAnsi="楷体" w:hint="eastAsia"/>
          <w:spacing w:val="-4"/>
          <w:sz w:val="32"/>
          <w:szCs w:val="32"/>
        </w:rPr>
        <w:t>定指标标准值</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指标标准值是绩效评价指标的尺度，既要反映同类项目的先进</w:t>
      </w:r>
      <w:r>
        <w:rPr>
          <w:rStyle w:val="ad"/>
          <w:rFonts w:ascii="楷体" w:eastAsia="楷体" w:hAnsi="楷体" w:hint="eastAsia"/>
          <w:spacing w:val="-4"/>
          <w:sz w:val="32"/>
          <w:szCs w:val="32"/>
        </w:rPr>
        <w:lastRenderedPageBreak/>
        <w:t>水平，又要符合项目的实际绩效水平。具体采用计划标准等确定此次绩效评价指标标准值。</w:t>
      </w:r>
      <w:r>
        <w:rPr>
          <w:rStyle w:val="ad"/>
          <w:rFonts w:ascii="楷体" w:eastAsia="楷体" w:hAnsi="楷体" w:hint="eastAsia"/>
          <w:spacing w:val="-4"/>
          <w:sz w:val="32"/>
          <w:szCs w:val="32"/>
        </w:rPr>
        <w:br/>
      </w:r>
      <w:r>
        <w:rPr>
          <w:rStyle w:val="ad"/>
          <w:rFonts w:ascii="楷体" w:eastAsia="楷体" w:hAnsi="楷体" w:hint="eastAsia"/>
          <w:spacing w:val="-4"/>
          <w:sz w:val="32"/>
          <w:szCs w:val="32"/>
        </w:rPr>
        <w:t>绩效评价总分值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分，根据综合评分结果，</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（含）</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分为优、</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（含）</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分为良、</w:t>
      </w:r>
      <w:r>
        <w:rPr>
          <w:rStyle w:val="ad"/>
          <w:rFonts w:ascii="楷体" w:eastAsia="楷体" w:hAnsi="楷体" w:hint="eastAsia"/>
          <w:spacing w:val="-4"/>
          <w:sz w:val="32"/>
          <w:szCs w:val="32"/>
        </w:rPr>
        <w:t>60</w:t>
      </w:r>
      <w:r>
        <w:rPr>
          <w:rStyle w:val="ad"/>
          <w:rFonts w:ascii="楷体" w:eastAsia="楷体" w:hAnsi="楷体" w:hint="eastAsia"/>
          <w:spacing w:val="-4"/>
          <w:sz w:val="32"/>
          <w:szCs w:val="32"/>
        </w:rPr>
        <w:t>（含）</w:t>
      </w:r>
      <w:r>
        <w:rPr>
          <w:rStyle w:val="ad"/>
          <w:rFonts w:ascii="楷体" w:eastAsia="楷体" w:hAnsi="楷体" w:hint="eastAsia"/>
          <w:spacing w:val="-4"/>
          <w:sz w:val="32"/>
          <w:szCs w:val="32"/>
        </w:rPr>
        <w:t>-80</w:t>
      </w:r>
      <w:r>
        <w:rPr>
          <w:rStyle w:val="ad"/>
          <w:rFonts w:ascii="楷体" w:eastAsia="楷体" w:hAnsi="楷体" w:hint="eastAsia"/>
          <w:spacing w:val="-4"/>
          <w:sz w:val="32"/>
          <w:szCs w:val="32"/>
        </w:rPr>
        <w:t>分为中、</w:t>
      </w:r>
      <w:r>
        <w:rPr>
          <w:rStyle w:val="ad"/>
          <w:rFonts w:ascii="楷体" w:eastAsia="楷体" w:hAnsi="楷体" w:hint="eastAsia"/>
          <w:spacing w:val="-4"/>
          <w:sz w:val="32"/>
          <w:szCs w:val="32"/>
        </w:rPr>
        <w:t>60</w:t>
      </w:r>
      <w:r>
        <w:rPr>
          <w:rStyle w:val="ad"/>
          <w:rFonts w:ascii="楷体" w:eastAsia="楷体" w:hAnsi="楷体" w:hint="eastAsia"/>
          <w:spacing w:val="-4"/>
          <w:sz w:val="32"/>
          <w:szCs w:val="32"/>
        </w:rPr>
        <w:t>分以下为差。</w:t>
      </w:r>
      <w:r>
        <w:rPr>
          <w:rStyle w:val="ad"/>
          <w:rFonts w:ascii="楷体" w:eastAsia="楷体" w:hAnsi="楷体" w:hint="eastAsia"/>
          <w:spacing w:val="-4"/>
          <w:sz w:val="32"/>
          <w:szCs w:val="32"/>
        </w:rPr>
        <w:br/>
      </w:r>
      <w:r>
        <w:rPr>
          <w:rStyle w:val="ad"/>
          <w:rFonts w:ascii="楷体" w:eastAsia="楷体" w:hAnsi="楷体" w:hint="eastAsia"/>
          <w:spacing w:val="-4"/>
          <w:sz w:val="32"/>
          <w:szCs w:val="32"/>
        </w:rPr>
        <w:t>具体评价指标体系详情见附件</w:t>
      </w:r>
      <w:r>
        <w:rPr>
          <w:rStyle w:val="ad"/>
          <w:rFonts w:ascii="楷体" w:eastAsia="楷体" w:hAnsi="楷体" w:hint="eastAsia"/>
          <w:spacing w:val="-4"/>
          <w:sz w:val="32"/>
          <w:szCs w:val="32"/>
        </w:rPr>
        <w:t>1</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绩效评价方法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绩效评价从项目决策、项目过程、项目产出、项目效益四个维度进行评价。评价对象为项目目标实施情况，评价核心为资金的支出完成情况和项目的产出效益。</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本次评价指标中，只有定量指标，定量指标</w:t>
      </w:r>
      <w:r>
        <w:rPr>
          <w:rStyle w:val="ad"/>
          <w:rFonts w:ascii="楷体" w:eastAsia="楷体" w:hAnsi="楷体" w:hint="eastAsia"/>
          <w:spacing w:val="-4"/>
          <w:sz w:val="32"/>
          <w:szCs w:val="32"/>
        </w:rPr>
        <w:t>因考核内容不同和客观标准不同存在较大差异，因此核定具体指标时采用了成本效益分析法和公众评判法，具体评价方法和原因如下：</w:t>
      </w:r>
      <w:r>
        <w:rPr>
          <w:rStyle w:val="ad"/>
          <w:rFonts w:ascii="楷体" w:eastAsia="楷体" w:hAnsi="楷体" w:hint="eastAsia"/>
          <w:spacing w:val="-4"/>
          <w:sz w:val="32"/>
          <w:szCs w:val="32"/>
        </w:rPr>
        <w:br/>
      </w:r>
      <w:r>
        <w:rPr>
          <w:rStyle w:val="ad"/>
          <w:rFonts w:ascii="楷体" w:eastAsia="楷体" w:hAnsi="楷体" w:hint="eastAsia"/>
          <w:spacing w:val="-4"/>
          <w:sz w:val="32"/>
          <w:szCs w:val="32"/>
        </w:rPr>
        <w:t>（一）成本效益分析法。该项目以资源投入与产出效益关系为主，在成本方面，除资金投入外，还需考量人力成本（如雇佣农牧民参与项目的人工费用等）、物资成本（科研配套设施设备采购、设备购置与维护费用）以及时间成本（项目建设周期对机会成本的影响）。此方法能够清晰直观地显示出补贴各类农机具数量、粮改饲结构调整面积等指标对提升农作物耕种收综合机械化水平、带动从业农民数量等效益是否有显著的促进作用，能够提供</w:t>
      </w:r>
      <w:r>
        <w:rPr>
          <w:rStyle w:val="ad"/>
          <w:rFonts w:ascii="楷体" w:eastAsia="楷体" w:hAnsi="楷体" w:hint="eastAsia"/>
          <w:spacing w:val="-4"/>
          <w:sz w:val="32"/>
          <w:szCs w:val="32"/>
        </w:rPr>
        <w:t>客观、直观且具有说服力的评估结果，为项目后续资源配置、优化调整提供数据支撑。</w:t>
      </w:r>
      <w:r>
        <w:rPr>
          <w:rStyle w:val="ad"/>
          <w:rFonts w:ascii="楷体" w:eastAsia="楷体" w:hAnsi="楷体" w:hint="eastAsia"/>
          <w:spacing w:val="-4"/>
          <w:sz w:val="32"/>
          <w:szCs w:val="32"/>
        </w:rPr>
        <w:br/>
      </w:r>
      <w:r>
        <w:rPr>
          <w:rStyle w:val="ad"/>
          <w:rFonts w:ascii="楷体" w:eastAsia="楷体" w:hAnsi="楷体" w:hint="eastAsia"/>
          <w:spacing w:val="-4"/>
          <w:sz w:val="32"/>
          <w:szCs w:val="32"/>
        </w:rPr>
        <w:t>（二）公众评判法。作为直接服务于农牧民群体的项目，其实施效果的核心衡量标准之一是农牧民的满意度和实际需求满足程度。由于农牧民是项目的直接参与者和受益者，他们对项目实</w:t>
      </w:r>
      <w:r>
        <w:rPr>
          <w:rStyle w:val="ad"/>
          <w:rFonts w:ascii="楷体" w:eastAsia="楷体" w:hAnsi="楷体" w:hint="eastAsia"/>
          <w:spacing w:val="-4"/>
          <w:sz w:val="32"/>
          <w:szCs w:val="32"/>
        </w:rPr>
        <w:lastRenderedPageBreak/>
        <w:t>施内容（如基础设施建设质量、政策扶持落实情况）、实施过程（服务态度、沟通反馈机制）以及实施成效（生活质量改善、收入提升感受）的评价具有不可替代的价值。通过设计科学合理的问卷调查，可全面覆盖不同年龄、文化程度、收入水平的农牧民群体，确保样本的代表性。通过这种立体化的公众评</w:t>
      </w:r>
      <w:r>
        <w:rPr>
          <w:rStyle w:val="ad"/>
          <w:rFonts w:ascii="楷体" w:eastAsia="楷体" w:hAnsi="楷体" w:hint="eastAsia"/>
          <w:spacing w:val="-4"/>
          <w:sz w:val="32"/>
          <w:szCs w:val="32"/>
        </w:rPr>
        <w:t>判方式，能够准确掌握项目在满足农牧民需求、提升生活福祉方面的实际效果，进而为项目优化、后续决策提供充分的民意依据。</w:t>
      </w:r>
      <w:r>
        <w:rPr>
          <w:rStyle w:val="ad"/>
          <w:rFonts w:ascii="楷体" w:eastAsia="楷体" w:hAnsi="楷体" w:hint="eastAsia"/>
          <w:spacing w:val="-4"/>
          <w:sz w:val="32"/>
          <w:szCs w:val="32"/>
        </w:rPr>
        <w:br/>
        <w:t>4.</w:t>
      </w:r>
      <w:r>
        <w:rPr>
          <w:rStyle w:val="ad"/>
          <w:rFonts w:ascii="楷体" w:eastAsia="楷体" w:hAnsi="楷体" w:hint="eastAsia"/>
          <w:spacing w:val="-4"/>
          <w:sz w:val="32"/>
          <w:szCs w:val="32"/>
        </w:rPr>
        <w:t>评价标准</w:t>
      </w:r>
      <w:r>
        <w:rPr>
          <w:rStyle w:val="ad"/>
          <w:rFonts w:ascii="楷体" w:eastAsia="楷体" w:hAnsi="楷体" w:hint="eastAsia"/>
          <w:spacing w:val="-4"/>
          <w:sz w:val="32"/>
          <w:szCs w:val="32"/>
        </w:rPr>
        <w:br/>
      </w:r>
      <w:r>
        <w:rPr>
          <w:rStyle w:val="ad"/>
          <w:rFonts w:ascii="楷体" w:eastAsia="楷体" w:hAnsi="楷体" w:hint="eastAsia"/>
          <w:spacing w:val="-4"/>
          <w:sz w:val="32"/>
          <w:szCs w:val="32"/>
        </w:rPr>
        <w:t>绩效评价标准通常包括计划标准、行业标准、历史标准等，用于对绩效指标完成情况进行比较、分析、评价。本次评价主要采用了计划标准、历史标准。原因是：为项目设定清晰目标、步骤和预期成果，与历年标准进行比对，明确工作方向和重点，确保所有工作围绕核心目标开展，同时也可对项目所需的人力、物力、财力等资源进行科学预估和合理分配，避免资源闲置或短缺，提高资源利用效率，保障项目在既定预算和资源条件下</w:t>
      </w:r>
      <w:r>
        <w:rPr>
          <w:rStyle w:val="ad"/>
          <w:rFonts w:ascii="楷体" w:eastAsia="楷体" w:hAnsi="楷体" w:hint="eastAsia"/>
          <w:spacing w:val="-4"/>
          <w:sz w:val="32"/>
          <w:szCs w:val="32"/>
        </w:rPr>
        <w:t>完成。</w:t>
      </w:r>
    </w:p>
    <w:p w:rsidR="002333BB" w:rsidRDefault="00E05007">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rsidR="002333BB" w:rsidRDefault="00E0500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）前期准备与规划</w:t>
      </w:r>
      <w:r>
        <w:rPr>
          <w:rStyle w:val="ad"/>
          <w:rFonts w:ascii="楷体" w:eastAsia="楷体" w:hAnsi="楷体" w:hint="eastAsia"/>
          <w:spacing w:val="-4"/>
          <w:sz w:val="32"/>
          <w:szCs w:val="32"/>
        </w:rPr>
        <w:br/>
      </w:r>
      <w:r>
        <w:rPr>
          <w:rStyle w:val="ad"/>
          <w:rFonts w:ascii="楷体" w:eastAsia="楷体" w:hAnsi="楷体" w:hint="eastAsia"/>
          <w:spacing w:val="-4"/>
          <w:sz w:val="32"/>
          <w:szCs w:val="32"/>
        </w:rPr>
        <w:t>在项目绩效评价工作启动之初，成立了专门的评价工作小组，小组成员由相关领域技术骨干组成，确保从多角度、全方位对项目绩效进行评价。同时，明确了评价工作的目标、范围、重点及时间安排，制定了详细的工作计划，为评价工作的顺利开展奠定了坚实基础。评价工作小组还进行了深入的调研，充分了解项目背景、目标、实施过程及预期效果，确保评价工作的针对性和实效性。此外，还与项目实施单位、农牧民代表及相关利益方保持密切联系，及时收集反馈信息，确保评价工作的全面性</w:t>
      </w:r>
      <w:r>
        <w:rPr>
          <w:rStyle w:val="ad"/>
          <w:rFonts w:ascii="楷体" w:eastAsia="楷体" w:hAnsi="楷体" w:hint="eastAsia"/>
          <w:spacing w:val="-4"/>
          <w:sz w:val="32"/>
          <w:szCs w:val="32"/>
        </w:rPr>
        <w:lastRenderedPageBreak/>
        <w:t>和客观性。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）指标体系构建</w:t>
      </w:r>
      <w:r>
        <w:rPr>
          <w:rStyle w:val="ad"/>
          <w:rFonts w:ascii="楷体" w:eastAsia="楷体" w:hAnsi="楷体" w:hint="eastAsia"/>
          <w:spacing w:val="-4"/>
          <w:sz w:val="32"/>
          <w:szCs w:val="32"/>
        </w:rPr>
        <w:br/>
      </w:r>
      <w:r>
        <w:rPr>
          <w:rStyle w:val="ad"/>
          <w:rFonts w:ascii="楷体" w:eastAsia="楷体" w:hAnsi="楷体" w:hint="eastAsia"/>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在构建指标体系的过程中，充分考虑了项目的实际情况和评价需求，对每个维度的指标进行了细致的分析和筛选，确保指标体系的全面性和有效性。同时，广泛征求各方面的意见和建议，对指标体系进行了多次修订和完善，提高了指标体系的科学性和可操作性，为</w:t>
      </w:r>
      <w:r>
        <w:rPr>
          <w:rStyle w:val="ad"/>
          <w:rFonts w:ascii="楷体" w:eastAsia="楷体" w:hAnsi="楷体" w:hint="eastAsia"/>
          <w:spacing w:val="-4"/>
          <w:sz w:val="32"/>
          <w:szCs w:val="32"/>
        </w:rPr>
        <w:t>后续的数据分析与评估提供了有力支持。</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）数据收集与整理</w:t>
      </w:r>
      <w:r>
        <w:rPr>
          <w:rStyle w:val="ad"/>
          <w:rFonts w:ascii="楷体" w:eastAsia="楷体" w:hAnsi="楷体" w:hint="eastAsia"/>
          <w:spacing w:val="-4"/>
          <w:sz w:val="32"/>
          <w:szCs w:val="32"/>
        </w:rPr>
        <w:br/>
      </w:r>
      <w:r>
        <w:rPr>
          <w:rStyle w:val="ad"/>
          <w:rFonts w:ascii="楷体" w:eastAsia="楷体" w:hAnsi="楷体" w:hint="eastAsia"/>
          <w:spacing w:val="-4"/>
          <w:sz w:val="32"/>
          <w:szCs w:val="32"/>
        </w:rPr>
        <w:t>广泛收集与项目相关的各类数据，包括业务数据、用户反馈等。在数据收集过程中，注重数据的质量与完整性，对缺失或异常的数据进行了合理的处理和补充。随后，对收集到的数据进行了系统的整理与分类，为后续的数据分析提供了有力支持。</w:t>
      </w:r>
      <w:r>
        <w:rPr>
          <w:rStyle w:val="ad"/>
          <w:rFonts w:ascii="楷体" w:eastAsia="楷体" w:hAnsi="楷体" w:hint="eastAsia"/>
          <w:spacing w:val="-4"/>
          <w:sz w:val="32"/>
          <w:szCs w:val="32"/>
        </w:rPr>
        <w:br/>
      </w:r>
      <w:r>
        <w:rPr>
          <w:rStyle w:val="ad"/>
          <w:rFonts w:ascii="楷体" w:eastAsia="楷体" w:hAnsi="楷体" w:hint="eastAsia"/>
          <w:spacing w:val="-4"/>
          <w:sz w:val="32"/>
          <w:szCs w:val="32"/>
        </w:rPr>
        <w:t>为了确保数据的准确性和一致性，对收集到的数据进行了多次核查与校验，为后续的数据分析与评估工作奠定了坚实基础。此外，在数据整理过程中，还充分考虑了数据的可比性和可解释性，对数据进行了适当的转换和标准化处理，以便于后续的数据分析和结果呈现</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4</w:t>
      </w:r>
      <w:r>
        <w:rPr>
          <w:rStyle w:val="ad"/>
          <w:rFonts w:ascii="楷体" w:eastAsia="楷体" w:hAnsi="楷体" w:hint="eastAsia"/>
          <w:spacing w:val="-4"/>
          <w:sz w:val="32"/>
          <w:szCs w:val="32"/>
        </w:rPr>
        <w:t>）数据分析与评估</w:t>
      </w:r>
      <w:r>
        <w:rPr>
          <w:rStyle w:val="ad"/>
          <w:rFonts w:ascii="楷体" w:eastAsia="楷体" w:hAnsi="楷体" w:hint="eastAsia"/>
          <w:spacing w:val="-4"/>
          <w:sz w:val="32"/>
          <w:szCs w:val="32"/>
        </w:rPr>
        <w:br/>
      </w:r>
      <w:r>
        <w:rPr>
          <w:rStyle w:val="ad"/>
          <w:rFonts w:ascii="楷体" w:eastAsia="楷体" w:hAnsi="楷体" w:hint="eastAsia"/>
          <w:spacing w:val="-4"/>
          <w:sz w:val="32"/>
          <w:szCs w:val="32"/>
        </w:rPr>
        <w:t>对收集到的数据进行了深入挖掘与分析。通过对各项绩效指标的实际完成情况与预期目标进行对比，计算出指标的达成率，</w:t>
      </w:r>
      <w:r>
        <w:rPr>
          <w:rStyle w:val="ad"/>
          <w:rFonts w:ascii="楷体" w:eastAsia="楷体" w:hAnsi="楷体" w:hint="eastAsia"/>
          <w:spacing w:val="-4"/>
          <w:sz w:val="32"/>
          <w:szCs w:val="32"/>
        </w:rPr>
        <w:lastRenderedPageBreak/>
        <w:t>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5</w:t>
      </w:r>
      <w:r>
        <w:rPr>
          <w:rStyle w:val="ad"/>
          <w:rFonts w:ascii="楷体" w:eastAsia="楷体" w:hAnsi="楷体" w:hint="eastAsia"/>
          <w:spacing w:val="-4"/>
          <w:sz w:val="32"/>
          <w:szCs w:val="32"/>
        </w:rPr>
        <w:t>）报告撰写与反馈</w:t>
      </w:r>
      <w:r>
        <w:rPr>
          <w:rStyle w:val="ad"/>
          <w:rFonts w:ascii="楷体" w:eastAsia="楷体" w:hAnsi="楷体" w:hint="eastAsia"/>
          <w:spacing w:val="-4"/>
          <w:sz w:val="32"/>
          <w:szCs w:val="32"/>
        </w:rPr>
        <w:br/>
      </w:r>
      <w:r>
        <w:rPr>
          <w:rStyle w:val="ad"/>
          <w:rFonts w:ascii="楷体" w:eastAsia="楷体" w:hAnsi="楷体" w:hint="eastAsia"/>
          <w:spacing w:val="-4"/>
          <w:sz w:val="32"/>
          <w:szCs w:val="32"/>
        </w:rPr>
        <w:t>根据数据分析与评估的结果，按照统一的格式和规范撰写项目预算绩效评价报告。报告内容包括项目背景、评价目的、评价指标体系、数据收集与分析方法、绩效评价结果、</w:t>
      </w:r>
      <w:r>
        <w:rPr>
          <w:rStyle w:val="ad"/>
          <w:rFonts w:ascii="楷体" w:eastAsia="楷体" w:hAnsi="楷体" w:hint="eastAsia"/>
          <w:spacing w:val="-4"/>
          <w:sz w:val="32"/>
          <w:szCs w:val="32"/>
        </w:rPr>
        <w:t>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6</w:t>
      </w:r>
      <w:r>
        <w:rPr>
          <w:rStyle w:val="ad"/>
          <w:rFonts w:ascii="楷体" w:eastAsia="楷体" w:hAnsi="楷体" w:hint="eastAsia"/>
          <w:spacing w:val="-4"/>
          <w:sz w:val="32"/>
          <w:szCs w:val="32"/>
        </w:rPr>
        <w:t>）后续跟踪与改进</w:t>
      </w:r>
      <w:r>
        <w:rPr>
          <w:rStyle w:val="ad"/>
          <w:rFonts w:ascii="楷体" w:eastAsia="楷体" w:hAnsi="楷体" w:hint="eastAsia"/>
          <w:spacing w:val="-4"/>
          <w:sz w:val="32"/>
          <w:szCs w:val="32"/>
        </w:rPr>
        <w:br/>
      </w:r>
      <w:r>
        <w:rPr>
          <w:rStyle w:val="ad"/>
          <w:rFonts w:ascii="楷体" w:eastAsia="楷体" w:hAnsi="楷体" w:hint="eastAsia"/>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w:t>
      </w:r>
      <w:r>
        <w:rPr>
          <w:rStyle w:val="ad"/>
          <w:rFonts w:ascii="楷体" w:eastAsia="楷体" w:hAnsi="楷体" w:hint="eastAsia"/>
          <w:spacing w:val="-4"/>
          <w:sz w:val="32"/>
          <w:szCs w:val="32"/>
        </w:rPr>
        <w:t>展提供有力保障。</w:t>
      </w:r>
    </w:p>
    <w:p w:rsidR="002333BB" w:rsidRDefault="00E05007">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rsidR="002333BB" w:rsidRDefault="00E0500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本项目的综合评价基于对项目各方面绩效的深入分析与评估。从项目目标的达成情况来看，巴财农〔</w:t>
      </w:r>
      <w:r>
        <w:rPr>
          <w:rStyle w:val="ad"/>
          <w:rFonts w:ascii="楷体" w:eastAsia="楷体" w:hAnsi="楷体" w:hint="eastAsia"/>
          <w:spacing w:val="-4"/>
          <w:sz w:val="32"/>
          <w:szCs w:val="32"/>
        </w:rPr>
        <w:t>2023</w:t>
      </w:r>
      <w:r>
        <w:rPr>
          <w:rStyle w:val="ad"/>
          <w:rFonts w:ascii="楷体" w:eastAsia="楷体" w:hAnsi="楷体" w:hint="eastAsia"/>
          <w:spacing w:val="-4"/>
          <w:sz w:val="32"/>
          <w:szCs w:val="32"/>
        </w:rPr>
        <w:t>〕</w:t>
      </w:r>
      <w:r>
        <w:rPr>
          <w:rStyle w:val="ad"/>
          <w:rFonts w:ascii="楷体" w:eastAsia="楷体" w:hAnsi="楷体" w:hint="eastAsia"/>
          <w:spacing w:val="-4"/>
          <w:sz w:val="32"/>
          <w:szCs w:val="32"/>
        </w:rPr>
        <w:t>55</w:t>
      </w:r>
      <w:r>
        <w:rPr>
          <w:rStyle w:val="ad"/>
          <w:rFonts w:ascii="楷体" w:eastAsia="楷体" w:hAnsi="楷体" w:hint="eastAsia"/>
          <w:spacing w:val="-4"/>
          <w:sz w:val="32"/>
          <w:szCs w:val="32"/>
        </w:rPr>
        <w:t>号关于提前下达</w:t>
      </w:r>
      <w:r>
        <w:rPr>
          <w:rStyle w:val="ad"/>
          <w:rFonts w:ascii="楷体" w:eastAsia="楷体" w:hAnsi="楷体" w:hint="eastAsia"/>
          <w:spacing w:val="-4"/>
          <w:sz w:val="32"/>
          <w:szCs w:val="32"/>
        </w:rPr>
        <w:t>2024</w:t>
      </w:r>
      <w:r>
        <w:rPr>
          <w:rStyle w:val="ad"/>
          <w:rFonts w:ascii="楷体" w:eastAsia="楷体" w:hAnsi="楷体" w:hint="eastAsia"/>
          <w:spacing w:val="-4"/>
          <w:sz w:val="32"/>
          <w:szCs w:val="32"/>
        </w:rPr>
        <w:t>年中央农业产业发展资金预算的通知（农机</w:t>
      </w:r>
      <w:r>
        <w:rPr>
          <w:rStyle w:val="ad"/>
          <w:rFonts w:ascii="楷体" w:eastAsia="楷体" w:hAnsi="楷体" w:hint="eastAsia"/>
          <w:spacing w:val="-4"/>
          <w:sz w:val="32"/>
          <w:szCs w:val="32"/>
        </w:rPr>
        <w:t>2024</w:t>
      </w:r>
      <w:r>
        <w:rPr>
          <w:rStyle w:val="ad"/>
          <w:rFonts w:ascii="楷体" w:eastAsia="楷体" w:hAnsi="楷体" w:hint="eastAsia"/>
          <w:spacing w:val="-4"/>
          <w:sz w:val="32"/>
          <w:szCs w:val="32"/>
        </w:rPr>
        <w:t>，产业强镇</w:t>
      </w:r>
      <w:r>
        <w:rPr>
          <w:rStyle w:val="ad"/>
          <w:rFonts w:ascii="楷体" w:eastAsia="楷体" w:hAnsi="楷体" w:hint="eastAsia"/>
          <w:spacing w:val="-4"/>
          <w:sz w:val="32"/>
          <w:szCs w:val="32"/>
        </w:rPr>
        <w:t>700</w:t>
      </w:r>
      <w:r>
        <w:rPr>
          <w:rStyle w:val="ad"/>
          <w:rFonts w:ascii="楷体" w:eastAsia="楷体" w:hAnsi="楷体" w:hint="eastAsia"/>
          <w:spacing w:val="-4"/>
          <w:sz w:val="32"/>
          <w:szCs w:val="32"/>
        </w:rPr>
        <w:t>万，畜牧粮改饲</w:t>
      </w:r>
      <w:r>
        <w:rPr>
          <w:rStyle w:val="ad"/>
          <w:rFonts w:ascii="楷体" w:eastAsia="楷体" w:hAnsi="楷体" w:hint="eastAsia"/>
          <w:spacing w:val="-4"/>
          <w:sz w:val="32"/>
          <w:szCs w:val="32"/>
        </w:rPr>
        <w:t>48.45</w:t>
      </w:r>
      <w:r>
        <w:rPr>
          <w:rStyle w:val="ad"/>
          <w:rFonts w:ascii="楷体" w:eastAsia="楷体" w:hAnsi="楷体" w:hint="eastAsia"/>
          <w:spacing w:val="-4"/>
          <w:sz w:val="32"/>
          <w:szCs w:val="32"/>
        </w:rPr>
        <w:t>万）、巴财农〔</w:t>
      </w:r>
      <w:r>
        <w:rPr>
          <w:rStyle w:val="ad"/>
          <w:rFonts w:ascii="楷体" w:eastAsia="楷体" w:hAnsi="楷体" w:hint="eastAsia"/>
          <w:spacing w:val="-4"/>
          <w:sz w:val="32"/>
          <w:szCs w:val="32"/>
        </w:rPr>
        <w:t>2023</w:t>
      </w:r>
      <w:r>
        <w:rPr>
          <w:rStyle w:val="ad"/>
          <w:rFonts w:ascii="楷体" w:eastAsia="楷体" w:hAnsi="楷体" w:hint="eastAsia"/>
          <w:spacing w:val="-4"/>
          <w:sz w:val="32"/>
          <w:szCs w:val="32"/>
        </w:rPr>
        <w:t>〕</w:t>
      </w:r>
      <w:r>
        <w:rPr>
          <w:rStyle w:val="ad"/>
          <w:rFonts w:ascii="楷体" w:eastAsia="楷体" w:hAnsi="楷体" w:hint="eastAsia"/>
          <w:spacing w:val="-4"/>
          <w:sz w:val="32"/>
          <w:szCs w:val="32"/>
        </w:rPr>
        <w:t>39</w:t>
      </w:r>
      <w:r>
        <w:rPr>
          <w:rStyle w:val="ad"/>
          <w:rFonts w:ascii="楷体" w:eastAsia="楷体" w:hAnsi="楷体" w:hint="eastAsia"/>
          <w:spacing w:val="-4"/>
          <w:sz w:val="32"/>
          <w:szCs w:val="32"/>
        </w:rPr>
        <w:t>号关于</w:t>
      </w:r>
      <w:r>
        <w:rPr>
          <w:rStyle w:val="ad"/>
          <w:rFonts w:ascii="楷体" w:eastAsia="楷体" w:hAnsi="楷体" w:hint="eastAsia"/>
          <w:spacing w:val="-4"/>
          <w:sz w:val="32"/>
          <w:szCs w:val="32"/>
        </w:rPr>
        <w:lastRenderedPageBreak/>
        <w:t>下达</w:t>
      </w:r>
      <w:r>
        <w:rPr>
          <w:rStyle w:val="ad"/>
          <w:rFonts w:ascii="楷体" w:eastAsia="楷体" w:hAnsi="楷体" w:hint="eastAsia"/>
          <w:spacing w:val="-4"/>
          <w:sz w:val="32"/>
          <w:szCs w:val="32"/>
        </w:rPr>
        <w:t>2023</w:t>
      </w:r>
      <w:r>
        <w:rPr>
          <w:rStyle w:val="ad"/>
          <w:rFonts w:ascii="楷体" w:eastAsia="楷体" w:hAnsi="楷体" w:hint="eastAsia"/>
          <w:spacing w:val="-4"/>
          <w:sz w:val="32"/>
          <w:szCs w:val="32"/>
        </w:rPr>
        <w:t>年自治区农机购置补贴资金预算的通知（</w:t>
      </w:r>
      <w:r>
        <w:rPr>
          <w:rStyle w:val="ad"/>
          <w:rFonts w:ascii="楷体" w:eastAsia="楷体" w:hAnsi="楷体" w:hint="eastAsia"/>
          <w:spacing w:val="-4"/>
          <w:sz w:val="32"/>
          <w:szCs w:val="32"/>
        </w:rPr>
        <w:t>165</w:t>
      </w:r>
      <w:r>
        <w:rPr>
          <w:rStyle w:val="ad"/>
          <w:rFonts w:ascii="楷体" w:eastAsia="楷体" w:hAnsi="楷体" w:hint="eastAsia"/>
          <w:spacing w:val="-4"/>
          <w:sz w:val="32"/>
          <w:szCs w:val="32"/>
        </w:rPr>
        <w:t>万元）在提升农作物耕种收综合机械化水平、带动农牧民就业、推动种植业结构调整和推动牛羊养殖业高质量发展等方面表现出色，达到了预期的标准与要求。同时，项目也</w:t>
      </w:r>
      <w:r>
        <w:rPr>
          <w:rStyle w:val="ad"/>
          <w:rFonts w:ascii="楷体" w:eastAsia="楷体" w:hAnsi="楷体" w:hint="eastAsia"/>
          <w:spacing w:val="-4"/>
          <w:sz w:val="32"/>
          <w:szCs w:val="32"/>
        </w:rPr>
        <w:t>在农机购置与应用补贴政策落实等方面取得了显著的成效，如农机购置补贴受益户达</w:t>
      </w:r>
      <w:r>
        <w:rPr>
          <w:rStyle w:val="ad"/>
          <w:rFonts w:ascii="楷体" w:eastAsia="楷体" w:hAnsi="楷体" w:hint="eastAsia"/>
          <w:spacing w:val="-4"/>
          <w:sz w:val="32"/>
          <w:szCs w:val="32"/>
        </w:rPr>
        <w:t>798</w:t>
      </w:r>
      <w:r>
        <w:rPr>
          <w:rStyle w:val="ad"/>
          <w:rFonts w:ascii="楷体" w:eastAsia="楷体" w:hAnsi="楷体" w:hint="eastAsia"/>
          <w:spacing w:val="-4"/>
          <w:sz w:val="32"/>
          <w:szCs w:val="32"/>
        </w:rPr>
        <w:t>户，农作物耕种收综合机械化率达</w:t>
      </w:r>
      <w:r>
        <w:rPr>
          <w:rStyle w:val="ad"/>
          <w:rFonts w:ascii="楷体" w:eastAsia="楷体" w:hAnsi="楷体" w:hint="eastAsia"/>
          <w:spacing w:val="-4"/>
          <w:sz w:val="32"/>
          <w:szCs w:val="32"/>
        </w:rPr>
        <w:t>98.73%</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在项目管理方面，库尔勒市农业农村局通过有效的规划、组织与协调，项目得以顺利实施，并在预算与时间上保持了良好的控制。</w:t>
      </w:r>
      <w:r>
        <w:rPr>
          <w:rStyle w:val="ad"/>
          <w:rFonts w:ascii="楷体" w:eastAsia="楷体" w:hAnsi="楷体" w:hint="eastAsia"/>
          <w:spacing w:val="-4"/>
          <w:sz w:val="32"/>
          <w:szCs w:val="32"/>
        </w:rPr>
        <w:br/>
      </w:r>
      <w:r>
        <w:rPr>
          <w:rStyle w:val="ad"/>
          <w:rFonts w:ascii="楷体" w:eastAsia="楷体" w:hAnsi="楷体" w:hint="eastAsia"/>
          <w:spacing w:val="-4"/>
          <w:sz w:val="32"/>
          <w:szCs w:val="32"/>
        </w:rPr>
        <w:t>从项目效益的角度来看，本项目不仅实现了预期的社会效益方面产生了积极的影响。具体而言，农作物耕种收综合机械化水平等方面的提升，为农牧民带来了实实在在的利益。</w:t>
      </w:r>
      <w:r>
        <w:rPr>
          <w:rStyle w:val="ad"/>
          <w:rFonts w:ascii="楷体" w:eastAsia="楷体" w:hAnsi="楷体" w:hint="eastAsia"/>
          <w:spacing w:val="-4"/>
          <w:sz w:val="32"/>
          <w:szCs w:val="32"/>
        </w:rPr>
        <w:br/>
      </w:r>
      <w:r>
        <w:rPr>
          <w:rStyle w:val="ad"/>
          <w:rFonts w:ascii="楷体" w:eastAsia="楷体" w:hAnsi="楷体" w:hint="eastAsia"/>
          <w:spacing w:val="-4"/>
          <w:sz w:val="32"/>
          <w:szCs w:val="32"/>
        </w:rPr>
        <w:t>综上所述，巴财农〔</w:t>
      </w:r>
      <w:r>
        <w:rPr>
          <w:rStyle w:val="ad"/>
          <w:rFonts w:ascii="楷体" w:eastAsia="楷体" w:hAnsi="楷体" w:hint="eastAsia"/>
          <w:spacing w:val="-4"/>
          <w:sz w:val="32"/>
          <w:szCs w:val="32"/>
        </w:rPr>
        <w:t>2023</w:t>
      </w:r>
      <w:r>
        <w:rPr>
          <w:rStyle w:val="ad"/>
          <w:rFonts w:ascii="楷体" w:eastAsia="楷体" w:hAnsi="楷体" w:hint="eastAsia"/>
          <w:spacing w:val="-4"/>
          <w:sz w:val="32"/>
          <w:szCs w:val="32"/>
        </w:rPr>
        <w:t>〕</w:t>
      </w:r>
      <w:r>
        <w:rPr>
          <w:rStyle w:val="ad"/>
          <w:rFonts w:ascii="楷体" w:eastAsia="楷体" w:hAnsi="楷体" w:hint="eastAsia"/>
          <w:spacing w:val="-4"/>
          <w:sz w:val="32"/>
          <w:szCs w:val="32"/>
        </w:rPr>
        <w:t>55</w:t>
      </w:r>
      <w:r>
        <w:rPr>
          <w:rStyle w:val="ad"/>
          <w:rFonts w:ascii="楷体" w:eastAsia="楷体" w:hAnsi="楷体" w:hint="eastAsia"/>
          <w:spacing w:val="-4"/>
          <w:sz w:val="32"/>
          <w:szCs w:val="32"/>
        </w:rPr>
        <w:t>号关于提前下达</w:t>
      </w:r>
      <w:r>
        <w:rPr>
          <w:rStyle w:val="ad"/>
          <w:rFonts w:ascii="楷体" w:eastAsia="楷体" w:hAnsi="楷体" w:hint="eastAsia"/>
          <w:spacing w:val="-4"/>
          <w:sz w:val="32"/>
          <w:szCs w:val="32"/>
        </w:rPr>
        <w:t>2024</w:t>
      </w:r>
      <w:r>
        <w:rPr>
          <w:rStyle w:val="ad"/>
          <w:rFonts w:ascii="楷体" w:eastAsia="楷体" w:hAnsi="楷体" w:hint="eastAsia"/>
          <w:spacing w:val="-4"/>
          <w:sz w:val="32"/>
          <w:szCs w:val="32"/>
        </w:rPr>
        <w:t>年中央农业产业发展资金预算的通知（农机</w:t>
      </w:r>
      <w:r>
        <w:rPr>
          <w:rStyle w:val="ad"/>
          <w:rFonts w:ascii="楷体" w:eastAsia="楷体" w:hAnsi="楷体" w:hint="eastAsia"/>
          <w:spacing w:val="-4"/>
          <w:sz w:val="32"/>
          <w:szCs w:val="32"/>
        </w:rPr>
        <w:t>2024</w:t>
      </w:r>
      <w:r>
        <w:rPr>
          <w:rStyle w:val="ad"/>
          <w:rFonts w:ascii="楷体" w:eastAsia="楷体" w:hAnsi="楷体" w:hint="eastAsia"/>
          <w:spacing w:val="-4"/>
          <w:sz w:val="32"/>
          <w:szCs w:val="32"/>
        </w:rPr>
        <w:t>，产业强镇</w:t>
      </w:r>
      <w:r>
        <w:rPr>
          <w:rStyle w:val="ad"/>
          <w:rFonts w:ascii="楷体" w:eastAsia="楷体" w:hAnsi="楷体" w:hint="eastAsia"/>
          <w:spacing w:val="-4"/>
          <w:sz w:val="32"/>
          <w:szCs w:val="32"/>
        </w:rPr>
        <w:t>70</w:t>
      </w:r>
      <w:r>
        <w:rPr>
          <w:rStyle w:val="ad"/>
          <w:rFonts w:ascii="楷体" w:eastAsia="楷体" w:hAnsi="楷体" w:hint="eastAsia"/>
          <w:spacing w:val="-4"/>
          <w:sz w:val="32"/>
          <w:szCs w:val="32"/>
        </w:rPr>
        <w:t>0</w:t>
      </w:r>
      <w:r>
        <w:rPr>
          <w:rStyle w:val="ad"/>
          <w:rFonts w:ascii="楷体" w:eastAsia="楷体" w:hAnsi="楷体" w:hint="eastAsia"/>
          <w:spacing w:val="-4"/>
          <w:sz w:val="32"/>
          <w:szCs w:val="32"/>
        </w:rPr>
        <w:t>万，畜牧粮改饲</w:t>
      </w:r>
      <w:r>
        <w:rPr>
          <w:rStyle w:val="ad"/>
          <w:rFonts w:ascii="楷体" w:eastAsia="楷体" w:hAnsi="楷体" w:hint="eastAsia"/>
          <w:spacing w:val="-4"/>
          <w:sz w:val="32"/>
          <w:szCs w:val="32"/>
        </w:rPr>
        <w:t>48.45</w:t>
      </w:r>
      <w:r>
        <w:rPr>
          <w:rStyle w:val="ad"/>
          <w:rFonts w:ascii="楷体" w:eastAsia="楷体" w:hAnsi="楷体" w:hint="eastAsia"/>
          <w:spacing w:val="-4"/>
          <w:sz w:val="32"/>
          <w:szCs w:val="32"/>
        </w:rPr>
        <w:t>万）、巴财农〔</w:t>
      </w:r>
      <w:r>
        <w:rPr>
          <w:rStyle w:val="ad"/>
          <w:rFonts w:ascii="楷体" w:eastAsia="楷体" w:hAnsi="楷体" w:hint="eastAsia"/>
          <w:spacing w:val="-4"/>
          <w:sz w:val="32"/>
          <w:szCs w:val="32"/>
        </w:rPr>
        <w:t>2023</w:t>
      </w:r>
      <w:r>
        <w:rPr>
          <w:rStyle w:val="ad"/>
          <w:rFonts w:ascii="楷体" w:eastAsia="楷体" w:hAnsi="楷体" w:hint="eastAsia"/>
          <w:spacing w:val="-4"/>
          <w:sz w:val="32"/>
          <w:szCs w:val="32"/>
        </w:rPr>
        <w:t>〕</w:t>
      </w:r>
      <w:r>
        <w:rPr>
          <w:rStyle w:val="ad"/>
          <w:rFonts w:ascii="楷体" w:eastAsia="楷体" w:hAnsi="楷体" w:hint="eastAsia"/>
          <w:spacing w:val="-4"/>
          <w:sz w:val="32"/>
          <w:szCs w:val="32"/>
        </w:rPr>
        <w:t>39</w:t>
      </w:r>
      <w:r>
        <w:rPr>
          <w:rStyle w:val="ad"/>
          <w:rFonts w:ascii="楷体" w:eastAsia="楷体" w:hAnsi="楷体" w:hint="eastAsia"/>
          <w:spacing w:val="-4"/>
          <w:sz w:val="32"/>
          <w:szCs w:val="32"/>
        </w:rPr>
        <w:t>号关于下达</w:t>
      </w:r>
      <w:r>
        <w:rPr>
          <w:rStyle w:val="ad"/>
          <w:rFonts w:ascii="楷体" w:eastAsia="楷体" w:hAnsi="楷体" w:hint="eastAsia"/>
          <w:spacing w:val="-4"/>
          <w:sz w:val="32"/>
          <w:szCs w:val="32"/>
        </w:rPr>
        <w:t>2023</w:t>
      </w:r>
      <w:r>
        <w:rPr>
          <w:rStyle w:val="ad"/>
          <w:rFonts w:ascii="楷体" w:eastAsia="楷体" w:hAnsi="楷体" w:hint="eastAsia"/>
          <w:spacing w:val="-4"/>
          <w:sz w:val="32"/>
          <w:szCs w:val="32"/>
        </w:rPr>
        <w:t>年自治区农机购置补贴资金预算的通知（</w:t>
      </w:r>
      <w:r>
        <w:rPr>
          <w:rStyle w:val="ad"/>
          <w:rFonts w:ascii="楷体" w:eastAsia="楷体" w:hAnsi="楷体" w:hint="eastAsia"/>
          <w:spacing w:val="-4"/>
          <w:sz w:val="32"/>
          <w:szCs w:val="32"/>
        </w:rPr>
        <w:t>165</w:t>
      </w:r>
      <w:r>
        <w:rPr>
          <w:rStyle w:val="ad"/>
          <w:rFonts w:ascii="楷体" w:eastAsia="楷体" w:hAnsi="楷体" w:hint="eastAsia"/>
          <w:spacing w:val="-4"/>
          <w:sz w:val="32"/>
          <w:szCs w:val="32"/>
        </w:rPr>
        <w:t>万元）在绩效评价中表现出色，达到了项目的预期目标，并在多个方面取得了显著的成效。</w:t>
      </w:r>
      <w:r>
        <w:rPr>
          <w:rStyle w:val="ad"/>
          <w:rFonts w:ascii="楷体" w:eastAsia="楷体" w:hAnsi="楷体" w:hint="eastAsia"/>
          <w:spacing w:val="-4"/>
          <w:sz w:val="32"/>
          <w:szCs w:val="32"/>
        </w:rPr>
        <w:br/>
      </w:r>
      <w:r>
        <w:rPr>
          <w:rStyle w:val="ad"/>
          <w:rFonts w:ascii="楷体" w:eastAsia="楷体" w:hAnsi="楷体" w:hint="eastAsia"/>
          <w:spacing w:val="-4"/>
          <w:sz w:val="32"/>
          <w:szCs w:val="32"/>
        </w:rPr>
        <w:t>（二）评价结论</w:t>
      </w:r>
      <w:r>
        <w:rPr>
          <w:rStyle w:val="ad"/>
          <w:rFonts w:ascii="楷体" w:eastAsia="楷体" w:hAnsi="楷体" w:hint="eastAsia"/>
          <w:spacing w:val="-4"/>
          <w:sz w:val="32"/>
          <w:szCs w:val="32"/>
        </w:rPr>
        <w:br/>
      </w:r>
      <w:r>
        <w:rPr>
          <w:rStyle w:val="ad"/>
          <w:rFonts w:ascii="楷体" w:eastAsia="楷体" w:hAnsi="楷体" w:hint="eastAsia"/>
          <w:spacing w:val="-4"/>
          <w:sz w:val="32"/>
          <w:szCs w:val="32"/>
        </w:rPr>
        <w:t>运用绩效评价组制定的评价指标体系以及财政部《项目支出绩效评价管理办法》（财预〔</w:t>
      </w:r>
      <w:r>
        <w:rPr>
          <w:rStyle w:val="ad"/>
          <w:rFonts w:ascii="楷体" w:eastAsia="楷体" w:hAnsi="楷体" w:hint="eastAsia"/>
          <w:spacing w:val="-4"/>
          <w:sz w:val="32"/>
          <w:szCs w:val="32"/>
        </w:rPr>
        <w:t>2020</w:t>
      </w:r>
      <w:r>
        <w:rPr>
          <w:rStyle w:val="ad"/>
          <w:rFonts w:ascii="楷体" w:eastAsia="楷体" w:hAnsi="楷体" w:hint="eastAsia"/>
          <w:spacing w:val="-4"/>
          <w:sz w:val="32"/>
          <w:szCs w:val="32"/>
        </w:rPr>
        <w:t>〕</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号）文件的评分标准，通过数据采集、问卷调查及访谈等方式，对本项目进行客观评价，最终评分结果：总得分为</w:t>
      </w:r>
      <w:r>
        <w:rPr>
          <w:rStyle w:val="ad"/>
          <w:rFonts w:ascii="楷体" w:eastAsia="楷体" w:hAnsi="楷体" w:hint="eastAsia"/>
          <w:spacing w:val="-4"/>
          <w:sz w:val="32"/>
          <w:szCs w:val="32"/>
        </w:rPr>
        <w:t>99.57</w:t>
      </w:r>
      <w:r>
        <w:rPr>
          <w:rStyle w:val="ad"/>
          <w:rFonts w:ascii="楷体" w:eastAsia="楷体" w:hAnsi="楷体" w:hint="eastAsia"/>
          <w:spacing w:val="-4"/>
          <w:sz w:val="32"/>
          <w:szCs w:val="32"/>
        </w:rPr>
        <w:t>分，属于“优”。其中，项目决策类指标权重为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。项目过程类指标权</w:t>
      </w:r>
      <w:r>
        <w:rPr>
          <w:rStyle w:val="ad"/>
          <w:rFonts w:ascii="楷体" w:eastAsia="楷体" w:hAnsi="楷体" w:hint="eastAsia"/>
          <w:spacing w:val="-4"/>
          <w:sz w:val="32"/>
          <w:szCs w:val="32"/>
        </w:rPr>
        <w:t>重为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19.9</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99.5%</w:t>
      </w:r>
      <w:r>
        <w:rPr>
          <w:rStyle w:val="ad"/>
          <w:rFonts w:ascii="楷体" w:eastAsia="楷体" w:hAnsi="楷体" w:hint="eastAsia"/>
          <w:spacing w:val="-4"/>
          <w:sz w:val="32"/>
          <w:szCs w:val="32"/>
        </w:rPr>
        <w:t>。项目产</w:t>
      </w:r>
      <w:r>
        <w:rPr>
          <w:rStyle w:val="ad"/>
          <w:rFonts w:ascii="楷体" w:eastAsia="楷体" w:hAnsi="楷体" w:hint="eastAsia"/>
          <w:spacing w:val="-4"/>
          <w:sz w:val="32"/>
          <w:szCs w:val="32"/>
        </w:rPr>
        <w:lastRenderedPageBreak/>
        <w:t>出类指标权重为</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39.67</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99.18%</w:t>
      </w:r>
      <w:r>
        <w:rPr>
          <w:rStyle w:val="ad"/>
          <w:rFonts w:ascii="楷体" w:eastAsia="楷体" w:hAnsi="楷体" w:hint="eastAsia"/>
          <w:spacing w:val="-4"/>
          <w:sz w:val="32"/>
          <w:szCs w:val="32"/>
        </w:rPr>
        <w:t>。项目效益类指标权重为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。具体打分情况详见：附件</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综合评分表。</w:t>
      </w:r>
    </w:p>
    <w:p w:rsidR="002333BB" w:rsidRDefault="00E05007">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rsidR="002333BB" w:rsidRDefault="00E0500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2333BB" w:rsidRDefault="00E0500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w:t>
      </w:r>
      <w:r>
        <w:rPr>
          <w:rStyle w:val="ad"/>
          <w:rFonts w:ascii="楷体" w:eastAsia="楷体" w:hAnsi="楷体" w:hint="eastAsia"/>
          <w:spacing w:val="-4"/>
          <w:sz w:val="32"/>
          <w:szCs w:val="32"/>
        </w:rPr>
        <w:t>6</w:t>
      </w:r>
      <w:r>
        <w:rPr>
          <w:rStyle w:val="ad"/>
          <w:rFonts w:ascii="楷体" w:eastAsia="楷体" w:hAnsi="楷体" w:hint="eastAsia"/>
          <w:spacing w:val="-4"/>
          <w:sz w:val="32"/>
          <w:szCs w:val="32"/>
        </w:rPr>
        <w:t>个三级指标构成，权重分值为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分，实际得分</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t>1.</w:t>
      </w:r>
      <w:r>
        <w:rPr>
          <w:rStyle w:val="ad"/>
          <w:rFonts w:ascii="楷体" w:eastAsia="楷体" w:hAnsi="楷体" w:hint="eastAsia"/>
          <w:spacing w:val="-4"/>
          <w:sz w:val="32"/>
          <w:szCs w:val="32"/>
        </w:rPr>
        <w:t>项目立项</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）立项依据充分性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该项目立项符合《新疆维吾尔自治区</w:t>
      </w:r>
      <w:r>
        <w:rPr>
          <w:rStyle w:val="ad"/>
          <w:rFonts w:ascii="楷体" w:eastAsia="楷体" w:hAnsi="楷体" w:hint="eastAsia"/>
          <w:spacing w:val="-4"/>
          <w:sz w:val="32"/>
          <w:szCs w:val="32"/>
        </w:rPr>
        <w:t>2021-2023</w:t>
      </w:r>
      <w:r>
        <w:rPr>
          <w:rStyle w:val="ad"/>
          <w:rFonts w:ascii="楷体" w:eastAsia="楷体" w:hAnsi="楷体" w:hint="eastAsia"/>
          <w:spacing w:val="-4"/>
          <w:sz w:val="32"/>
          <w:szCs w:val="32"/>
        </w:rPr>
        <w:t>年农业机械购置补贴实施方案》</w:t>
      </w:r>
      <w:r>
        <w:rPr>
          <w:rStyle w:val="ad"/>
          <w:rFonts w:ascii="楷体" w:eastAsia="楷体" w:hAnsi="楷体" w:hint="eastAsia"/>
          <w:spacing w:val="-4"/>
          <w:sz w:val="32"/>
          <w:szCs w:val="32"/>
        </w:rPr>
        <w:t>（新农机〔</w:t>
      </w:r>
      <w:r>
        <w:rPr>
          <w:rStyle w:val="ad"/>
          <w:rFonts w:ascii="楷体" w:eastAsia="楷体" w:hAnsi="楷体" w:hint="eastAsia"/>
          <w:spacing w:val="-4"/>
          <w:sz w:val="32"/>
          <w:szCs w:val="32"/>
        </w:rPr>
        <w:t>2021</w:t>
      </w:r>
      <w:r>
        <w:rPr>
          <w:rStyle w:val="ad"/>
          <w:rFonts w:ascii="楷体" w:eastAsia="楷体" w:hAnsi="楷体" w:hint="eastAsia"/>
          <w:spacing w:val="-4"/>
          <w:sz w:val="32"/>
          <w:szCs w:val="32"/>
        </w:rPr>
        <w:t>〕</w:t>
      </w:r>
      <w:r>
        <w:rPr>
          <w:rStyle w:val="ad"/>
          <w:rFonts w:ascii="楷体" w:eastAsia="楷体" w:hAnsi="楷体" w:hint="eastAsia"/>
          <w:spacing w:val="-4"/>
          <w:sz w:val="32"/>
          <w:szCs w:val="32"/>
        </w:rPr>
        <w:t>94</w:t>
      </w:r>
      <w:r>
        <w:rPr>
          <w:rStyle w:val="ad"/>
          <w:rFonts w:ascii="楷体" w:eastAsia="楷体" w:hAnsi="楷体" w:hint="eastAsia"/>
          <w:spacing w:val="-4"/>
          <w:sz w:val="32"/>
          <w:szCs w:val="32"/>
        </w:rPr>
        <w:t>号）、《关于印发</w:t>
      </w:r>
      <w:r>
        <w:rPr>
          <w:rStyle w:val="ad"/>
          <w:rFonts w:ascii="楷体" w:eastAsia="楷体" w:hAnsi="楷体" w:hint="eastAsia"/>
          <w:spacing w:val="-4"/>
          <w:sz w:val="32"/>
          <w:szCs w:val="32"/>
        </w:rPr>
        <w:t>2024</w:t>
      </w:r>
      <w:r>
        <w:rPr>
          <w:rStyle w:val="ad"/>
          <w:rFonts w:ascii="楷体" w:eastAsia="楷体" w:hAnsi="楷体" w:hint="eastAsia"/>
          <w:spacing w:val="-4"/>
          <w:sz w:val="32"/>
          <w:szCs w:val="32"/>
        </w:rPr>
        <w:t>年农业产业强镇续建项目实施方案的通知》（新农办产函〔</w:t>
      </w:r>
      <w:r>
        <w:rPr>
          <w:rStyle w:val="ad"/>
          <w:rFonts w:ascii="楷体" w:eastAsia="楷体" w:hAnsi="楷体" w:hint="eastAsia"/>
          <w:spacing w:val="-4"/>
          <w:sz w:val="32"/>
          <w:szCs w:val="32"/>
        </w:rPr>
        <w:t>2024</w:t>
      </w:r>
      <w:r>
        <w:rPr>
          <w:rStyle w:val="ad"/>
          <w:rFonts w:ascii="楷体" w:eastAsia="楷体" w:hAnsi="楷体" w:hint="eastAsia"/>
          <w:spacing w:val="-4"/>
          <w:sz w:val="32"/>
          <w:szCs w:val="32"/>
        </w:rPr>
        <w:t>〕</w:t>
      </w:r>
      <w:r>
        <w:rPr>
          <w:rStyle w:val="ad"/>
          <w:rFonts w:ascii="楷体" w:eastAsia="楷体" w:hAnsi="楷体" w:hint="eastAsia"/>
          <w:spacing w:val="-4"/>
          <w:sz w:val="32"/>
          <w:szCs w:val="32"/>
        </w:rPr>
        <w:t>579</w:t>
      </w:r>
      <w:r>
        <w:rPr>
          <w:rStyle w:val="ad"/>
          <w:rFonts w:ascii="楷体" w:eastAsia="楷体" w:hAnsi="楷体" w:hint="eastAsia"/>
          <w:spacing w:val="-4"/>
          <w:sz w:val="32"/>
          <w:szCs w:val="32"/>
        </w:rPr>
        <w:t>号）和《巴州</w:t>
      </w:r>
      <w:r>
        <w:rPr>
          <w:rStyle w:val="ad"/>
          <w:rFonts w:ascii="楷体" w:eastAsia="楷体" w:hAnsi="楷体" w:hint="eastAsia"/>
          <w:spacing w:val="-4"/>
          <w:sz w:val="32"/>
          <w:szCs w:val="32"/>
        </w:rPr>
        <w:t>2024</w:t>
      </w:r>
      <w:r>
        <w:rPr>
          <w:rStyle w:val="ad"/>
          <w:rFonts w:ascii="楷体" w:eastAsia="楷体" w:hAnsi="楷体" w:hint="eastAsia"/>
          <w:spacing w:val="-4"/>
          <w:sz w:val="32"/>
          <w:szCs w:val="32"/>
        </w:rPr>
        <w:t>年粮改饲项目实施方案》政策，符合行业规划要求，围绕本年度工作重点，在农机购置补贴中聚焦稳产保供，将高性能播种机、智能高速插秧机等重点机具纳入补贴范围，实施差异化补贴，提高部分重点机具补贴额，降低落后机具补贴标准，强化监管，运用大数据平台提升违规排查能力，优化兑付流程，推进全流程线上办理，确保补贴资金及时兑付，提升服务效能。在产业强镇项目上加强基础设施建设，完善菌种培育、生产</w:t>
      </w:r>
      <w:r>
        <w:rPr>
          <w:rStyle w:val="ad"/>
          <w:rFonts w:ascii="楷体" w:eastAsia="楷体" w:hAnsi="楷体" w:hint="eastAsia"/>
          <w:spacing w:val="-4"/>
          <w:sz w:val="32"/>
          <w:szCs w:val="32"/>
        </w:rPr>
        <w:t>加工等环节的配套设施，推动科技创新，引入先进栽培技术与智能化设备，提升生产效率与品质，培育壮大经营主体，扶持龙头企业与合作社发展，拓展销售渠道，打造品牌，加强产销对接。粮改饲项目上调整种植业结构，引导种植全株青贮玉米、优质牧草等，加强政策扶持，实施饲草青贮补助等激</w:t>
      </w:r>
      <w:r>
        <w:rPr>
          <w:rStyle w:val="ad"/>
          <w:rFonts w:ascii="楷体" w:eastAsia="楷体" w:hAnsi="楷体" w:hint="eastAsia"/>
          <w:spacing w:val="-4"/>
          <w:sz w:val="32"/>
          <w:szCs w:val="32"/>
        </w:rPr>
        <w:lastRenderedPageBreak/>
        <w:t>励措施，强化技术服务，提供种植、收贮、加工等环节的技术指导，推动种养结合，建立订单种植、合同收购等模式，促进草畜配套、循环发展。项目将制定详细的经费预算，且该预算属于公共财政支持范围。经核查，本项目与部门内部其他相关项目不存在重复建设情况。部门发展</w:t>
      </w:r>
      <w:r>
        <w:rPr>
          <w:rStyle w:val="ad"/>
          <w:rFonts w:ascii="楷体" w:eastAsia="楷体" w:hAnsi="楷体" w:hint="eastAsia"/>
          <w:spacing w:val="-4"/>
          <w:sz w:val="32"/>
          <w:szCs w:val="32"/>
        </w:rPr>
        <w:t>规划及职能文件等资料归档完整，便于后续查阅与管理。</w:t>
      </w:r>
      <w:r>
        <w:rPr>
          <w:rStyle w:val="ad"/>
          <w:rFonts w:ascii="楷体" w:eastAsia="楷体" w:hAnsi="楷体" w:hint="eastAsia"/>
          <w:spacing w:val="-4"/>
          <w:sz w:val="32"/>
          <w:szCs w:val="32"/>
        </w:rPr>
        <w:br/>
      </w:r>
      <w:r>
        <w:rPr>
          <w:rStyle w:val="ad"/>
          <w:rFonts w:ascii="楷体" w:eastAsia="楷体" w:hAnsi="楷体" w:hint="eastAsia"/>
          <w:spacing w:val="-4"/>
          <w:sz w:val="32"/>
          <w:szCs w:val="32"/>
        </w:rPr>
        <w:t>此项权重分值为</w:t>
      </w:r>
      <w:r>
        <w:rPr>
          <w:rStyle w:val="ad"/>
          <w:rFonts w:ascii="楷体" w:eastAsia="楷体" w:hAnsi="楷体" w:hint="eastAsia"/>
          <w:spacing w:val="-4"/>
          <w:sz w:val="32"/>
          <w:szCs w:val="32"/>
        </w:rPr>
        <w:t>3</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3</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）立项程序规范性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集体决策，保障了程序的规范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此项权重分值为</w:t>
      </w:r>
      <w:r>
        <w:rPr>
          <w:rStyle w:val="ad"/>
          <w:rFonts w:ascii="楷体" w:eastAsia="楷体" w:hAnsi="楷体" w:hint="eastAsia"/>
          <w:spacing w:val="-4"/>
          <w:sz w:val="32"/>
          <w:szCs w:val="32"/>
        </w:rPr>
        <w:t>3</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3</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绩效目标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）绩效目标合理性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年初结合农机购置补贴政策的宣传与落实、食用菌产业强镇基础设施建设、完善农</w:t>
      </w:r>
      <w:r>
        <w:rPr>
          <w:rStyle w:val="ad"/>
          <w:rFonts w:ascii="楷体" w:eastAsia="楷体" w:hAnsi="楷体" w:hint="eastAsia"/>
          <w:spacing w:val="-4"/>
          <w:sz w:val="32"/>
          <w:szCs w:val="32"/>
        </w:rPr>
        <w:t>业生产环节配套设备、调整种植业结构和实施饲草青贮补助等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此项权重分值为</w:t>
      </w:r>
      <w:r>
        <w:rPr>
          <w:rStyle w:val="ad"/>
          <w:rFonts w:ascii="楷体" w:eastAsia="楷体" w:hAnsi="楷体" w:hint="eastAsia"/>
          <w:spacing w:val="-4"/>
          <w:sz w:val="32"/>
          <w:szCs w:val="32"/>
        </w:rPr>
        <w:t>3</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3</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）绩效指标明确性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项目设置了明确的预期产出效益和效果，将绩效目标细化分解为具体</w:t>
      </w:r>
      <w:r>
        <w:rPr>
          <w:rStyle w:val="ad"/>
          <w:rFonts w:ascii="楷体" w:eastAsia="楷体" w:hAnsi="楷体" w:hint="eastAsia"/>
          <w:spacing w:val="-4"/>
          <w:sz w:val="32"/>
          <w:szCs w:val="32"/>
        </w:rPr>
        <w:t>的绩效指标，绩效目标与项目目标任务数相对应，绩效目标设定的绩效指标清晰、细化、可衡量。</w:t>
      </w:r>
      <w:r>
        <w:rPr>
          <w:rStyle w:val="ad"/>
          <w:rFonts w:ascii="楷体" w:eastAsia="楷体" w:hAnsi="楷体" w:hint="eastAsia"/>
          <w:spacing w:val="-4"/>
          <w:sz w:val="32"/>
          <w:szCs w:val="32"/>
        </w:rPr>
        <w:br/>
      </w:r>
      <w:r>
        <w:rPr>
          <w:rStyle w:val="ad"/>
          <w:rFonts w:ascii="楷体" w:eastAsia="楷体" w:hAnsi="楷体" w:hint="eastAsia"/>
          <w:spacing w:val="-4"/>
          <w:sz w:val="32"/>
          <w:szCs w:val="32"/>
        </w:rPr>
        <w:t>此项权重分值为</w:t>
      </w:r>
      <w:r>
        <w:rPr>
          <w:rStyle w:val="ad"/>
          <w:rFonts w:ascii="楷体" w:eastAsia="楷体" w:hAnsi="楷体" w:hint="eastAsia"/>
          <w:spacing w:val="-4"/>
          <w:sz w:val="32"/>
          <w:szCs w:val="32"/>
        </w:rPr>
        <w:t>3</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3</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资金投入</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）预算编制科学性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Style w:val="ad"/>
          <w:rFonts w:ascii="楷体" w:eastAsia="楷体" w:hAnsi="楷体" w:hint="eastAsia"/>
          <w:spacing w:val="-4"/>
          <w:sz w:val="32"/>
          <w:szCs w:val="32"/>
        </w:rPr>
        <w:br/>
      </w:r>
      <w:r>
        <w:rPr>
          <w:rStyle w:val="ad"/>
          <w:rFonts w:ascii="楷体" w:eastAsia="楷体" w:hAnsi="楷体" w:hint="eastAsia"/>
          <w:spacing w:val="-4"/>
          <w:sz w:val="32"/>
          <w:szCs w:val="32"/>
        </w:rPr>
        <w:t>在预算编制过程中，还注重了成本控制与效益最大化的原则。通过优化资源配置、提高资金使用效率等措施，确保项目在有限</w:t>
      </w:r>
      <w:r>
        <w:rPr>
          <w:rStyle w:val="ad"/>
          <w:rFonts w:ascii="楷体" w:eastAsia="楷体" w:hAnsi="楷体" w:hint="eastAsia"/>
          <w:spacing w:val="-4"/>
          <w:sz w:val="32"/>
          <w:szCs w:val="32"/>
        </w:rPr>
        <w:t>的预算内取得最大的经济效益与社会效益。此外，预算编制还充分考虑了风险因素，对可能出现的超支情况进行了预留与规划，以应对项目实施过程中的不确定性。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此项权重分值为</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）资金分配合理性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Style w:val="ad"/>
          <w:rFonts w:ascii="楷体" w:eastAsia="楷体" w:hAnsi="楷体" w:hint="eastAsia"/>
          <w:spacing w:val="-4"/>
          <w:sz w:val="32"/>
          <w:szCs w:val="32"/>
        </w:rPr>
        <w:br/>
      </w:r>
      <w:r>
        <w:rPr>
          <w:rStyle w:val="ad"/>
          <w:rFonts w:ascii="楷体" w:eastAsia="楷体" w:hAnsi="楷体" w:hint="eastAsia"/>
          <w:spacing w:val="-4"/>
          <w:sz w:val="32"/>
          <w:szCs w:val="32"/>
        </w:rPr>
        <w:t>具体而言，资金分配紧密结合了项目的特点与实际情况，对关</w:t>
      </w:r>
      <w:r>
        <w:rPr>
          <w:rStyle w:val="ad"/>
          <w:rFonts w:ascii="楷体" w:eastAsia="楷体" w:hAnsi="楷体" w:hint="eastAsia"/>
          <w:spacing w:val="-4"/>
          <w:sz w:val="32"/>
          <w:szCs w:val="32"/>
        </w:rPr>
        <w:lastRenderedPageBreak/>
        <w:t>键领域与重要环节给予了重点支持。同时，我们也注重了资金的均衡分配，避</w:t>
      </w:r>
      <w:r>
        <w:rPr>
          <w:rStyle w:val="ad"/>
          <w:rFonts w:ascii="楷体" w:eastAsia="楷体" w:hAnsi="楷体" w:hint="eastAsia"/>
          <w:spacing w:val="-4"/>
          <w:sz w:val="32"/>
          <w:szCs w:val="32"/>
        </w:rPr>
        <w:t>免了资源浪费与资金闲置。此外，资金分配还充分考虑了风险因素，对可能出现的超支情况进行了预留与调整。</w:t>
      </w:r>
      <w:r>
        <w:rPr>
          <w:rStyle w:val="ad"/>
          <w:rFonts w:ascii="楷体" w:eastAsia="楷体" w:hAnsi="楷体" w:hint="eastAsia"/>
          <w:spacing w:val="-4"/>
          <w:sz w:val="32"/>
          <w:szCs w:val="32"/>
        </w:rPr>
        <w:br/>
      </w:r>
      <w:r>
        <w:rPr>
          <w:rStyle w:val="ad"/>
          <w:rFonts w:ascii="楷体" w:eastAsia="楷体" w:hAnsi="楷体" w:hint="eastAsia"/>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ad"/>
          <w:rFonts w:ascii="楷体" w:eastAsia="楷体" w:hAnsi="楷体" w:hint="eastAsia"/>
          <w:spacing w:val="-4"/>
          <w:sz w:val="32"/>
          <w:szCs w:val="32"/>
        </w:rPr>
        <w:br/>
      </w:r>
      <w:r>
        <w:rPr>
          <w:rStyle w:val="ad"/>
          <w:rFonts w:ascii="楷体" w:eastAsia="楷体" w:hAnsi="楷体" w:hint="eastAsia"/>
          <w:spacing w:val="-4"/>
          <w:sz w:val="32"/>
          <w:szCs w:val="32"/>
        </w:rPr>
        <w:t>此项权重分值为</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分。</w:t>
      </w:r>
    </w:p>
    <w:p w:rsidR="002333BB" w:rsidRDefault="00E0500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2333BB" w:rsidRDefault="00E0500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w:t>
      </w:r>
      <w:r>
        <w:rPr>
          <w:rStyle w:val="ad"/>
          <w:rFonts w:ascii="楷体" w:eastAsia="楷体" w:hAnsi="楷体" w:hint="eastAsia"/>
          <w:spacing w:val="-4"/>
          <w:sz w:val="32"/>
          <w:szCs w:val="32"/>
        </w:rPr>
        <w:t>5</w:t>
      </w:r>
      <w:r>
        <w:rPr>
          <w:rStyle w:val="ad"/>
          <w:rFonts w:ascii="楷体" w:eastAsia="楷体" w:hAnsi="楷体" w:hint="eastAsia"/>
          <w:spacing w:val="-4"/>
          <w:sz w:val="32"/>
          <w:szCs w:val="32"/>
        </w:rPr>
        <w:t>个三级指标构成，权重分值为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分，实际得分</w:t>
      </w:r>
      <w:r>
        <w:rPr>
          <w:rStyle w:val="ad"/>
          <w:rFonts w:ascii="楷体" w:eastAsia="楷体" w:hAnsi="楷体" w:hint="eastAsia"/>
          <w:spacing w:val="-4"/>
          <w:sz w:val="32"/>
          <w:szCs w:val="32"/>
        </w:rPr>
        <w:t>19.9</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99.5%</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t>1.</w:t>
      </w:r>
      <w:r>
        <w:rPr>
          <w:rStyle w:val="ad"/>
          <w:rFonts w:ascii="楷体" w:eastAsia="楷体" w:hAnsi="楷体" w:hint="eastAsia"/>
          <w:spacing w:val="-4"/>
          <w:sz w:val="32"/>
          <w:szCs w:val="32"/>
        </w:rPr>
        <w:t>资金管理</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）资金到位率</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w:t>
      </w:r>
      <w:r>
        <w:rPr>
          <w:rStyle w:val="ad"/>
          <w:rFonts w:ascii="楷体" w:eastAsia="楷体" w:hAnsi="楷体" w:hint="eastAsia"/>
          <w:spacing w:val="-4"/>
          <w:sz w:val="32"/>
          <w:szCs w:val="32"/>
        </w:rPr>
        <w:t>总投资</w:t>
      </w:r>
      <w:r>
        <w:rPr>
          <w:rStyle w:val="ad"/>
          <w:rFonts w:ascii="楷体" w:eastAsia="楷体" w:hAnsi="楷体" w:hint="eastAsia"/>
          <w:spacing w:val="-4"/>
          <w:sz w:val="32"/>
          <w:szCs w:val="32"/>
        </w:rPr>
        <w:t>2772.55</w:t>
      </w:r>
      <w:r>
        <w:rPr>
          <w:rStyle w:val="ad"/>
          <w:rFonts w:ascii="楷体" w:eastAsia="楷体" w:hAnsi="楷体" w:hint="eastAsia"/>
          <w:spacing w:val="-4"/>
          <w:sz w:val="32"/>
          <w:szCs w:val="32"/>
        </w:rPr>
        <w:t>万元，财政资金及时足额到位，到位率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，预算资金按计划进度执行。</w:t>
      </w:r>
      <w:r>
        <w:rPr>
          <w:rStyle w:val="ad"/>
          <w:rFonts w:ascii="楷体" w:eastAsia="楷体" w:hAnsi="楷体" w:hint="eastAsia"/>
          <w:spacing w:val="-4"/>
          <w:sz w:val="32"/>
          <w:szCs w:val="32"/>
        </w:rPr>
        <w:br/>
      </w:r>
      <w:r>
        <w:rPr>
          <w:rStyle w:val="ad"/>
          <w:rFonts w:ascii="楷体" w:eastAsia="楷体" w:hAnsi="楷体" w:hint="eastAsia"/>
          <w:spacing w:val="-4"/>
          <w:sz w:val="32"/>
          <w:szCs w:val="32"/>
        </w:rPr>
        <w:t>此项权重分值为</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）预算执行率</w:t>
      </w:r>
      <w:r>
        <w:rPr>
          <w:rStyle w:val="ad"/>
          <w:rFonts w:ascii="楷体" w:eastAsia="楷体" w:hAnsi="楷体" w:hint="eastAsia"/>
          <w:spacing w:val="-4"/>
          <w:sz w:val="32"/>
          <w:szCs w:val="32"/>
        </w:rPr>
        <w:br/>
      </w:r>
      <w:r>
        <w:rPr>
          <w:rStyle w:val="ad"/>
          <w:rFonts w:ascii="楷体" w:eastAsia="楷体" w:hAnsi="楷体" w:hint="eastAsia"/>
          <w:spacing w:val="-4"/>
          <w:sz w:val="32"/>
          <w:szCs w:val="32"/>
        </w:rPr>
        <w:t>预算编制较为详细，项目资金支出总体能够按照预算执行，预算资金支出</w:t>
      </w:r>
      <w:r>
        <w:rPr>
          <w:rStyle w:val="ad"/>
          <w:rFonts w:ascii="楷体" w:eastAsia="楷体" w:hAnsi="楷体" w:hint="eastAsia"/>
          <w:spacing w:val="-4"/>
          <w:sz w:val="32"/>
          <w:szCs w:val="32"/>
        </w:rPr>
        <w:t>2702.55</w:t>
      </w:r>
      <w:r>
        <w:rPr>
          <w:rStyle w:val="ad"/>
          <w:rFonts w:ascii="楷体" w:eastAsia="楷体" w:hAnsi="楷体" w:hint="eastAsia"/>
          <w:spacing w:val="-4"/>
          <w:sz w:val="32"/>
          <w:szCs w:val="32"/>
        </w:rPr>
        <w:t>万元，预算执行率为</w:t>
      </w:r>
      <w:r>
        <w:rPr>
          <w:rStyle w:val="ad"/>
          <w:rFonts w:ascii="楷体" w:eastAsia="楷体" w:hAnsi="楷体" w:hint="eastAsia"/>
          <w:spacing w:val="-4"/>
          <w:sz w:val="32"/>
          <w:szCs w:val="32"/>
        </w:rPr>
        <w:t>97.48%</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此项权重分值为</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3.9</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3</w:t>
      </w:r>
      <w:r>
        <w:rPr>
          <w:rStyle w:val="ad"/>
          <w:rFonts w:ascii="楷体" w:eastAsia="楷体" w:hAnsi="楷体" w:hint="eastAsia"/>
          <w:spacing w:val="-4"/>
          <w:sz w:val="32"/>
          <w:szCs w:val="32"/>
        </w:rPr>
        <w:t>）资金使用合规性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本项目的资金使用严格遵循了《中华人民共和国会计法》、《会计基础工作规范》、《预算管理办法》等财经法规，结合本单位实际情况，制定了本单位《农业机械购置补贴专项资金使用管理</w:t>
      </w:r>
      <w:r>
        <w:rPr>
          <w:rStyle w:val="ad"/>
          <w:rFonts w:ascii="楷体" w:eastAsia="楷体" w:hAnsi="楷体" w:hint="eastAsia"/>
          <w:spacing w:val="-4"/>
          <w:sz w:val="32"/>
          <w:szCs w:val="32"/>
        </w:rPr>
        <w:lastRenderedPageBreak/>
        <w:t>制度》、《项目资金发放管理办法</w:t>
      </w:r>
      <w:r>
        <w:rPr>
          <w:rStyle w:val="ad"/>
          <w:rFonts w:ascii="楷体" w:eastAsia="楷体" w:hAnsi="楷体" w:hint="eastAsia"/>
          <w:spacing w:val="-4"/>
          <w:sz w:val="32"/>
          <w:szCs w:val="32"/>
        </w:rPr>
        <w:t>》等，确保了资金的合规性与安全性。在资金使用过程中，我们建立了完善的财务管理体系，对资金的流动进行了全程监控与记录。</w:t>
      </w:r>
      <w:r>
        <w:rPr>
          <w:rStyle w:val="ad"/>
          <w:rFonts w:ascii="楷体" w:eastAsia="楷体" w:hAnsi="楷体" w:hint="eastAsia"/>
          <w:spacing w:val="-4"/>
          <w:sz w:val="32"/>
          <w:szCs w:val="32"/>
        </w:rPr>
        <w:br/>
      </w:r>
      <w:r>
        <w:rPr>
          <w:rStyle w:val="ad"/>
          <w:rFonts w:ascii="楷体" w:eastAsia="楷体" w:hAnsi="楷体" w:hint="eastAsia"/>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Style w:val="ad"/>
          <w:rFonts w:ascii="楷体" w:eastAsia="楷体" w:hAnsi="楷体" w:hint="eastAsia"/>
          <w:spacing w:val="-4"/>
          <w:sz w:val="32"/>
          <w:szCs w:val="32"/>
        </w:rPr>
        <w:br/>
      </w:r>
      <w:r>
        <w:rPr>
          <w:rStyle w:val="ad"/>
          <w:rFonts w:ascii="楷体" w:eastAsia="楷体" w:hAnsi="楷体" w:hint="eastAsia"/>
          <w:spacing w:val="-4"/>
          <w:sz w:val="32"/>
          <w:szCs w:val="32"/>
        </w:rPr>
        <w:t>综上所述，本项目的资金使用是合规的、安全的，既符合国家相关法律法规与财务制度的要求，又满足了项目实施的实际需要</w:t>
      </w:r>
      <w:r>
        <w:rPr>
          <w:rStyle w:val="ad"/>
          <w:rFonts w:ascii="楷体" w:eastAsia="楷体" w:hAnsi="楷体" w:hint="eastAsia"/>
          <w:spacing w:val="-4"/>
          <w:sz w:val="32"/>
          <w:szCs w:val="32"/>
        </w:rPr>
        <w:t>。资金使用的合规性为项目的成功实施提供了有力的保障，也为项目的绩效评价奠定了坚实的基础。</w:t>
      </w:r>
      <w:r>
        <w:rPr>
          <w:rStyle w:val="ad"/>
          <w:rFonts w:ascii="楷体" w:eastAsia="楷体" w:hAnsi="楷体" w:hint="eastAsia"/>
          <w:spacing w:val="-4"/>
          <w:sz w:val="32"/>
          <w:szCs w:val="32"/>
        </w:rPr>
        <w:br/>
      </w:r>
      <w:r>
        <w:rPr>
          <w:rStyle w:val="ad"/>
          <w:rFonts w:ascii="楷体" w:eastAsia="楷体" w:hAnsi="楷体" w:hint="eastAsia"/>
          <w:spacing w:val="-4"/>
          <w:sz w:val="32"/>
          <w:szCs w:val="32"/>
        </w:rPr>
        <w:t>此项权重分值为</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组织实施</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1</w:t>
      </w:r>
      <w:r>
        <w:rPr>
          <w:rStyle w:val="ad"/>
          <w:rFonts w:ascii="楷体" w:eastAsia="楷体" w:hAnsi="楷体" w:hint="eastAsia"/>
          <w:spacing w:val="-4"/>
          <w:sz w:val="32"/>
          <w:szCs w:val="32"/>
        </w:rPr>
        <w:t>）管理制度健全性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根据《农业机械购置补贴专项资金使用管理制度》、《项目资金发放管理办法》等相关规定，为项目的成功实施提供了坚实的制度保障。项目管理制度的制定紧密结合了项目的特点与实际情况，涵盖了项目的策划、组织、实施、监控与收尾等各个环节。</w:t>
      </w:r>
      <w:r>
        <w:rPr>
          <w:rStyle w:val="ad"/>
          <w:rFonts w:ascii="楷体" w:eastAsia="楷体" w:hAnsi="楷体" w:hint="eastAsia"/>
          <w:spacing w:val="-4"/>
          <w:sz w:val="32"/>
          <w:szCs w:val="32"/>
        </w:rPr>
        <w:br/>
      </w:r>
      <w:r>
        <w:rPr>
          <w:rStyle w:val="ad"/>
          <w:rFonts w:ascii="楷体" w:eastAsia="楷体" w:hAnsi="楷体" w:hint="eastAsia"/>
          <w:spacing w:val="-4"/>
          <w:sz w:val="32"/>
          <w:szCs w:val="32"/>
        </w:rPr>
        <w:t>在制度设计上，我们注重了制度的科学性与可操作性，确保制度能够切实指导项目的执行与管理。</w:t>
      </w:r>
      <w:r>
        <w:rPr>
          <w:rStyle w:val="ad"/>
          <w:rFonts w:ascii="楷体" w:eastAsia="楷体" w:hAnsi="楷体" w:hint="eastAsia"/>
          <w:spacing w:val="-4"/>
          <w:sz w:val="32"/>
          <w:szCs w:val="32"/>
        </w:rPr>
        <w:br/>
      </w:r>
      <w:r>
        <w:rPr>
          <w:rStyle w:val="ad"/>
          <w:rFonts w:ascii="楷体" w:eastAsia="楷体" w:hAnsi="楷体" w:hint="eastAsia"/>
          <w:spacing w:val="-4"/>
          <w:sz w:val="32"/>
          <w:szCs w:val="32"/>
        </w:rPr>
        <w:t>此外，项目管理制度还充分考虑了风险</w:t>
      </w:r>
      <w:r>
        <w:rPr>
          <w:rStyle w:val="ad"/>
          <w:rFonts w:ascii="楷体" w:eastAsia="楷体" w:hAnsi="楷体" w:hint="eastAsia"/>
          <w:spacing w:val="-4"/>
          <w:sz w:val="32"/>
          <w:szCs w:val="32"/>
        </w:rPr>
        <w:t>因素，制定了相应的风险应对措施与预案，以应对项目实施过程中可能出现的各种风</w:t>
      </w:r>
      <w:r>
        <w:rPr>
          <w:rStyle w:val="ad"/>
          <w:rFonts w:ascii="楷体" w:eastAsia="楷体" w:hAnsi="楷体" w:hint="eastAsia"/>
          <w:spacing w:val="-4"/>
          <w:sz w:val="32"/>
          <w:szCs w:val="32"/>
        </w:rPr>
        <w:lastRenderedPageBreak/>
        <w:t>险与挑战。管理制度的健全性不仅体现在制度的完善上，还体现在制度的执行与监督上。我们建立了有效的监督机制与反馈机制，对项目的实施情况进行定期检查与评估，及时发现并纠正可能存在的问题。</w:t>
      </w:r>
      <w:r>
        <w:rPr>
          <w:rStyle w:val="ad"/>
          <w:rFonts w:ascii="楷体" w:eastAsia="楷体" w:hAnsi="楷体" w:hint="eastAsia"/>
          <w:spacing w:val="-4"/>
          <w:sz w:val="32"/>
          <w:szCs w:val="32"/>
        </w:rPr>
        <w:br/>
      </w:r>
      <w:r>
        <w:rPr>
          <w:rStyle w:val="ad"/>
          <w:rFonts w:ascii="楷体" w:eastAsia="楷体" w:hAnsi="楷体" w:hint="eastAsia"/>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Style w:val="ad"/>
          <w:rFonts w:ascii="楷体" w:eastAsia="楷体" w:hAnsi="楷体" w:hint="eastAsia"/>
          <w:spacing w:val="-4"/>
          <w:sz w:val="32"/>
          <w:szCs w:val="32"/>
        </w:rPr>
        <w:br/>
      </w:r>
      <w:r>
        <w:rPr>
          <w:rStyle w:val="ad"/>
          <w:rFonts w:ascii="楷体" w:eastAsia="楷体" w:hAnsi="楷体" w:hint="eastAsia"/>
          <w:spacing w:val="-4"/>
          <w:sz w:val="32"/>
          <w:szCs w:val="32"/>
        </w:rPr>
        <w:t>此项权重分值为</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）制度执行有效性</w:t>
      </w:r>
      <w:r>
        <w:rPr>
          <w:rStyle w:val="ad"/>
          <w:rFonts w:ascii="楷体" w:eastAsia="楷体" w:hAnsi="楷体" w:hint="eastAsia"/>
          <w:spacing w:val="-4"/>
          <w:sz w:val="32"/>
          <w:szCs w:val="32"/>
        </w:rPr>
        <w:br/>
      </w:r>
      <w:r>
        <w:rPr>
          <w:rStyle w:val="ad"/>
          <w:rFonts w:ascii="楷体" w:eastAsia="楷体" w:hAnsi="楷体" w:hint="eastAsia"/>
          <w:spacing w:val="-4"/>
          <w:sz w:val="32"/>
          <w:szCs w:val="32"/>
        </w:rPr>
        <w:t>本项目在执行过程中，管</w:t>
      </w:r>
      <w:r>
        <w:rPr>
          <w:rStyle w:val="ad"/>
          <w:rFonts w:ascii="楷体" w:eastAsia="楷体" w:hAnsi="楷体" w:hint="eastAsia"/>
          <w:spacing w:val="-4"/>
          <w:sz w:val="32"/>
          <w:szCs w:val="32"/>
        </w:rPr>
        <w:t>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Style w:val="ad"/>
          <w:rFonts w:ascii="楷体" w:eastAsia="楷体" w:hAnsi="楷体" w:hint="eastAsia"/>
          <w:spacing w:val="-4"/>
          <w:sz w:val="32"/>
          <w:szCs w:val="32"/>
        </w:rPr>
        <w:br/>
      </w:r>
      <w:r>
        <w:rPr>
          <w:rStyle w:val="ad"/>
          <w:rFonts w:ascii="楷体" w:eastAsia="楷体" w:hAnsi="楷体" w:hint="eastAsia"/>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Style w:val="ad"/>
          <w:rFonts w:ascii="楷体" w:eastAsia="楷体" w:hAnsi="楷体" w:hint="eastAsia"/>
          <w:spacing w:val="-4"/>
          <w:sz w:val="32"/>
          <w:szCs w:val="32"/>
        </w:rPr>
        <w:br/>
      </w:r>
      <w:r>
        <w:rPr>
          <w:rStyle w:val="ad"/>
          <w:rFonts w:ascii="楷体" w:eastAsia="楷体" w:hAnsi="楷体" w:hint="eastAsia"/>
          <w:spacing w:val="-4"/>
          <w:sz w:val="32"/>
          <w:szCs w:val="32"/>
        </w:rPr>
        <w:t>综上所述，本项目的管理制度在执行过程中表现出了高度的有效性，既确保了项目的顺利进行，又实现了项目目标的有效达成。</w:t>
      </w:r>
      <w:r>
        <w:rPr>
          <w:rStyle w:val="ad"/>
          <w:rFonts w:ascii="楷体" w:eastAsia="楷体" w:hAnsi="楷体" w:hint="eastAsia"/>
          <w:spacing w:val="-4"/>
          <w:sz w:val="32"/>
          <w:szCs w:val="32"/>
        </w:rPr>
        <w:br/>
      </w:r>
      <w:r>
        <w:rPr>
          <w:rStyle w:val="ad"/>
          <w:rFonts w:ascii="楷体" w:eastAsia="楷体" w:hAnsi="楷体" w:hint="eastAsia"/>
          <w:spacing w:val="-4"/>
          <w:sz w:val="32"/>
          <w:szCs w:val="32"/>
        </w:rPr>
        <w:t>此项权重分值为</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t>得分为</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分。</w:t>
      </w:r>
    </w:p>
    <w:p w:rsidR="002333BB" w:rsidRDefault="00E0500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2333BB" w:rsidRDefault="00E0500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w:t>
      </w:r>
      <w:r>
        <w:rPr>
          <w:rStyle w:val="ad"/>
          <w:rFonts w:ascii="楷体" w:eastAsia="楷体" w:hAnsi="楷体" w:hint="eastAsia"/>
          <w:spacing w:val="-4"/>
          <w:sz w:val="32"/>
          <w:szCs w:val="32"/>
        </w:rPr>
        <w:t>12</w:t>
      </w:r>
      <w:r>
        <w:rPr>
          <w:rStyle w:val="ad"/>
          <w:rFonts w:ascii="楷体" w:eastAsia="楷体" w:hAnsi="楷体" w:hint="eastAsia"/>
          <w:spacing w:val="-4"/>
          <w:sz w:val="32"/>
          <w:szCs w:val="32"/>
        </w:rPr>
        <w:t>个三级指标构成，权重分为</w:t>
      </w:r>
      <w:r>
        <w:rPr>
          <w:rStyle w:val="ad"/>
          <w:rFonts w:ascii="楷体" w:eastAsia="楷体" w:hAnsi="楷体" w:hint="eastAsia"/>
          <w:spacing w:val="-4"/>
          <w:sz w:val="32"/>
          <w:szCs w:val="32"/>
        </w:rPr>
        <w:t>40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lastRenderedPageBreak/>
        <w:t>实际得分</w:t>
      </w:r>
      <w:r>
        <w:rPr>
          <w:rStyle w:val="ad"/>
          <w:rFonts w:ascii="楷体" w:eastAsia="楷体" w:hAnsi="楷体" w:hint="eastAsia"/>
          <w:spacing w:val="-4"/>
          <w:sz w:val="32"/>
          <w:szCs w:val="32"/>
        </w:rPr>
        <w:t>39.67</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99.18%</w:t>
      </w:r>
      <w:r>
        <w:rPr>
          <w:rStyle w:val="ad"/>
          <w:rFonts w:ascii="楷体" w:eastAsia="楷体" w:hAnsi="楷体" w:hint="eastAsia"/>
          <w:spacing w:val="-4"/>
          <w:sz w:val="32"/>
          <w:szCs w:val="32"/>
        </w:rPr>
        <w:t>。具体产出指标完成情况如下：</w:t>
      </w:r>
      <w:r>
        <w:rPr>
          <w:rStyle w:val="ad"/>
          <w:rFonts w:ascii="楷体" w:eastAsia="楷体" w:hAnsi="楷体" w:hint="eastAsia"/>
          <w:spacing w:val="-4"/>
          <w:sz w:val="32"/>
          <w:szCs w:val="32"/>
        </w:rPr>
        <w:br/>
      </w:r>
      <w:r>
        <w:rPr>
          <w:rStyle w:val="ad"/>
          <w:rFonts w:ascii="楷体" w:eastAsia="楷体" w:hAnsi="楷体" w:hint="eastAsia"/>
          <w:spacing w:val="-4"/>
          <w:sz w:val="32"/>
          <w:szCs w:val="32"/>
        </w:rPr>
        <w:t>①数量指标：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：补贴农机具数量，指标值：</w:t>
      </w:r>
      <w:r>
        <w:rPr>
          <w:rStyle w:val="ad"/>
          <w:rFonts w:ascii="楷体" w:eastAsia="楷体" w:hAnsi="楷体" w:hint="eastAsia"/>
          <w:spacing w:val="-4"/>
          <w:sz w:val="32"/>
          <w:szCs w:val="32"/>
        </w:rPr>
        <w:t>&gt;=883</w:t>
      </w:r>
      <w:r>
        <w:rPr>
          <w:rStyle w:val="ad"/>
          <w:rFonts w:ascii="楷体" w:eastAsia="楷体" w:hAnsi="楷体" w:hint="eastAsia"/>
          <w:spacing w:val="-4"/>
          <w:sz w:val="32"/>
          <w:szCs w:val="32"/>
        </w:rPr>
        <w:t>台（套），实际完成值</w:t>
      </w:r>
      <w:r>
        <w:rPr>
          <w:rStyle w:val="ad"/>
          <w:rFonts w:ascii="楷体" w:eastAsia="楷体" w:hAnsi="楷体" w:hint="eastAsia"/>
          <w:spacing w:val="-4"/>
          <w:sz w:val="32"/>
          <w:szCs w:val="32"/>
        </w:rPr>
        <w:t>1270</w:t>
      </w:r>
      <w:r>
        <w:rPr>
          <w:rStyle w:val="ad"/>
          <w:rFonts w:ascii="楷体" w:eastAsia="楷体" w:hAnsi="楷体" w:hint="eastAsia"/>
          <w:spacing w:val="-4"/>
          <w:sz w:val="32"/>
          <w:szCs w:val="32"/>
        </w:rPr>
        <w:t>台（套），指标完成率</w:t>
      </w:r>
      <w:r>
        <w:rPr>
          <w:rStyle w:val="ad"/>
          <w:rFonts w:ascii="楷体" w:eastAsia="楷体" w:hAnsi="楷体" w:hint="eastAsia"/>
          <w:spacing w:val="-4"/>
          <w:sz w:val="32"/>
          <w:szCs w:val="32"/>
        </w:rPr>
        <w:t>143.83%</w:t>
      </w:r>
      <w:r>
        <w:rPr>
          <w:rStyle w:val="ad"/>
          <w:rFonts w:ascii="楷体" w:eastAsia="楷体" w:hAnsi="楷体" w:hint="eastAsia"/>
          <w:spacing w:val="-4"/>
          <w:sz w:val="32"/>
          <w:szCs w:val="32"/>
        </w:rPr>
        <w:t>，偏差原因：农机购置补贴政策力度大，农民对新型农业机械购买积极性高，改进措施：加强落实政策缩范围流程，优化补贴范围。</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：补贴补短板重点机械数量，指标值：</w:t>
      </w:r>
      <w:r>
        <w:rPr>
          <w:rStyle w:val="ad"/>
          <w:rFonts w:ascii="楷体" w:eastAsia="楷体" w:hAnsi="楷体" w:hint="eastAsia"/>
          <w:spacing w:val="-4"/>
          <w:sz w:val="32"/>
          <w:szCs w:val="32"/>
        </w:rPr>
        <w:t>&gt;=88</w:t>
      </w:r>
      <w:r>
        <w:rPr>
          <w:rStyle w:val="ad"/>
          <w:rFonts w:ascii="楷体" w:eastAsia="楷体" w:hAnsi="楷体" w:hint="eastAsia"/>
          <w:spacing w:val="-4"/>
          <w:sz w:val="32"/>
          <w:szCs w:val="32"/>
        </w:rPr>
        <w:t>台，实际完成值</w:t>
      </w:r>
      <w:r>
        <w:rPr>
          <w:rStyle w:val="ad"/>
          <w:rFonts w:ascii="楷体" w:eastAsia="楷体" w:hAnsi="楷体" w:hint="eastAsia"/>
          <w:spacing w:val="-4"/>
          <w:sz w:val="32"/>
          <w:szCs w:val="32"/>
        </w:rPr>
        <w:t>130</w:t>
      </w:r>
      <w:r>
        <w:rPr>
          <w:rStyle w:val="ad"/>
          <w:rFonts w:ascii="楷体" w:eastAsia="楷体" w:hAnsi="楷体" w:hint="eastAsia"/>
          <w:spacing w:val="-4"/>
          <w:sz w:val="32"/>
          <w:szCs w:val="32"/>
        </w:rPr>
        <w:t>台，指标完成率</w:t>
      </w:r>
      <w:r>
        <w:rPr>
          <w:rStyle w:val="ad"/>
          <w:rFonts w:ascii="楷体" w:eastAsia="楷体" w:hAnsi="楷体" w:hint="eastAsia"/>
          <w:spacing w:val="-4"/>
          <w:sz w:val="32"/>
          <w:szCs w:val="32"/>
        </w:rPr>
        <w:t>147.73%</w:t>
      </w:r>
      <w:r>
        <w:rPr>
          <w:rStyle w:val="ad"/>
          <w:rFonts w:ascii="楷体" w:eastAsia="楷体" w:hAnsi="楷体" w:hint="eastAsia"/>
          <w:spacing w:val="-4"/>
          <w:sz w:val="32"/>
          <w:szCs w:val="32"/>
        </w:rPr>
        <w:t>，偏差原因：政策实施年度内加大补短板机具补贴力度，农民购买新机积极性高；改进措施：加强落实政策缩范围流程，优化补贴范围。</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3</w:t>
      </w:r>
      <w:r>
        <w:rPr>
          <w:rStyle w:val="ad"/>
          <w:rFonts w:ascii="楷体" w:eastAsia="楷体" w:hAnsi="楷体" w:hint="eastAsia"/>
          <w:spacing w:val="-4"/>
          <w:sz w:val="32"/>
          <w:szCs w:val="32"/>
        </w:rPr>
        <w:t>：续建农业产业强镇数量，指标值：</w:t>
      </w:r>
      <w:r>
        <w:rPr>
          <w:rStyle w:val="ad"/>
          <w:rFonts w:ascii="楷体" w:eastAsia="楷体" w:hAnsi="楷体" w:hint="eastAsia"/>
          <w:spacing w:val="-4"/>
          <w:sz w:val="32"/>
          <w:szCs w:val="32"/>
        </w:rPr>
        <w:t>&gt;=1</w:t>
      </w:r>
      <w:r>
        <w:rPr>
          <w:rStyle w:val="ad"/>
          <w:rFonts w:ascii="楷体" w:eastAsia="楷体" w:hAnsi="楷体" w:hint="eastAsia"/>
          <w:spacing w:val="-4"/>
          <w:sz w:val="32"/>
          <w:szCs w:val="32"/>
        </w:rPr>
        <w:t>个，实际完成值</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个，指标完成率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：农业产业强镇培育主导产业数量，指标值：</w:t>
      </w:r>
      <w:r>
        <w:rPr>
          <w:rStyle w:val="ad"/>
          <w:rFonts w:ascii="楷体" w:eastAsia="楷体" w:hAnsi="楷体" w:hint="eastAsia"/>
          <w:spacing w:val="-4"/>
          <w:sz w:val="32"/>
          <w:szCs w:val="32"/>
        </w:rPr>
        <w:t>&gt;=1</w:t>
      </w:r>
      <w:r>
        <w:rPr>
          <w:rStyle w:val="ad"/>
          <w:rFonts w:ascii="楷体" w:eastAsia="楷体" w:hAnsi="楷体" w:hint="eastAsia"/>
          <w:spacing w:val="-4"/>
          <w:sz w:val="32"/>
          <w:szCs w:val="32"/>
        </w:rPr>
        <w:t>个，实际完成值</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个，指标完成率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5</w:t>
      </w:r>
      <w:r>
        <w:rPr>
          <w:rStyle w:val="ad"/>
          <w:rFonts w:ascii="楷体" w:eastAsia="楷体" w:hAnsi="楷体" w:hint="eastAsia"/>
          <w:spacing w:val="-4"/>
          <w:sz w:val="32"/>
          <w:szCs w:val="32"/>
        </w:rPr>
        <w:t>：粮改饲结构调整面积，指标值：</w:t>
      </w:r>
      <w:r>
        <w:rPr>
          <w:rStyle w:val="ad"/>
          <w:rFonts w:ascii="楷体" w:eastAsia="楷体" w:hAnsi="楷体" w:hint="eastAsia"/>
          <w:spacing w:val="-4"/>
          <w:sz w:val="32"/>
          <w:szCs w:val="32"/>
        </w:rPr>
        <w:t>&gt;=0.30</w:t>
      </w:r>
      <w:r>
        <w:rPr>
          <w:rStyle w:val="ad"/>
          <w:rFonts w:ascii="楷体" w:eastAsia="楷体" w:hAnsi="楷体" w:hint="eastAsia"/>
          <w:spacing w:val="-4"/>
          <w:sz w:val="32"/>
          <w:szCs w:val="32"/>
        </w:rPr>
        <w:t>万亩，实际完成值</w:t>
      </w:r>
      <w:r>
        <w:rPr>
          <w:rStyle w:val="ad"/>
          <w:rFonts w:ascii="楷体" w:eastAsia="楷体" w:hAnsi="楷体" w:hint="eastAsia"/>
          <w:spacing w:val="-4"/>
          <w:sz w:val="32"/>
          <w:szCs w:val="32"/>
        </w:rPr>
        <w:t>0.30</w:t>
      </w:r>
      <w:r>
        <w:rPr>
          <w:rStyle w:val="ad"/>
          <w:rFonts w:ascii="楷体" w:eastAsia="楷体" w:hAnsi="楷体" w:hint="eastAsia"/>
          <w:spacing w:val="-4"/>
          <w:sz w:val="32"/>
          <w:szCs w:val="32"/>
        </w:rPr>
        <w:t>万亩，指标完成率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此项权重分值为</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②质量指标：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：补贴发放覆盖率，指标值：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：产业强镇项目认定通过率，指标值：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3</w:t>
      </w:r>
      <w:r>
        <w:rPr>
          <w:rStyle w:val="ad"/>
          <w:rFonts w:ascii="楷体" w:eastAsia="楷体" w:hAnsi="楷体" w:hint="eastAsia"/>
          <w:spacing w:val="-4"/>
          <w:sz w:val="32"/>
          <w:szCs w:val="32"/>
        </w:rPr>
        <w:t>：粮改饲资金使用合规率，指标值：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此项权重分值为</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③时效指标：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：资金支付及时率，指标值：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此项权重分值为</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分。</w:t>
      </w:r>
      <w:r>
        <w:rPr>
          <w:rStyle w:val="ad"/>
          <w:rFonts w:ascii="楷体" w:eastAsia="楷体" w:hAnsi="楷体" w:hint="eastAsia"/>
          <w:spacing w:val="-4"/>
          <w:sz w:val="32"/>
          <w:szCs w:val="32"/>
        </w:rPr>
        <w:br/>
      </w:r>
      <w:r>
        <w:rPr>
          <w:rStyle w:val="ad"/>
          <w:rFonts w:ascii="楷体" w:eastAsia="楷体" w:hAnsi="楷体" w:hint="eastAsia"/>
          <w:spacing w:val="-4"/>
          <w:sz w:val="32"/>
          <w:szCs w:val="32"/>
        </w:rPr>
        <w:t>④成本指标：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：补贴</w:t>
      </w:r>
      <w:r>
        <w:rPr>
          <w:rStyle w:val="ad"/>
          <w:rFonts w:ascii="楷体" w:eastAsia="楷体" w:hAnsi="楷体" w:hint="eastAsia"/>
          <w:spacing w:val="-4"/>
          <w:sz w:val="32"/>
          <w:szCs w:val="32"/>
        </w:rPr>
        <w:t>各类农机具成本，指标值：</w:t>
      </w:r>
      <w:r>
        <w:rPr>
          <w:rStyle w:val="ad"/>
          <w:rFonts w:ascii="楷体" w:eastAsia="楷体" w:hAnsi="楷体" w:hint="eastAsia"/>
          <w:spacing w:val="-4"/>
          <w:sz w:val="32"/>
          <w:szCs w:val="32"/>
        </w:rPr>
        <w:t>&lt;=2024.1</w:t>
      </w:r>
      <w:r>
        <w:rPr>
          <w:rStyle w:val="ad"/>
          <w:rFonts w:ascii="楷体" w:eastAsia="楷体" w:hAnsi="楷体" w:hint="eastAsia"/>
          <w:spacing w:val="-4"/>
          <w:sz w:val="32"/>
          <w:szCs w:val="32"/>
        </w:rPr>
        <w:t>万元，实际完成值</w:t>
      </w:r>
      <w:r>
        <w:rPr>
          <w:rStyle w:val="ad"/>
          <w:rFonts w:ascii="楷体" w:eastAsia="楷体" w:hAnsi="楷体" w:hint="eastAsia"/>
          <w:spacing w:val="-4"/>
          <w:sz w:val="32"/>
          <w:szCs w:val="32"/>
        </w:rPr>
        <w:t>2024.1</w:t>
      </w:r>
      <w:r>
        <w:rPr>
          <w:rStyle w:val="ad"/>
          <w:rFonts w:ascii="楷体" w:eastAsia="楷体" w:hAnsi="楷体" w:hint="eastAsia"/>
          <w:spacing w:val="-4"/>
          <w:sz w:val="32"/>
          <w:szCs w:val="32"/>
        </w:rPr>
        <w:t>万元，指标完成率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：续建农业产业强镇成本，指标值：</w:t>
      </w:r>
      <w:r>
        <w:rPr>
          <w:rStyle w:val="ad"/>
          <w:rFonts w:ascii="楷体" w:eastAsia="楷体" w:hAnsi="楷体" w:hint="eastAsia"/>
          <w:spacing w:val="-4"/>
          <w:sz w:val="32"/>
          <w:szCs w:val="32"/>
        </w:rPr>
        <w:t>&lt;=700</w:t>
      </w:r>
      <w:r>
        <w:rPr>
          <w:rStyle w:val="ad"/>
          <w:rFonts w:ascii="楷体" w:eastAsia="楷体" w:hAnsi="楷体" w:hint="eastAsia"/>
          <w:spacing w:val="-4"/>
          <w:sz w:val="32"/>
          <w:szCs w:val="32"/>
        </w:rPr>
        <w:t>万元，实际完成值</w:t>
      </w:r>
      <w:r>
        <w:rPr>
          <w:rStyle w:val="ad"/>
          <w:rFonts w:ascii="楷体" w:eastAsia="楷体" w:hAnsi="楷体" w:hint="eastAsia"/>
          <w:spacing w:val="-4"/>
          <w:sz w:val="32"/>
          <w:szCs w:val="32"/>
        </w:rPr>
        <w:t>630</w:t>
      </w:r>
      <w:r>
        <w:rPr>
          <w:rStyle w:val="ad"/>
          <w:rFonts w:ascii="楷体" w:eastAsia="楷体" w:hAnsi="楷体" w:hint="eastAsia"/>
          <w:spacing w:val="-4"/>
          <w:sz w:val="32"/>
          <w:szCs w:val="32"/>
        </w:rPr>
        <w:t>万元，指标完成率</w:t>
      </w:r>
      <w:r>
        <w:rPr>
          <w:rStyle w:val="ad"/>
          <w:rFonts w:ascii="楷体" w:eastAsia="楷体" w:hAnsi="楷体" w:hint="eastAsia"/>
          <w:spacing w:val="-4"/>
          <w:sz w:val="32"/>
          <w:szCs w:val="32"/>
        </w:rPr>
        <w:t>90%</w:t>
      </w:r>
      <w:r>
        <w:rPr>
          <w:rStyle w:val="ad"/>
          <w:rFonts w:ascii="楷体" w:eastAsia="楷体" w:hAnsi="楷体" w:hint="eastAsia"/>
          <w:spacing w:val="-4"/>
          <w:sz w:val="32"/>
          <w:szCs w:val="32"/>
        </w:rPr>
        <w:t>。偏差原因；项目承建单位未能及时提供资金支付手续，导致项目资金未能执行。改进措施：加大落实力度，规定时效目标。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3</w:t>
      </w:r>
      <w:r>
        <w:rPr>
          <w:rStyle w:val="ad"/>
          <w:rFonts w:ascii="楷体" w:eastAsia="楷体" w:hAnsi="楷体" w:hint="eastAsia"/>
          <w:spacing w:val="-4"/>
          <w:sz w:val="32"/>
          <w:szCs w:val="32"/>
        </w:rPr>
        <w:t>：粮改饲成本，指标值：</w:t>
      </w:r>
      <w:r>
        <w:rPr>
          <w:rStyle w:val="ad"/>
          <w:rFonts w:ascii="楷体" w:eastAsia="楷体" w:hAnsi="楷体" w:hint="eastAsia"/>
          <w:spacing w:val="-4"/>
          <w:sz w:val="32"/>
          <w:szCs w:val="32"/>
        </w:rPr>
        <w:t>&lt;=48.45</w:t>
      </w:r>
      <w:r>
        <w:rPr>
          <w:rStyle w:val="ad"/>
          <w:rFonts w:ascii="楷体" w:eastAsia="楷体" w:hAnsi="楷体" w:hint="eastAsia"/>
          <w:spacing w:val="-4"/>
          <w:sz w:val="32"/>
          <w:szCs w:val="32"/>
        </w:rPr>
        <w:t>万元，实际完成值</w:t>
      </w:r>
      <w:r>
        <w:rPr>
          <w:rStyle w:val="ad"/>
          <w:rFonts w:ascii="楷体" w:eastAsia="楷体" w:hAnsi="楷体" w:hint="eastAsia"/>
          <w:spacing w:val="-4"/>
          <w:sz w:val="32"/>
          <w:szCs w:val="32"/>
        </w:rPr>
        <w:t>48.45</w:t>
      </w:r>
      <w:r>
        <w:rPr>
          <w:rStyle w:val="ad"/>
          <w:rFonts w:ascii="楷体" w:eastAsia="楷体" w:hAnsi="楷体" w:hint="eastAsia"/>
          <w:spacing w:val="-4"/>
          <w:sz w:val="32"/>
          <w:szCs w:val="32"/>
        </w:rPr>
        <w:t>万元，指标完成率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此项权重分值为</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9.67</w:t>
      </w:r>
      <w:r>
        <w:rPr>
          <w:rStyle w:val="ad"/>
          <w:rFonts w:ascii="楷体" w:eastAsia="楷体" w:hAnsi="楷体" w:hint="eastAsia"/>
          <w:spacing w:val="-4"/>
          <w:sz w:val="32"/>
          <w:szCs w:val="32"/>
        </w:rPr>
        <w:t>分。</w:t>
      </w:r>
    </w:p>
    <w:p w:rsidR="002333BB" w:rsidRDefault="00E0500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2333BB" w:rsidRDefault="00E0500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w:t>
      </w:r>
      <w:r>
        <w:rPr>
          <w:rStyle w:val="ad"/>
          <w:rFonts w:ascii="楷体" w:eastAsia="楷体" w:hAnsi="楷体" w:hint="eastAsia"/>
          <w:spacing w:val="-4"/>
          <w:sz w:val="32"/>
          <w:szCs w:val="32"/>
        </w:rPr>
        <w:t>由</w:t>
      </w:r>
      <w:r>
        <w:rPr>
          <w:rStyle w:val="ad"/>
          <w:rFonts w:ascii="楷体" w:eastAsia="楷体" w:hAnsi="楷体" w:hint="eastAsia"/>
          <w:spacing w:val="-4"/>
          <w:sz w:val="32"/>
          <w:szCs w:val="32"/>
        </w:rPr>
        <w:t>4</w:t>
      </w:r>
      <w:r>
        <w:rPr>
          <w:rStyle w:val="ad"/>
          <w:rFonts w:ascii="楷体" w:eastAsia="楷体" w:hAnsi="楷体" w:hint="eastAsia"/>
          <w:spacing w:val="-4"/>
          <w:sz w:val="32"/>
          <w:szCs w:val="32"/>
        </w:rPr>
        <w:t>个三级指标构成，权重分为</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分，实际得分</w:t>
      </w:r>
      <w:r>
        <w:rPr>
          <w:rStyle w:val="ad"/>
          <w:rFonts w:ascii="楷体" w:eastAsia="楷体" w:hAnsi="楷体" w:hint="eastAsia"/>
          <w:spacing w:val="-4"/>
          <w:sz w:val="32"/>
          <w:szCs w:val="32"/>
        </w:rPr>
        <w:t>20</w:t>
      </w:r>
      <w:r>
        <w:rPr>
          <w:rStyle w:val="ad"/>
          <w:rFonts w:ascii="楷体" w:eastAsia="楷体" w:hAnsi="楷体" w:hint="eastAsia"/>
          <w:spacing w:val="-4"/>
          <w:sz w:val="32"/>
          <w:szCs w:val="32"/>
        </w:rPr>
        <w:t>分，得分率为</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。具体效益指标及满意度指标完成情况如下：</w:t>
      </w:r>
      <w:r>
        <w:rPr>
          <w:rStyle w:val="ad"/>
          <w:rFonts w:ascii="楷体" w:eastAsia="楷体" w:hAnsi="楷体" w:hint="eastAsia"/>
          <w:spacing w:val="-4"/>
          <w:sz w:val="32"/>
          <w:szCs w:val="32"/>
        </w:rPr>
        <w:br/>
        <w:t>1.</w:t>
      </w:r>
      <w:r>
        <w:rPr>
          <w:rStyle w:val="ad"/>
          <w:rFonts w:ascii="楷体" w:eastAsia="楷体" w:hAnsi="楷体" w:hint="eastAsia"/>
          <w:spacing w:val="-4"/>
          <w:sz w:val="32"/>
          <w:szCs w:val="32"/>
        </w:rPr>
        <w:t>实施效益</w:t>
      </w:r>
      <w:r>
        <w:rPr>
          <w:rStyle w:val="ad"/>
          <w:rFonts w:ascii="楷体" w:eastAsia="楷体" w:hAnsi="楷体" w:hint="eastAsia"/>
          <w:spacing w:val="-4"/>
          <w:sz w:val="32"/>
          <w:szCs w:val="32"/>
        </w:rPr>
        <w:br/>
      </w:r>
      <w:r>
        <w:rPr>
          <w:rStyle w:val="ad"/>
          <w:rFonts w:ascii="楷体" w:eastAsia="楷体" w:hAnsi="楷体" w:hint="eastAsia"/>
          <w:spacing w:val="-4"/>
          <w:sz w:val="32"/>
          <w:szCs w:val="32"/>
        </w:rPr>
        <w:t>①社会效益指标：</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：产业强镇带动从业农民人数，指标值：</w:t>
      </w:r>
      <w:r>
        <w:rPr>
          <w:rStyle w:val="ad"/>
          <w:rFonts w:ascii="楷体" w:eastAsia="楷体" w:hAnsi="楷体" w:hint="eastAsia"/>
          <w:spacing w:val="-4"/>
          <w:sz w:val="32"/>
          <w:szCs w:val="32"/>
        </w:rPr>
        <w:t>&gt;=500</w:t>
      </w:r>
      <w:r>
        <w:rPr>
          <w:rStyle w:val="ad"/>
          <w:rFonts w:ascii="楷体" w:eastAsia="楷体" w:hAnsi="楷体" w:hint="eastAsia"/>
          <w:spacing w:val="-4"/>
          <w:sz w:val="32"/>
          <w:szCs w:val="32"/>
        </w:rPr>
        <w:t>人，实际完成值</w:t>
      </w:r>
      <w:r>
        <w:rPr>
          <w:rStyle w:val="ad"/>
          <w:rFonts w:ascii="楷体" w:eastAsia="楷体" w:hAnsi="楷体" w:hint="eastAsia"/>
          <w:spacing w:val="-4"/>
          <w:sz w:val="32"/>
          <w:szCs w:val="32"/>
        </w:rPr>
        <w:t>500</w:t>
      </w:r>
      <w:r>
        <w:rPr>
          <w:rStyle w:val="ad"/>
          <w:rFonts w:ascii="楷体" w:eastAsia="楷体" w:hAnsi="楷体" w:hint="eastAsia"/>
          <w:spacing w:val="-4"/>
          <w:sz w:val="32"/>
          <w:szCs w:val="32"/>
        </w:rPr>
        <w:t>人，指标完成率</w:t>
      </w:r>
      <w:r>
        <w:rPr>
          <w:rStyle w:val="ad"/>
          <w:rFonts w:ascii="楷体" w:eastAsia="楷体" w:hAnsi="楷体" w:hint="eastAsia"/>
          <w:spacing w:val="-4"/>
          <w:sz w:val="32"/>
          <w:szCs w:val="32"/>
        </w:rPr>
        <w:t>100%</w:t>
      </w:r>
      <w:r>
        <w:rPr>
          <w:rStyle w:val="ad"/>
          <w:rFonts w:ascii="楷体" w:eastAsia="楷体" w:hAnsi="楷体" w:hint="eastAsia"/>
          <w:spacing w:val="-4"/>
          <w:sz w:val="32"/>
          <w:szCs w:val="32"/>
        </w:rPr>
        <w:t>。</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2</w:t>
      </w:r>
      <w:r>
        <w:rPr>
          <w:rStyle w:val="ad"/>
          <w:rFonts w:ascii="楷体" w:eastAsia="楷体" w:hAnsi="楷体" w:hint="eastAsia"/>
          <w:spacing w:val="-4"/>
          <w:sz w:val="32"/>
          <w:szCs w:val="32"/>
        </w:rPr>
        <w:t>：农机购置与应用补贴直接受益户数，指标值：</w:t>
      </w:r>
      <w:r>
        <w:rPr>
          <w:rStyle w:val="ad"/>
          <w:rFonts w:ascii="楷体" w:eastAsia="楷体" w:hAnsi="楷体" w:hint="eastAsia"/>
          <w:spacing w:val="-4"/>
          <w:sz w:val="32"/>
          <w:szCs w:val="32"/>
        </w:rPr>
        <w:t>&gt;=508</w:t>
      </w:r>
      <w:r>
        <w:rPr>
          <w:rStyle w:val="ad"/>
          <w:rFonts w:ascii="楷体" w:eastAsia="楷体" w:hAnsi="楷体" w:hint="eastAsia"/>
          <w:spacing w:val="-4"/>
          <w:sz w:val="32"/>
          <w:szCs w:val="32"/>
        </w:rPr>
        <w:t>户，实际完成值</w:t>
      </w:r>
      <w:r>
        <w:rPr>
          <w:rStyle w:val="ad"/>
          <w:rFonts w:ascii="楷体" w:eastAsia="楷体" w:hAnsi="楷体" w:hint="eastAsia"/>
          <w:spacing w:val="-4"/>
          <w:sz w:val="32"/>
          <w:szCs w:val="32"/>
        </w:rPr>
        <w:t>798</w:t>
      </w:r>
      <w:r>
        <w:rPr>
          <w:rStyle w:val="ad"/>
          <w:rFonts w:ascii="楷体" w:eastAsia="楷体" w:hAnsi="楷体" w:hint="eastAsia"/>
          <w:spacing w:val="-4"/>
          <w:sz w:val="32"/>
          <w:szCs w:val="32"/>
        </w:rPr>
        <w:t>人，指标完成率</w:t>
      </w:r>
      <w:r>
        <w:rPr>
          <w:rStyle w:val="ad"/>
          <w:rFonts w:ascii="楷体" w:eastAsia="楷体" w:hAnsi="楷体" w:hint="eastAsia"/>
          <w:spacing w:val="-4"/>
          <w:sz w:val="32"/>
          <w:szCs w:val="32"/>
        </w:rPr>
        <w:t>157.08%</w:t>
      </w:r>
      <w:r>
        <w:rPr>
          <w:rStyle w:val="ad"/>
          <w:rFonts w:ascii="楷体" w:eastAsia="楷体" w:hAnsi="楷体" w:hint="eastAsia"/>
          <w:spacing w:val="-4"/>
          <w:sz w:val="32"/>
          <w:szCs w:val="32"/>
        </w:rPr>
        <w:t>，偏差原因：农机购置</w:t>
      </w:r>
      <w:r>
        <w:rPr>
          <w:rStyle w:val="ad"/>
          <w:rFonts w:ascii="楷体" w:eastAsia="楷体" w:hAnsi="楷体" w:hint="eastAsia"/>
          <w:spacing w:val="-4"/>
          <w:sz w:val="32"/>
          <w:szCs w:val="32"/>
        </w:rPr>
        <w:lastRenderedPageBreak/>
        <w:t>补贴政策力度大，农民对新型农业机械购买积极性高。改进措施：加强落实政策缩范围流程，优化补贴范围。</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3</w:t>
      </w:r>
      <w:r>
        <w:rPr>
          <w:rStyle w:val="ad"/>
          <w:rFonts w:ascii="楷体" w:eastAsia="楷体" w:hAnsi="楷体" w:hint="eastAsia"/>
          <w:spacing w:val="-4"/>
          <w:sz w:val="32"/>
          <w:szCs w:val="32"/>
        </w:rPr>
        <w:t>：农作物耕种收综合机械化率，指标值：</w:t>
      </w:r>
      <w:r>
        <w:rPr>
          <w:rStyle w:val="ad"/>
          <w:rFonts w:ascii="楷体" w:eastAsia="楷体" w:hAnsi="楷体" w:hint="eastAsia"/>
          <w:spacing w:val="-4"/>
          <w:sz w:val="32"/>
          <w:szCs w:val="32"/>
        </w:rPr>
        <w:t>&gt;=9</w:t>
      </w:r>
      <w:r>
        <w:rPr>
          <w:rStyle w:val="ad"/>
          <w:rFonts w:ascii="楷体" w:eastAsia="楷体" w:hAnsi="楷体" w:hint="eastAsia"/>
          <w:spacing w:val="-4"/>
          <w:sz w:val="32"/>
          <w:szCs w:val="32"/>
        </w:rPr>
        <w:t>4%</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98.73%</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105.03%</w:t>
      </w:r>
      <w:r>
        <w:rPr>
          <w:rStyle w:val="ad"/>
          <w:rFonts w:ascii="楷体" w:eastAsia="楷体" w:hAnsi="楷体" w:hint="eastAsia"/>
          <w:spacing w:val="-4"/>
          <w:sz w:val="32"/>
          <w:szCs w:val="32"/>
        </w:rPr>
        <w:t>，偏差原因为：农机购置补贴政策力度大，农民对新型农业机械购买积极性高，有效促进了农业现代化发展。改进措施：加强落实政策缩范围流程，优化补贴范围。</w:t>
      </w:r>
      <w:r>
        <w:rPr>
          <w:rStyle w:val="ad"/>
          <w:rFonts w:ascii="楷体" w:eastAsia="楷体" w:hAnsi="楷体" w:hint="eastAsia"/>
          <w:spacing w:val="-4"/>
          <w:sz w:val="32"/>
          <w:szCs w:val="32"/>
        </w:rPr>
        <w:br/>
      </w:r>
      <w:r>
        <w:rPr>
          <w:rStyle w:val="ad"/>
          <w:rFonts w:ascii="楷体" w:eastAsia="楷体" w:hAnsi="楷体" w:hint="eastAsia"/>
          <w:spacing w:val="-4"/>
          <w:sz w:val="32"/>
          <w:szCs w:val="32"/>
        </w:rPr>
        <w:t>此项权重分值为</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分。</w:t>
      </w:r>
    </w:p>
    <w:p w:rsidR="002333BB" w:rsidRDefault="00E05007">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2.</w:t>
      </w:r>
      <w:r>
        <w:rPr>
          <w:rStyle w:val="ad"/>
          <w:rFonts w:ascii="楷体" w:eastAsia="楷体" w:hAnsi="楷体" w:hint="eastAsia"/>
          <w:spacing w:val="-4"/>
          <w:sz w:val="32"/>
          <w:szCs w:val="32"/>
        </w:rPr>
        <w:t>满意度</w:t>
      </w:r>
      <w:r>
        <w:rPr>
          <w:rStyle w:val="ad"/>
          <w:rFonts w:ascii="楷体" w:eastAsia="楷体" w:hAnsi="楷体" w:hint="eastAsia"/>
          <w:spacing w:val="-4"/>
          <w:sz w:val="32"/>
          <w:szCs w:val="32"/>
        </w:rPr>
        <w:br/>
      </w:r>
      <w:r>
        <w:rPr>
          <w:rStyle w:val="ad"/>
          <w:rFonts w:ascii="楷体" w:eastAsia="楷体" w:hAnsi="楷体" w:hint="eastAsia"/>
          <w:spacing w:val="-4"/>
          <w:sz w:val="32"/>
          <w:szCs w:val="32"/>
        </w:rPr>
        <w:t>指标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：受益农牧民满意度，指标值：</w:t>
      </w:r>
      <w:r>
        <w:rPr>
          <w:rStyle w:val="ad"/>
          <w:rFonts w:ascii="楷体" w:eastAsia="楷体" w:hAnsi="楷体" w:hint="eastAsia"/>
          <w:spacing w:val="-4"/>
          <w:sz w:val="32"/>
          <w:szCs w:val="32"/>
        </w:rPr>
        <w:t>&gt;=95%</w:t>
      </w:r>
      <w:r>
        <w:rPr>
          <w:rStyle w:val="ad"/>
          <w:rFonts w:ascii="楷体" w:eastAsia="楷体" w:hAnsi="楷体" w:hint="eastAsia"/>
          <w:spacing w:val="-4"/>
          <w:sz w:val="32"/>
          <w:szCs w:val="32"/>
        </w:rPr>
        <w:t>，实际完成值</w:t>
      </w:r>
      <w:r>
        <w:rPr>
          <w:rStyle w:val="ad"/>
          <w:rFonts w:ascii="楷体" w:eastAsia="楷体" w:hAnsi="楷体" w:hint="eastAsia"/>
          <w:spacing w:val="-4"/>
          <w:sz w:val="32"/>
          <w:szCs w:val="32"/>
        </w:rPr>
        <w:t>98%</w:t>
      </w:r>
      <w:r>
        <w:rPr>
          <w:rStyle w:val="ad"/>
          <w:rFonts w:ascii="楷体" w:eastAsia="楷体" w:hAnsi="楷体" w:hint="eastAsia"/>
          <w:spacing w:val="-4"/>
          <w:sz w:val="32"/>
          <w:szCs w:val="32"/>
        </w:rPr>
        <w:t>，指标完成率</w:t>
      </w:r>
      <w:r>
        <w:rPr>
          <w:rStyle w:val="ad"/>
          <w:rFonts w:ascii="楷体" w:eastAsia="楷体" w:hAnsi="楷体" w:hint="eastAsia"/>
          <w:spacing w:val="-4"/>
          <w:sz w:val="32"/>
          <w:szCs w:val="32"/>
        </w:rPr>
        <w:t>103.16%</w:t>
      </w:r>
      <w:r>
        <w:rPr>
          <w:rStyle w:val="ad"/>
          <w:rFonts w:ascii="楷体" w:eastAsia="楷体" w:hAnsi="楷体" w:hint="eastAsia"/>
          <w:spacing w:val="-4"/>
          <w:sz w:val="32"/>
          <w:szCs w:val="32"/>
        </w:rPr>
        <w:t>，偏差原因：农机购置补贴政策力度大，兑付及时，受益户满意度大大提高。改进措施：进一步加大政策宣传力度，提高政策知晓覆盖度。</w:t>
      </w:r>
      <w:r>
        <w:rPr>
          <w:rStyle w:val="ad"/>
          <w:rFonts w:ascii="楷体" w:eastAsia="楷体" w:hAnsi="楷体" w:hint="eastAsia"/>
          <w:spacing w:val="-4"/>
          <w:sz w:val="32"/>
          <w:szCs w:val="32"/>
        </w:rPr>
        <w:br/>
      </w:r>
      <w:r>
        <w:rPr>
          <w:rStyle w:val="ad"/>
          <w:rFonts w:ascii="楷体" w:eastAsia="楷体" w:hAnsi="楷体" w:hint="eastAsia"/>
          <w:spacing w:val="-4"/>
          <w:sz w:val="32"/>
          <w:szCs w:val="32"/>
        </w:rPr>
        <w:t>此项权重分值为</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分，得分为</w:t>
      </w:r>
      <w:r>
        <w:rPr>
          <w:rStyle w:val="ad"/>
          <w:rFonts w:ascii="楷体" w:eastAsia="楷体" w:hAnsi="楷体" w:hint="eastAsia"/>
          <w:spacing w:val="-4"/>
          <w:sz w:val="32"/>
          <w:szCs w:val="32"/>
        </w:rPr>
        <w:t>10</w:t>
      </w:r>
      <w:r>
        <w:rPr>
          <w:rStyle w:val="ad"/>
          <w:rFonts w:ascii="楷体" w:eastAsia="楷体" w:hAnsi="楷体" w:hint="eastAsia"/>
          <w:spacing w:val="-4"/>
          <w:sz w:val="32"/>
          <w:szCs w:val="32"/>
        </w:rPr>
        <w:t>分。</w:t>
      </w:r>
    </w:p>
    <w:p w:rsidR="002333BB" w:rsidRDefault="00E05007">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hint="eastAsia"/>
          <w:b w:val="0"/>
          <w:spacing w:val="-4"/>
          <w:sz w:val="32"/>
          <w:szCs w:val="32"/>
        </w:rPr>
        <w:t>、</w:t>
      </w:r>
      <w:r>
        <w:rPr>
          <w:rStyle w:val="ad"/>
          <w:rFonts w:ascii="黑体" w:eastAsia="黑体" w:hAnsi="黑体"/>
          <w:b w:val="0"/>
          <w:spacing w:val="-4"/>
          <w:sz w:val="32"/>
          <w:szCs w:val="32"/>
        </w:rPr>
        <w:t>主要经验</w:t>
      </w:r>
      <w:r>
        <w:rPr>
          <w:rStyle w:val="ad"/>
          <w:rFonts w:ascii="黑体" w:eastAsia="黑体" w:hAnsi="黑体"/>
          <w:b w:val="0"/>
          <w:spacing w:val="-4"/>
          <w:sz w:val="32"/>
          <w:szCs w:val="32"/>
        </w:rPr>
        <w:t>及做法、存在的问题及原因分析</w:t>
      </w:r>
    </w:p>
    <w:p w:rsidR="002333BB" w:rsidRDefault="00E05007">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r>
      <w:r>
        <w:rPr>
          <w:rStyle w:val="ad"/>
          <w:rFonts w:ascii="楷体" w:eastAsia="楷体" w:hAnsi="楷体" w:hint="eastAsia"/>
          <w:spacing w:val="-4"/>
          <w:sz w:val="32"/>
          <w:szCs w:val="32"/>
        </w:rPr>
        <w:br/>
      </w:r>
      <w:r>
        <w:rPr>
          <w:rStyle w:val="ad"/>
          <w:rFonts w:ascii="楷体" w:eastAsia="楷体" w:hAnsi="楷体" w:hint="eastAsia"/>
          <w:spacing w:val="-4"/>
          <w:sz w:val="32"/>
          <w:szCs w:val="32"/>
        </w:rPr>
        <w:t>为确保项目的顺利推进，必须预先制定详尽的项目计划，并反复进行严格审核。在项目执行过程中，应定期开展监督和检查工作，确保严格按照项目管理标准执行。此外，在资金使用方面，务必遵循严格的审核流程，确保资金合理且精准地用于既定项目，杜绝资金浪费。项目完成后，需对受益群体进行民意调查，并切实做好项目风险防范工作。</w:t>
      </w:r>
      <w:r>
        <w:rPr>
          <w:rStyle w:val="ad"/>
          <w:rFonts w:ascii="楷体" w:eastAsia="楷体" w:hAnsi="楷体" w:hint="eastAsia"/>
          <w:spacing w:val="-4"/>
          <w:sz w:val="32"/>
          <w:szCs w:val="32"/>
        </w:rPr>
        <w:br/>
      </w:r>
      <w:r>
        <w:rPr>
          <w:rStyle w:val="ad"/>
          <w:rFonts w:ascii="楷体" w:eastAsia="楷体" w:hAnsi="楷体" w:hint="eastAsia"/>
          <w:spacing w:val="-4"/>
          <w:sz w:val="32"/>
          <w:szCs w:val="32"/>
        </w:rPr>
        <w:t>秉持“先执行、后验收、再拨款”的原则，有效防范资金挪用或滥用现象，确保跟踪检查的严密性。财政、纪检、监察等部门应全程参与专项资金的前期、中期及后期监管。在监督机制上，需</w:t>
      </w:r>
      <w:r>
        <w:rPr>
          <w:rStyle w:val="ad"/>
          <w:rFonts w:ascii="楷体" w:eastAsia="楷体" w:hAnsi="楷体" w:hint="eastAsia"/>
          <w:spacing w:val="-4"/>
          <w:sz w:val="32"/>
          <w:szCs w:val="32"/>
        </w:rPr>
        <w:lastRenderedPageBreak/>
        <w:t>将重心前移，从传统的事后监督模式转变为事前审查、事中监控与事后稽核相结合的综合性监督体系，构建全方位、多层次的监管框架，以便及时发现并解决问题。（二）存在的问题及原因分析</w:t>
      </w:r>
      <w:r>
        <w:rPr>
          <w:rStyle w:val="ad"/>
          <w:rFonts w:ascii="楷体" w:eastAsia="楷体" w:hAnsi="楷体" w:hint="eastAsia"/>
          <w:spacing w:val="-4"/>
          <w:sz w:val="32"/>
          <w:szCs w:val="32"/>
        </w:rPr>
        <w:br/>
        <w:t>1.</w:t>
      </w:r>
      <w:r>
        <w:rPr>
          <w:rStyle w:val="ad"/>
          <w:rFonts w:ascii="楷体" w:eastAsia="楷体" w:hAnsi="楷体" w:hint="eastAsia"/>
          <w:spacing w:val="-4"/>
          <w:sz w:val="32"/>
          <w:szCs w:val="32"/>
        </w:rPr>
        <w:t>相关绩效管理方面专业知识的系统性学习有待加强。各项指标的设置要进一步优化、完善，主要在细化、量化上改进。在绩效自评过程中，由于部分人员缺乏相关绩效管理专业知识，自评价工</w:t>
      </w:r>
      <w:r>
        <w:rPr>
          <w:rStyle w:val="ad"/>
          <w:rFonts w:ascii="楷体" w:eastAsia="楷体" w:hAnsi="楷体" w:hint="eastAsia"/>
          <w:spacing w:val="-4"/>
          <w:sz w:val="32"/>
          <w:szCs w:val="32"/>
        </w:rPr>
        <w:t>作还存在自我审定的局限性，影响评价质量。</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指标设置过于笼统，缺乏针对性和可操作性，难以准确衡量项目实际成效；部分指标权重分配不合理，不能反映项目核心目标；定性指标多，定量指标少，导致评估结果主观性强。项目前期规划阶段，未充分结合项目特点和目标设计指标体系；缺乏对行业标准和同类项目经验的借鉴；项目团队对绩效评估理解不深，未能从多维度全面构建指标。</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数据来源渠道单一，信息不完整；数据收集过程中存在错漏情况；部分数据难以量化，如社会效益、满意度等，导致评估依据不足。缺乏完善的数据收集机制和信息化手段；项目</w:t>
      </w:r>
      <w:r>
        <w:rPr>
          <w:rStyle w:val="ad"/>
          <w:rFonts w:ascii="楷体" w:eastAsia="楷体" w:hAnsi="楷体" w:hint="eastAsia"/>
          <w:spacing w:val="-4"/>
          <w:sz w:val="32"/>
          <w:szCs w:val="32"/>
        </w:rPr>
        <w:t>执行过程中，对数据记录和整理重视不足；涉及多方参与的项目，数据共享存在障碍，协调难度大。</w:t>
      </w:r>
    </w:p>
    <w:p w:rsidR="002333BB" w:rsidRDefault="00E05007">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rsidR="002333BB" w:rsidRDefault="00E05007">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w:t>
      </w:r>
      <w:r>
        <w:rPr>
          <w:rStyle w:val="ad"/>
          <w:rFonts w:ascii="楷体" w:eastAsia="楷体" w:hAnsi="楷体" w:hint="eastAsia"/>
          <w:spacing w:val="-4"/>
          <w:sz w:val="32"/>
          <w:szCs w:val="32"/>
        </w:rPr>
        <w:t>强化专业知识培训，提升绩效管理能力。针对项目管理人员、绩效自评人员等不同岗位需求，开展分层培训。邀请行业专家围绕绩效指标设计、绩效评价方法、预算绩效管理等内容进行专题授课，每季度至少组织</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次集中培训。搭建内部学习平台，定期分享绩效管理政策文件、优秀案例；设立内部研讨小组，</w:t>
      </w:r>
      <w:r>
        <w:rPr>
          <w:rStyle w:val="ad"/>
          <w:rFonts w:ascii="楷体" w:eastAsia="楷体" w:hAnsi="楷体" w:hint="eastAsia"/>
          <w:spacing w:val="-4"/>
          <w:sz w:val="32"/>
          <w:szCs w:val="32"/>
        </w:rPr>
        <w:lastRenderedPageBreak/>
        <w:t>每月开展</w:t>
      </w:r>
      <w:r>
        <w:rPr>
          <w:rStyle w:val="ad"/>
          <w:rFonts w:ascii="楷体" w:eastAsia="楷体" w:hAnsi="楷体" w:hint="eastAsia"/>
          <w:spacing w:val="-4"/>
          <w:sz w:val="32"/>
          <w:szCs w:val="32"/>
        </w:rPr>
        <w:t>1</w:t>
      </w:r>
      <w:r>
        <w:rPr>
          <w:rStyle w:val="ad"/>
          <w:rFonts w:ascii="楷体" w:eastAsia="楷体" w:hAnsi="楷体" w:hint="eastAsia"/>
          <w:spacing w:val="-4"/>
          <w:sz w:val="32"/>
          <w:szCs w:val="32"/>
        </w:rPr>
        <w:t>次绩效问题分析与经验交流活动。</w:t>
      </w:r>
      <w:r>
        <w:rPr>
          <w:rStyle w:val="ad"/>
          <w:rFonts w:ascii="楷体" w:eastAsia="楷体" w:hAnsi="楷体" w:hint="eastAsia"/>
          <w:spacing w:val="-4"/>
          <w:sz w:val="32"/>
          <w:szCs w:val="32"/>
        </w:rPr>
        <w:br/>
        <w:t>2.</w:t>
      </w:r>
      <w:r>
        <w:rPr>
          <w:rStyle w:val="ad"/>
          <w:rFonts w:ascii="楷体" w:eastAsia="楷体" w:hAnsi="楷体" w:hint="eastAsia"/>
          <w:spacing w:val="-4"/>
          <w:sz w:val="32"/>
          <w:szCs w:val="32"/>
        </w:rPr>
        <w:t>优化指标体系设计，增强科学性与可操作性。组织团队研究国家及地方畜牧业项目绩效评价规范，</w:t>
      </w:r>
      <w:r>
        <w:rPr>
          <w:rStyle w:val="ad"/>
          <w:rFonts w:ascii="楷体" w:eastAsia="楷体" w:hAnsi="楷体" w:hint="eastAsia"/>
          <w:spacing w:val="-4"/>
          <w:sz w:val="32"/>
          <w:szCs w:val="32"/>
        </w:rPr>
        <w:t>参考同类优质项目指标体系，结合本项目品种提升、技术推广等核心目标，重新梳理指标框架。项目阶段重点（如前期基础设施建设、后期运输服务等相关产业发展）动态调整指标权重，突出核心目标；建立指标反馈机制，每年结合项目实际成效评估结果，优化指标体系。邀请行业专家、项目实施人员、利益相关方参与指标设计研讨，从技术、实操、社会效益等多维度提出建议，确保指标全面覆盖项目目标。</w:t>
      </w:r>
      <w:r>
        <w:rPr>
          <w:rStyle w:val="ad"/>
          <w:rFonts w:ascii="楷体" w:eastAsia="楷体" w:hAnsi="楷体" w:hint="eastAsia"/>
          <w:spacing w:val="-4"/>
          <w:sz w:val="32"/>
          <w:szCs w:val="32"/>
        </w:rPr>
        <w:br/>
        <w:t>3.</w:t>
      </w:r>
      <w:r>
        <w:rPr>
          <w:rStyle w:val="ad"/>
          <w:rFonts w:ascii="楷体" w:eastAsia="楷体" w:hAnsi="楷体" w:hint="eastAsia"/>
          <w:spacing w:val="-4"/>
          <w:sz w:val="32"/>
          <w:szCs w:val="32"/>
        </w:rPr>
        <w:t>完善数据管理体系，做好评估数据基础。通过问卷调查、实地访谈等方式收集社会效益、满意度数据。明确数据采集频率、方法、责任人；建立数据交叉核对机制，</w:t>
      </w:r>
      <w:r>
        <w:rPr>
          <w:rStyle w:val="ad"/>
          <w:rFonts w:ascii="楷体" w:eastAsia="楷体" w:hAnsi="楷体" w:hint="eastAsia"/>
          <w:spacing w:val="-4"/>
          <w:sz w:val="32"/>
          <w:szCs w:val="32"/>
        </w:rPr>
        <w:t>对关键数据实行双人复核；定期开展数据质量抽查，对错误数据及时修正并追溯责任。定期召开数据协调会议，解决多方数据对接中的矛盾与障碍。进一步规范项目建设的程序。项目前期做好可行性研究报告，更加细化实施方案，严格执行资金管理办法和财政资金管理制度，严格按照项目实施方案稳步推进工作，各部门单位根据自己项目的特点进行总结。</w:t>
      </w:r>
    </w:p>
    <w:p w:rsidR="002333BB" w:rsidRDefault="00E05007">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rsidR="002333BB" w:rsidRDefault="00E05007">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rsidR="002333BB" w:rsidRDefault="002333BB">
      <w:pPr>
        <w:spacing w:line="540" w:lineRule="exact"/>
        <w:ind w:firstLine="567"/>
        <w:rPr>
          <w:rStyle w:val="ad"/>
          <w:rFonts w:ascii="仿宋" w:eastAsia="仿宋" w:hAnsi="仿宋"/>
          <w:b w:val="0"/>
          <w:spacing w:val="-4"/>
          <w:sz w:val="32"/>
          <w:szCs w:val="32"/>
        </w:rPr>
      </w:pPr>
    </w:p>
    <w:p w:rsidR="002333BB" w:rsidRDefault="002333BB">
      <w:pPr>
        <w:spacing w:line="540" w:lineRule="exact"/>
        <w:ind w:firstLine="567"/>
        <w:rPr>
          <w:rStyle w:val="ad"/>
          <w:rFonts w:ascii="仿宋" w:eastAsia="仿宋" w:hAnsi="仿宋"/>
          <w:b w:val="0"/>
          <w:spacing w:val="-4"/>
          <w:sz w:val="32"/>
          <w:szCs w:val="32"/>
        </w:rPr>
      </w:pPr>
    </w:p>
    <w:p w:rsidR="002333BB" w:rsidRDefault="002333BB">
      <w:pPr>
        <w:spacing w:line="540" w:lineRule="exact"/>
        <w:ind w:firstLine="567"/>
        <w:rPr>
          <w:rStyle w:val="ad"/>
          <w:rFonts w:ascii="仿宋" w:eastAsia="仿宋" w:hAnsi="仿宋"/>
          <w:b w:val="0"/>
          <w:spacing w:val="-4"/>
          <w:sz w:val="32"/>
          <w:szCs w:val="32"/>
        </w:rPr>
      </w:pPr>
    </w:p>
    <w:p w:rsidR="002333BB" w:rsidRDefault="002333BB">
      <w:pPr>
        <w:spacing w:line="540" w:lineRule="exact"/>
        <w:ind w:firstLine="567"/>
        <w:rPr>
          <w:rStyle w:val="ad"/>
          <w:rFonts w:ascii="仿宋" w:eastAsia="仿宋" w:hAnsi="仿宋"/>
          <w:b w:val="0"/>
          <w:spacing w:val="-4"/>
          <w:sz w:val="32"/>
          <w:szCs w:val="32"/>
        </w:rPr>
      </w:pPr>
    </w:p>
    <w:p w:rsidR="002333BB" w:rsidRDefault="002333BB">
      <w:pPr>
        <w:spacing w:line="540" w:lineRule="exact"/>
        <w:ind w:firstLine="567"/>
        <w:rPr>
          <w:rStyle w:val="ad"/>
          <w:rFonts w:ascii="仿宋" w:eastAsia="仿宋" w:hAnsi="仿宋"/>
          <w:b w:val="0"/>
          <w:spacing w:val="-4"/>
          <w:sz w:val="32"/>
          <w:szCs w:val="32"/>
        </w:rPr>
      </w:pPr>
    </w:p>
    <w:p w:rsidR="002333BB" w:rsidRDefault="002333BB">
      <w:pPr>
        <w:spacing w:line="540" w:lineRule="exact"/>
        <w:ind w:firstLine="567"/>
        <w:rPr>
          <w:rStyle w:val="ad"/>
          <w:rFonts w:ascii="仿宋" w:eastAsia="仿宋" w:hAnsi="仿宋"/>
          <w:b w:val="0"/>
          <w:spacing w:val="-4"/>
          <w:sz w:val="32"/>
          <w:szCs w:val="32"/>
        </w:rPr>
      </w:pPr>
    </w:p>
    <w:p w:rsidR="002333BB" w:rsidRDefault="002333BB">
      <w:pPr>
        <w:spacing w:line="540" w:lineRule="exact"/>
        <w:ind w:firstLine="567"/>
        <w:rPr>
          <w:rStyle w:val="ad"/>
          <w:rFonts w:ascii="仿宋" w:eastAsia="仿宋" w:hAnsi="仿宋"/>
          <w:b w:val="0"/>
          <w:spacing w:val="-4"/>
          <w:sz w:val="32"/>
          <w:szCs w:val="32"/>
        </w:rPr>
      </w:pPr>
    </w:p>
    <w:p w:rsidR="002333BB" w:rsidRDefault="002333BB">
      <w:pPr>
        <w:spacing w:line="540" w:lineRule="exact"/>
        <w:ind w:firstLine="567"/>
        <w:rPr>
          <w:rStyle w:val="ad"/>
          <w:rFonts w:ascii="仿宋" w:eastAsia="仿宋" w:hAnsi="仿宋"/>
          <w:b w:val="0"/>
          <w:spacing w:val="-4"/>
          <w:sz w:val="32"/>
          <w:szCs w:val="32"/>
        </w:rPr>
      </w:pPr>
    </w:p>
    <w:p w:rsidR="002333BB" w:rsidRDefault="002333BB">
      <w:pPr>
        <w:spacing w:line="540" w:lineRule="exact"/>
        <w:ind w:firstLine="567"/>
        <w:rPr>
          <w:rStyle w:val="ad"/>
          <w:rFonts w:ascii="仿宋" w:eastAsia="仿宋" w:hAnsi="仿宋"/>
          <w:b w:val="0"/>
          <w:spacing w:val="-4"/>
          <w:sz w:val="32"/>
          <w:szCs w:val="32"/>
        </w:rPr>
      </w:pPr>
    </w:p>
    <w:p w:rsidR="002333BB" w:rsidRDefault="002333BB">
      <w:pPr>
        <w:spacing w:line="540" w:lineRule="exact"/>
        <w:ind w:firstLine="567"/>
        <w:rPr>
          <w:rStyle w:val="ad"/>
          <w:rFonts w:ascii="仿宋" w:eastAsia="仿宋" w:hAnsi="仿宋"/>
          <w:b w:val="0"/>
          <w:spacing w:val="-4"/>
          <w:sz w:val="32"/>
          <w:szCs w:val="32"/>
        </w:rPr>
      </w:pPr>
    </w:p>
    <w:p w:rsidR="002333BB" w:rsidRDefault="002333BB">
      <w:pPr>
        <w:spacing w:line="540" w:lineRule="exact"/>
        <w:ind w:firstLine="567"/>
        <w:rPr>
          <w:rStyle w:val="ad"/>
          <w:rFonts w:ascii="仿宋" w:eastAsia="仿宋" w:hAnsi="仿宋"/>
          <w:b w:val="0"/>
          <w:spacing w:val="-4"/>
          <w:sz w:val="32"/>
          <w:szCs w:val="32"/>
        </w:rPr>
      </w:pPr>
    </w:p>
    <w:p w:rsidR="002333BB" w:rsidRDefault="002333BB">
      <w:pPr>
        <w:spacing w:line="540" w:lineRule="exact"/>
        <w:ind w:firstLine="567"/>
        <w:rPr>
          <w:rStyle w:val="ad"/>
          <w:rFonts w:ascii="仿宋" w:eastAsia="仿宋" w:hAnsi="仿宋"/>
          <w:b w:val="0"/>
          <w:spacing w:val="-4"/>
          <w:sz w:val="32"/>
          <w:szCs w:val="32"/>
        </w:rPr>
      </w:pPr>
    </w:p>
    <w:sectPr w:rsidR="002333BB">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5007" w:rsidRDefault="00E05007">
      <w:r>
        <w:separator/>
      </w:r>
    </w:p>
  </w:endnote>
  <w:endnote w:type="continuationSeparator" w:id="0">
    <w:p w:rsidR="00E05007" w:rsidRDefault="00E05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微软雅黑"/>
    <w:charset w:val="86"/>
    <w:family w:val="auto"/>
    <w:pitch w:val="default"/>
    <w:sig w:usb0="00000000" w:usb1="080F0000" w:usb2="00000000" w:usb3="00000000" w:csb0="0004009F" w:csb1="DFD70000"/>
  </w:font>
  <w:font w:name="方正小标宋_GBK">
    <w:panose1 w:val="02000000000000000000"/>
    <w:charset w:val="86"/>
    <w:family w:val="auto"/>
    <w:pitch w:val="variable"/>
    <w:sig w:usb0="A00002BF" w:usb1="38CF7CFA" w:usb2="00082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rsidR="002333BB" w:rsidRDefault="00E05007">
        <w:pPr>
          <w:pStyle w:val="a5"/>
          <w:jc w:val="center"/>
        </w:pPr>
        <w:r>
          <w:fldChar w:fldCharType="begin"/>
        </w:r>
        <w:r>
          <w:instrText>PAGE   \* MERGEFORMAT</w:instrText>
        </w:r>
        <w:r>
          <w:fldChar w:fldCharType="separate"/>
        </w:r>
        <w:r w:rsidR="009629E7" w:rsidRPr="009629E7">
          <w:rPr>
            <w:noProof/>
            <w:lang w:val="zh-CN"/>
          </w:rPr>
          <w:t>25</w:t>
        </w:r>
        <w:r>
          <w:fldChar w:fldCharType="end"/>
        </w:r>
      </w:p>
    </w:sdtContent>
  </w:sdt>
  <w:p w:rsidR="002333BB" w:rsidRDefault="002333B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5007" w:rsidRDefault="00E05007">
      <w:r>
        <w:separator/>
      </w:r>
    </w:p>
  </w:footnote>
  <w:footnote w:type="continuationSeparator" w:id="0">
    <w:p w:rsidR="00E05007" w:rsidRDefault="00E050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333BB"/>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6A4BC9"/>
    <w:rsid w:val="0075584F"/>
    <w:rsid w:val="00855E3A"/>
    <w:rsid w:val="0091457F"/>
    <w:rsid w:val="00922CB9"/>
    <w:rsid w:val="00925D36"/>
    <w:rsid w:val="00944DD1"/>
    <w:rsid w:val="009629E7"/>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05007"/>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6406E8-D7CA-4C04-A57B-6B641048A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2114</Words>
  <Characters>12051</Characters>
  <Application>Microsoft Office Word</Application>
  <DocSecurity>0</DocSecurity>
  <Lines>100</Lines>
  <Paragraphs>28</Paragraphs>
  <ScaleCrop>false</ScaleCrop>
  <Company>DoubleOX</Company>
  <LinksUpToDate>false</LinksUpToDate>
  <CharactersWithSpaces>14137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2</cp:revision>
  <cp:lastPrinted>2018-12-31T10:56:00Z</cp:lastPrinted>
  <dcterms:created xsi:type="dcterms:W3CDTF">2025-08-15T10:49:00Z</dcterms:created>
  <dcterms:modified xsi:type="dcterms:W3CDTF">2025-08-15T10:49:00Z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