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bookmarkStart w:id="1" w:name="_GoBack"/>
      <w:bookmarkEnd w:id="1"/>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库尔勒市农业农村局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统筹研究和组织实施库尔勒市以乡村振兴为重心的“三农”工作的发展战略、中长期规划、重大政策。承担市本级农业综合行政执法工作，参与农业农村有关政策规章的制定，对涉农的财税、价格、收储、金融保险等政策提出意见建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（二）统筹推动发展库尔勒市农村社会事业、农村公共服务、农村文化、农村基础设施和乡村治理。牵头组织改善农村人居环境；指导农村精神文明和优秀农耕文化建设，指导监督农牧业行业安全生产工作。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负责农民承包地、农村宅基地、农村集体产权制度改革和管理有关工作。贯彻执行农村经济体制改革和巩固完善农村基本经营制度的政策。指导农村集体经济组织发展和集体资产管理工作。指导农民合作经济组织、农业社会化服务体系、新型农业经营主体建设与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负责巩固拓展脱贫攻坚成果有关工作。牵头开展防止返贫监测和帮扶，组织拟订帮扶政策。组织开展对口支援、社会帮扶，会同市直有关部门组织实施巩固拓展脱贫攻坚成果相关考核评估工作。研究提出财政衔接推进乡村振兴相关资金分配建议方案并指导、监督资金使用，推动乡村帮扶产业发展。承担农村低收入人口常态化帮扶有关工作，构建长效帮扶机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负责指导库尔勒市乡村特色产业、农产品加工业、休闲农业和乡镇企业发展工作，推动延长农产品产业链。提出促进大宗农产品流通建议，培育、保护农业品牌，发布农业农村经济信息，监测分析农业农村经济运行。承担农业统计和农业农村信息化有关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负责种植业、畜牧业、渔业、市属国有农牧场、农业机械化等农业各产业的监督管理。指导粮食、棉花、蔬菜等主要农产品生产。组织构建现代农业产业体系、生产体系、经营体系，指导农业标准化生产。指导饲草良种体系建设、饲草生产加工流通、草牧业转型升级、农牧交错带产业结构调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负责农畜产品质量安全监督管理。组织开展农产品质量安全监测、追溯、风险评估。参与制定农畜产品质量安全、兽医行业、动物疫病防治、饲料饲草业、畜禽屠宰行业有关标准和技术规范，会同有关部门组织实施。指导农畜产品检验检测体系建设，组织农畜产品质量安全的监督管理和兽医实验室考核评估。负责农业转基因生物安全监督管理和农业植物新品种保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八）负责耕地、永久基本农田质量保护和高标准农田建设工作。组织农牧资源区划工作。指导农用地、农牧业生物物种资源的保护与管理，畜禽遗传资源保护与利用，负责水生野生动植物保护工作。指导农畜产品产地环境管理和农牧业清洁生产，负责畜禽粪污资源化利用、病死畜禽无害化处理等工作。指导设施农业、生态循环农业、节水农业发展以及农村可再生能源综合开发利用、农业生物产业发展。承担外来物种相关管理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九）负责库尔勒市有关农业生产资料和农业投入品、兽药和饲料、渔业的监督管理。负责畜禽养殖场备案管理、组织农业生产资料市场体系建设，参与有关农业生产资料地方标准拟订并监督实施。依法开展农作物种子、农药等农业投入品的行政许可。组织开展兽医医改、兽药药证药检工作，负责饲草料和畜禽屠宰行业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负责农牧业防灾减灾、农作物重大病虫害防治、动物疫病防治和疫情处置工作。组织实施动物疫病监测和风险评估，监督指导动物疫情扑灭工作。负责动物防疫应急管理。指导植物防疫检疫体系建设，组织、监督市内植物防疫检疫工作，根据授权发布疫情并组织扑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一）负责农牧业投资管理。提出农牧业投融资体制机制改革建议。编制中央、自治区、自治州、库尔勒市投资安排的农牧业投资项目建设规划，提出农牧业投资规模和方向、扶持农业农村发展及畜牧业发展财政项目的建议，按规定权限审批农牧业投资项目，负责农牧业投资项目组织实施和监督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（十二）承担农牧业科技体制改革和农牧业科技创新体系建设。组织开展农牧业领域的高新技术和应用技术研究、科技成果转化和技术推广。</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（十三）指导农牧业农村人才工作。拟订农牧业农村人才队伍建设规划并组织实施，指导农牧业教育和农牧业职业技能开发，指导高素质农民培育、农牧业科技人才培养和农村实用人才培训工作。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（十四）组织开展农业对外合作工作。承办库尔勒市农业涉外事务，参与农业贸易促进和有关国际交流合作，对农业对外援助政策和规划提出意见建议，协助有关部门组织实施有关农业援外项目。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（十五）完成市委、市人民政府交办的其他任务。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库尔勒市农业农村局无下属预算单位，下设 12 个股室，分别是：办公室、党建与纪检办公室、政策法规与农村改革合作经济指导办公室、农业项目管理办公室、种植业与种业管理股、畜牧兽医办公室、乡村产业发展与信息化股、乡村建设和农村社会事业促进股、区域协作与帮扶股、科技教育办公室、农业机械化和农产品质量安全监管股、农业综合执法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库尔勒市农业农村局编制数80，实有人数186人，其中：在职68人，增加7人；退休118人，增加10人,离休人员0人。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目标1：抓好粮食和重要农产品稳定供给,着力提高农业综合生产能力,保障农业生产安全,持续推进巩固拓展脱贫攻坚成果同乡村振兴有效衔接,巩固农村基本经营制度,加大项目建设力度。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目标2：大力实施高标准农田建设。重点开展土地平整、改良土壤、输水渠道、滴灌管道、渠系建筑物、田间机耕道、农田防护林网及电力设施建设。提升农业机械化装备水平。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目标3:加强农业综合行政执法队伍建设。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目标4:做好乡村振兴帮扶、农村人居环境整治工作。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目标5：提高设施农业、畜牧业高质量发展。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目标6:本年实施项目保质保量完工。确保各项业务经费不超出预算,不超支审批。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加大粮食种植任务落实力度。根据自治州安排部署，综合考虑冬灌、整地、水资源状况、种植习惯等因素，提早谋划，已下达粮食种植任务12.90万亩，其中：小麦3.9万亩，玉米9万亩，计划补助面积4.55万亩。加大宣传培训力度，加大任务落实力度，推广优质良种和先进集成技术，提升粮食种植效益，不折不扣完成粮食种植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巩固提升棉花优势。持续优化棉花区域布局和品种结构，推进棉花种植向高产区集中。计划种植棉花面积92万亩，其中：棉花农业保险面积69.32万亩，加大科技推广力度，推广应用干播湿出技术，大力实施高产栽培技术、测土配方施肥、绿色防控和全程机械化种植，降低成本，提高单产、增加效益，不断提高机采率，退出次棉种植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促进畜牧业高质量发展。加快畜牧产业布局，加大农牧企业招商引资力度，持续推动肉牛、肉羊、生猪、家禽、奶业等产业由粗放型向集约型、由散养向规模化养殖转变，继续推进草原禁牧和草畜平衡制度，实施草畜平衡面积208.92万亩，草原禁牧面积23万亩，计划发放奖补资金660.3万元，牧民政策性收入稳步增长，畜牧业生产方式不断改善。加快屠宰加工业提档升级，持续推进西尼尔镇30万头生猪、英下乡100万（头）只牛羊、兰干乡400万只家禽屠宰场建设，力争2024年全部投入产能，补齐畜产品精细分割、分级包装等精深加工短板。全面落实重大动物疫病防控措施，切实做好重大动物疫病强制免疫，常态化落实落细疫病排查、监测、清洗消毒、流通管控等各项防控措施，推进病死畜禽无害化处理厂、畜禽运输车辆洗消中心公益类建设项目。确保不发生、不流行重大动物疫病，筑牢不发生区域性重大动物疫情安全底线。</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促进设施农业提质增效。促进蔬菜稳产增产，依托英下乡旧棚改造提升，推进设施种植提质增效。强化企业带动，开展规模化全产业链基地建设。依托库尔勒市泰农农业发展有限公司、腾茂农业发展有限公司等国资公司与英下乡合作，在英下乡和库尔楚园艺场打造现代设施农业产业园，以品种引领、品质提升、品牌打造为主攻方向，努力推动设施蔬菜产业提档升级。依托新疆维拓生物科技有限公司发展废果木粉碎、香菇菌棒制作、培养菌种、食用菌种植、产品订单采购、产品深加工及市场销售、废旧菌包和废小枝条制作生物有机肥的全产业，构建形成闭合圈的全产业链。依托与新疆绿洲驼铃农业科技有限责任公司合作的智慧农业信息服务平台项目，结合网络技术与计算机技术，提升设施农业的调节精度，打造智慧设施农业示范点。依托英下乡库尔勒市农产品物流集散中心项目，推进基地市场建设和蔬菜初加工，提升设施种植产品基地冷藏保鲜、商品化处理水平和集中配送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持续提高农业综合生产能力。一要大力实施高标准农田建设。计划实施3.04万亩高标准农田建设，重点开展土地平整、改良土壤、输水渠道、滴灌管道、渠系建筑物、田间机耕道、农田防护林网及电力设施建设。二要提升农业机械化装备水平。通过农机购置补贴计划补助农机具883台（套），开展新型、大型、精准农业机械作业田间示范，突出精准耕整地机械、大马力拖拉机、高效灌溉机械、设施农业机械、特色农作物播种与收获机械等示范推广。三要抓好良种繁育工作。依托国家级棉花制种大县、国家区域性棉花良种繁育基地和自治区“四个百万亩”制种基地项目，推进新疆九中禾种业创新园项目建设进展，督促国欣种业和晶华种业按照商业化育种项目实施进度表推进项目进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继续保障农业生产安全。继续加大对农机、农资、动物卫生监督等日常监管和行政执法工作，确保不发生安全生产事故。大力开展秸秆还田、肥料化、饲料化、基料化、原料化和能源化利用。推进农业清洁生产，合理降低化肥农药施用量，加强农药包装废弃物回收处理，强化畜禽粪污综合利用，确保农业生产安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深化农村集体产权制度改革，规范农村集体“三资”管理。持续开展深化农村集体产权制度改革试点工作,通过改革试点工作明确集体资产权属归位，实现集体资产保值增值，增强集体经济实力。组建农村财务核算中心，加强农村集体“三资”管理,完善管理机制，规范农村集体经济组织行为，保障成员合法权益。积极争取上级政策支持，推动库尔勒市农村产权交易市场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八）持续巩固拓展脱贫攻坚成果，夯实乡村振兴基础。一要持续做好脱贫户、“三类户”增收工作。紧盯就业帮扶和产业帮扶质量不高、就业不稳等脱贫户、“三类户”，帮助实现高质量就业。二要持续做好农牧民大幅增收工作，组织开展技能培训或推送就业，增加农民务工收入。三要统筹推进示范村创建。进一步加强统筹协调工作，加快推动飞线整治工作开工，切实提升村庄村容村貌、改善农民生活品质。四要抓好庭院经济示范打造，围绕乡村振兴重点调研路线打造整村整组集中连片的巷道、组、村示范点。</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农业农村局年初预算安排35959.42万元，其中财政拨款35959.42万元，其他资金0万元，主要用于一般公共预算基本工资、津贴补贴、奖金、机关事业单位基本养老保险缴费、职业年金缴费、职工基本医疗保险缴费、公务员医疗补助缴费、其他社会保障缴费、住房公积金、其他工资福利支出、退休费、生活补助、办公费、手续费、邮电费、工会经费、福利费、公务用车运行维护费；上级一般公共预算安排的转移支付高标准农田、优质棉基地建设资金、农机购置补贴资金、农业保险保费补贴资金、财政衔接推进乡村振兴补助资金、耕地地力保护补贴、高素质农民培育、种植大豆、花生的补贴、草原奖补资金、产业强镇、农业经营主体能力提升、农业社会化服务、粮改饲资金、动物防疫补助资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中调减7527.24万元，调整后全年预算28432.18万元，预算调整率20.93%，调整预算的主要原因为年初安排的中央自治区财政衔接推进乡村振兴补助资金（乡村振兴产业项目）实施要求由各乡镇作为项目实施主体，因此指标调整至各乡镇，导致资金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行政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我单位已按要求在库尔勒市人民政府门户网站公开部门预算信息，同步公开绩效目标表；在库尔勒市人民政府门户网站公开部门决算信息，同步公开绩效自评表及自评报告。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2024年基本支出1360.32万元，包括工资福利支出1108.27万元，商品和服务支出82.31万元，对个人和家庭的补助169.74万元，资本性支出（基本建设）0万元, 资本性支出0万元,对企业补助0万元。其中：“三公”经费支出12万元，比上年增加（减少）0万元，主要原因是无变动；会议费支出0万元，比上年增加（减少）0万元，主要原因是无变动；培训费支出6.48万元，比上年增加0.22万元，主要原因是外出培训人员增加，导致培训费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27071.86万元，占总支出的95.22％，主要用于上级一般公共预算安排的转移支付高标准农田、优质棉基地建设资金、农机购置补贴资金、农业保险保费补贴资金、财政衔接推进乡村振兴补助资金、耕地地力保护补贴、高素质农民培育、种植大豆、花生的补贴、草原奖补资金、产业强镇、农业经营主体能力提升、农业社会化服务、粮改饲资金、动物防疫补助资金、现代农业振兴项目、中央香梨集群项目、废旧地膜回收利用项目、农村户厕改造项目、解决库尔勒市腾茂农业发展有限责任公司向新疆西域天圣公司支付费用项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高标准农田、优质棉基地建设资金、农机购置补贴资金、农业保险保费补贴资金、财政衔接推进乡村振兴补助资金、耕地地力保护补贴、高素质农民培育、种植大豆、花生的补贴、草原奖补资金、产业强镇、农业经营主体能力提升、农业社会化服务、粮改饲资金、动物防疫补助资金、中央香梨集群项目、废旧地膜回收利用项目、农村户厕改造项目等专项工作计划，对项目的工作分工、任务分配、资金落实、完成时限等提出了明确、具体的要求，以确保项目保质、保量、按时完成。截至2024年12月31日，完成专项60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为规范专项资金使用，提高专项资金使用效益，我局主要采取三项措施。一是制订专项资金管理制度；二是制定了项目实施方案；三是认真组织项目验收。切实保证专项资金都做到了专款专用。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制定了农机购置补贴资金、农业保险保费补贴资金、财政衔接推进乡村振兴补助资金、耕地地力保护补贴、高素质农民培育、种植大豆、花生的补贴、草原奖补资金、产业强镇、农业经营主体能力提升、农业社会化服务、粮改饲资金、动物防疫补助资金、中央香梨集群项目、废旧地膜回收利用项目、农村户厕改造项目等项目实施方案，确保项目如期完成，保障了实施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（3）认真组织高标准农田建设、项目验收，可打破现有小块地，合并成规整大条田，释放土地，增加村集体收入，提升综合灌溉水利用系数，实现作物增产增收。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2024年库尔勒市农业农村局总支出28432.18万元，预算执行率79.07%，其中节能环保支出39.5万元，城乡社区支2866.88万元，农林水支出25311.21万元，资源勘探工业信息等支出129.62万元，其他支出84.98万元。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2024年，库尔勒市农业农村局基本支出1360.32万元，占总支出的4.78％，其中：农林水支出1360.32万元。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2024年，库尔勒市农业农村局项目支出27071.86万元，占总支出的95.22％。其中：节能环保支出39.5万元，城乡社区支出2866.88万元，农林水支出23950.89万元，资源勘探工业信息等支出129.62万元，其他支出84.98万元。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年初我单位设置部门整体绩效目标中包括一级指标6个二级指标1个，三级指标4个，指标完成情况分析如下：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高标准农田建设面积，指标值：=3.04万亩，年中监控完成值：=1.14万亩，自评完成值2.57万亩，指标完成率84.54%，偏差15.46%，偏差原因及改进措施：该项目实施年限为2年，目前正在实施，剩余0.47万亩高标准农田建设2025年实施。指标成效分析：通过单位正常运转，有效改善项目区农田基础设施条件，逐步提升耕地质量，提高粮食综合生产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种植业参保保险补贴面积，指标值：≥69.32万亩，年中监控完成值：86.61万亩，自评完成值：83.79万亩，指标完成率120.87%，偏差20.87%，偏差原因及改进措施：受前近年疫病影响，养殖户投保积极性增强，导致投保数量增加。指标成效分析：通过单位正常运转，提高了农民收益，农户满意度较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农机购置补贴农机具台数，指标值：≥883台，年中监控完成值：1270台，自评完成值：1270台，指标完成率143.82%，偏差43.82%，偏差原因及改进措施：农机购置补贴政策力度大，农民对新型农业机械购买积极性高，改进措施：加强落实政策缩范围流程，优化补贴范围。指标成效分析：通过单位正常运转，确保农机补贴政策顺利实施，充分调动和保护农民购买使用农机的积极性，促进农机装备优化、农机化作业能力和水平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草原奖励补助总面积，指标值：=231.92万亩，年中监控完成值：0万亩，自评完成值：231.92万亩，指标完成率100%，偏差0.00%。指标成效分析：通过实施草原补助奖励政策，全面推行草原禁牧和草原平衡制度，有效拓宽牧民增收渠道， 提高牧民增收水平，达到为草原增绿、牧业增效、牧民增收的效果。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2024年度部门整体支出绩效评价综合得分95.36分，评价结果为“优”。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我单位部分绩效指标设置存在不够精简、指标数据无法统计和指标值设置过低等问题，部分项目绩效指标值设定为定性的指标，指标设置的科学性、合理性有待进一步提高。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（二）固定资产管理不够细致、严谨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国有资产管理中，长期以来资产处置制度缺失或规定过于笼统，资产使用年限较长却无法处置导致账实不符现象时有发生。另外，资产管理涉及资产管理、财务和资产使用多个部门，由于部门配合不力，很容易出现资产账账、账实不符的情况，家底不清也给资产处置带来一定的难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（三）项目监督工作存在薄弱环节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高标准农田、优质棉基地等项目实施前期，因设计方案审核不细致，对设计方案中的工程措施、技术参数等审核不严格，存在设计漏洞或不合理之处，如灌溉排水系统设计不合理，影响农田灌溉和排水效果。后期运营与维护管理，项目后期设施设备管护责任不明确，项目建成后，对农田基础设施和相关设备的管护责任没有明确落实到具体单位或个人，导致设施设备损坏后无人维修，影响其正常使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（二）加强固定资产管理，确保账实相符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1.制定专人妥善保管和维护资产；2.定期清理资产，合理处理待报废资产；3.及时按规定程序处理账务，切实做到账实相符。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（三）优化资金管制度，确保项目有序实施。</w:t>
      </w:r>
      <w:r>
        <w:rPr>
          <w:rFonts w:hint="eastAsia" w:ascii="仿宋_GB2312" w:hAnsi="宋体" w:eastAsia="仿宋_GB2312"/>
          <w:bCs/>
          <w:sz w:val="32"/>
          <w:szCs w:val="32"/>
        </w:rPr>
        <w:br w:type="textWrapping"/>
      </w:r>
      <w:r>
        <w:rPr>
          <w:rFonts w:hint="eastAsia" w:ascii="仿宋_GB2312" w:hAnsi="宋体" w:eastAsia="仿宋_GB2312"/>
          <w:bCs/>
          <w:sz w:val="32"/>
          <w:szCs w:val="32"/>
        </w:rPr>
        <w:t>在制定方案之前，做好相关项目调研工作，制定合理可行的项目实施方案和资金使用用途，加强与上级业务部门的沟通和对接，及时掌握项目相关要求，提前制定项目实施方案和资金分配制度计划，加强项目实施前的调研工作，科学合理制定项目实施方案，确保项目有序实施。</w:t>
      </w:r>
      <w:r>
        <w:rPr>
          <w:rFonts w:hint="eastAsia" w:ascii="仿宋_GB2312" w:hAnsi="宋体" w:eastAsia="仿宋_GB2312"/>
          <w:bCs/>
          <w:sz w:val="32"/>
          <w:szCs w:val="32"/>
        </w:rPr>
        <w:br w:type="textWrapping"/>
      </w:r>
      <w:r>
        <w:rPr>
          <w:rFonts w:hint="eastAsia" w:ascii="仿宋_GB2312" w:hAnsi="宋体" w:eastAsia="仿宋_GB2312"/>
          <w:bCs/>
          <w:sz w:val="32"/>
          <w:szCs w:val="32"/>
        </w:rPr>
        <w:t>七、附表：《部门整体支出绩效目标自评表》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42658B"/>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11</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2025-08-14T09:40:45Z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