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pacing w:line="560" w:lineRule="exact"/>
        <w:ind w:firstLine="0" w:firstLineChars="0"/>
        <w:jc w:val="both"/>
        <w:textAlignment w:val="auto"/>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keepNext w:val="0"/>
        <w:keepLines w:val="0"/>
        <w:pageBreakBefore w:val="0"/>
        <w:kinsoku/>
        <w:wordWrap/>
        <w:overflowPunct/>
        <w:topLinePunct w:val="0"/>
        <w:autoSpaceDE/>
        <w:autoSpaceDN/>
        <w:bidi w:val="0"/>
        <w:adjustRightInd/>
        <w:spacing w:line="560" w:lineRule="exact"/>
        <w:ind w:firstLine="0" w:firstLineChars="0"/>
        <w:jc w:val="both"/>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ind w:firstLine="0" w:firstLineChars="0"/>
        <w:jc w:val="both"/>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ind w:firstLine="0" w:firstLineChars="0"/>
        <w:jc w:val="both"/>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ind w:firstLine="0" w:firstLineChars="0"/>
        <w:jc w:val="both"/>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ind w:firstLine="0" w:firstLineChars="0"/>
        <w:jc w:val="both"/>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ind w:firstLine="0" w:firstLineChars="0"/>
        <w:jc w:val="both"/>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ind w:firstLine="0" w:firstLineChars="0"/>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keepNext w:val="0"/>
        <w:keepLines w:val="0"/>
        <w:pageBreakBefore w:val="0"/>
        <w:kinsoku/>
        <w:wordWrap/>
        <w:overflowPunct/>
        <w:topLinePunct w:val="0"/>
        <w:autoSpaceDE/>
        <w:autoSpaceDN/>
        <w:bidi w:val="0"/>
        <w:adjustRightInd/>
        <w:spacing w:line="560" w:lineRule="exact"/>
        <w:ind w:firstLine="0" w:firstLineChars="0"/>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keepNext w:val="0"/>
        <w:keepLines w:val="0"/>
        <w:pageBreakBefore w:val="0"/>
        <w:kinsoku/>
        <w:wordWrap/>
        <w:overflowPunct/>
        <w:topLinePunct w:val="0"/>
        <w:autoSpaceDE/>
        <w:autoSpaceDN/>
        <w:bidi w:val="0"/>
        <w:adjustRightInd/>
        <w:spacing w:line="560" w:lineRule="exact"/>
        <w:ind w:firstLine="0" w:firstLineChars="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pacing w:line="560" w:lineRule="exact"/>
        <w:ind w:firstLine="0" w:firstLineChars="0"/>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keepNext w:val="0"/>
        <w:keepLines w:val="0"/>
        <w:pageBreakBefore w:val="0"/>
        <w:kinsoku/>
        <w:wordWrap/>
        <w:overflowPunct/>
        <w:topLinePunct w:val="0"/>
        <w:autoSpaceDE/>
        <w:autoSpaceDN/>
        <w:bidi w:val="0"/>
        <w:adjustRightInd/>
        <w:spacing w:line="560" w:lineRule="exact"/>
        <w:ind w:firstLine="0" w:firstLineChars="0"/>
        <w:jc w:val="both"/>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0" w:firstLineChars="0"/>
        <w:jc w:val="both"/>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0" w:firstLineChars="0"/>
        <w:jc w:val="both"/>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0" w:firstLineChars="0"/>
        <w:jc w:val="both"/>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0" w:firstLineChars="0"/>
        <w:jc w:val="both"/>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0" w:firstLineChars="0"/>
        <w:jc w:val="both"/>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0" w:firstLineChars="0"/>
        <w:jc w:val="both"/>
        <w:textAlignment w:val="auto"/>
        <w:rPr>
          <w:rFonts w:hAnsi="宋体" w:eastAsia="仿宋_GB2312" w:cs="宋体"/>
          <w:kern w:val="0"/>
          <w:sz w:val="36"/>
          <w:szCs w:val="36"/>
        </w:rPr>
      </w:pPr>
    </w:p>
    <w:p>
      <w:pPr>
        <w:keepNext w:val="0"/>
        <w:keepLines w:val="0"/>
        <w:pageBreakBefore w:val="0"/>
        <w:widowControl w:val="0"/>
        <w:kinsoku/>
        <w:wordWrap/>
        <w:overflowPunct/>
        <w:topLinePunct w:val="0"/>
        <w:autoSpaceDE/>
        <w:autoSpaceDN/>
        <w:bidi w:val="0"/>
        <w:adjustRightInd/>
        <w:snapToGri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widowControl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Fonts w:hint="eastAsia" w:hAnsi="宋体" w:eastAsia="仿宋_GB2312" w:cs="宋体"/>
          <w:kern w:val="0"/>
          <w:sz w:val="36"/>
          <w:szCs w:val="36"/>
        </w:rPr>
        <w:t>库尔勒市兰干乡人民政府</w:t>
      </w:r>
    </w:p>
    <w:p>
      <w:pPr>
        <w:keepNext w:val="0"/>
        <w:keepLines w:val="0"/>
        <w:pageBreakBefore w:val="0"/>
        <w:widowControl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r>
        <w:rPr>
          <w:rFonts w:hint="eastAsia" w:hAnsi="宋体" w:eastAsia="仿宋_GB2312" w:cs="宋体"/>
          <w:kern w:val="0"/>
          <w:sz w:val="36"/>
          <w:szCs w:val="36"/>
        </w:rPr>
        <w:t>填报时间：2025年04月29日</w:t>
      </w:r>
    </w:p>
    <w:p>
      <w:pPr>
        <w:keepNext w:val="0"/>
        <w:keepLines w:val="0"/>
        <w:pageBreakBefore w:val="0"/>
        <w:kinsoku/>
        <w:wordWrap/>
        <w:overflowPunct/>
        <w:topLinePunct w:val="0"/>
        <w:autoSpaceDE/>
        <w:autoSpaceDN/>
        <w:bidi w:val="0"/>
        <w:adjustRightInd/>
        <w:spacing w:line="560" w:lineRule="exact"/>
        <w:ind w:firstLine="0" w:firstLineChars="0"/>
        <w:jc w:val="both"/>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0" w:firstLineChars="0"/>
        <w:jc w:val="both"/>
        <w:textAlignment w:val="auto"/>
        <w:rPr>
          <w:rFonts w:hAnsi="宋体" w:eastAsia="仿宋_GB2312" w:cs="宋体"/>
          <w:kern w:val="0"/>
          <w:sz w:val="36"/>
          <w:szCs w:val="36"/>
        </w:rPr>
      </w:pPr>
    </w:p>
    <w:p>
      <w:pPr>
        <w:keepNext w:val="0"/>
        <w:keepLines w:val="0"/>
        <w:pageBreakBefore w:val="0"/>
        <w:numPr>
          <w:ilvl w:val="0"/>
          <w:numId w:val="0"/>
        </w:numPr>
        <w:kinsoku/>
        <w:wordWrap/>
        <w:overflowPunct/>
        <w:topLinePunct w:val="0"/>
        <w:autoSpaceDE/>
        <w:autoSpaceDN/>
        <w:bidi w:val="0"/>
        <w:adjustRightInd/>
        <w:snapToGrid w:val="0"/>
        <w:spacing w:line="560" w:lineRule="exact"/>
        <w:ind w:left="1368" w:leftChars="0"/>
        <w:jc w:val="both"/>
        <w:textAlignment w:val="auto"/>
        <w:rPr>
          <w:rFonts w:ascii="黑体" w:hAnsi="黑体" w:eastAsia="黑体" w:cs="宋体"/>
          <w:b/>
          <w:color w:val="000000" w:themeColor="text1"/>
          <w:sz w:val="32"/>
          <w:szCs w:val="32"/>
          <w:lang w:bidi="ar"/>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val="0"/>
        <w:spacing w:line="560" w:lineRule="exact"/>
        <w:jc w:val="both"/>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一、</w:t>
      </w:r>
      <w:r>
        <w:rPr>
          <w:rFonts w:hint="eastAsia" w:ascii="黑体" w:hAnsi="黑体" w:eastAsia="黑体" w:cs="宋体"/>
          <w:b/>
          <w:color w:val="000000" w:themeColor="text1"/>
          <w:sz w:val="32"/>
          <w:szCs w:val="32"/>
          <w:lang w:bidi="ar"/>
          <w14:textFill>
            <w14:solidFill>
              <w14:schemeClr w14:val="tx1"/>
            </w14:solidFill>
          </w14:textFill>
        </w:rPr>
        <w:t>基本概况：</w:t>
      </w:r>
    </w:p>
    <w:p>
      <w:pPr>
        <w:keepNext w:val="0"/>
        <w:keepLines w:val="0"/>
        <w:pageBreakBefore w:val="0"/>
        <w:kinsoku/>
        <w:wordWrap/>
        <w:overflowPunct/>
        <w:topLinePunct w:val="0"/>
        <w:autoSpaceDE/>
        <w:autoSpaceDN/>
        <w:bidi w:val="0"/>
        <w:adjustRightInd/>
        <w:spacing w:line="560" w:lineRule="exact"/>
        <w:ind w:firstLine="0" w:firstLineChars="0"/>
        <w:jc w:val="both"/>
        <w:textAlignment w:val="auto"/>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1.主要职能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乡党委要紧紧围绕新时代党的治疆方略、特别是社会稳定和长治久安总目标，不断加强基层基础建设，充分发挥统揽全局的核心领导作用，夯实党在农村的执政基础。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乡（镇）人民政府要紧紧围绕促进经济发展、增加农民收入，强化公共服务、着力改善民生，加强社会管理、维护农村稳定，推进基层民主、促进农村和谐四个方面全面履行职责，提高农村公共服务水平，努力做好“三农”服务工作。</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乡（镇）党委主要职责：</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宣传和贯彻执行党的路线方针政策和党中央、上级党组织及乡（镇）党员代表大会（党员大会）的决议。</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研决定本乡（镇）经济社会发展中重大问题的意见、建议。</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领导本乡（镇）政权机关、群团组织和其他各类组织，加强指导和规范，支持和保证这些机关和组织依照国家法律法规以及各自章程履行职责。</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加强本乡（镇）党委自身建设和村党组织建设，以及其他隶属乡（镇）党委的党组织建设，抓好发展党员工作，加强党员队伍建设。维护和执行党的纪律，监督党员干部和其他任何工作人员严格遵国家法律法规。</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按照干部管理权限，负责对干部的教育、培训、选、考核和监督工作。协助管理上级有关部门派驻本乡（镇）的干部。做好人才服务和引进工作。</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领导本乡（镇）的基层治理，加强社会主义民主法治建设和精神文明建设，加强社会治安综合治理，做好生态环保、乡村建设、民生保障、乡村振兴、民族宗教等工作。</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ascii="仿宋_GB2312" w:hAnsi="宋体" w:eastAsia="仿宋_GB2312"/>
          <w:bCs/>
          <w:sz w:val="32"/>
          <w:szCs w:val="32"/>
        </w:rPr>
      </w:pPr>
      <w:r>
        <w:rPr>
          <w:rFonts w:hint="eastAsia" w:ascii="仿宋_GB2312" w:hAnsi="宋体" w:eastAsia="仿宋_GB2312"/>
          <w:bCs/>
          <w:sz w:val="32"/>
          <w:szCs w:val="32"/>
        </w:rPr>
        <w:t>乡（镇）人民政府主要职责：</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贯彻执行党的路线、方针、政策和国家法律法规，贯彻执行上级行政机关决定</w:t>
      </w:r>
      <w:bookmarkStart w:id="1" w:name="_GoBack"/>
      <w:bookmarkEnd w:id="1"/>
      <w:r>
        <w:rPr>
          <w:rFonts w:hint="eastAsia" w:ascii="仿宋_GB2312" w:hAnsi="宋体" w:eastAsia="仿宋_GB2312"/>
          <w:bCs/>
          <w:sz w:val="32"/>
          <w:szCs w:val="32"/>
        </w:rPr>
        <w:t>及本级党委的决定，执行本级乡（镇）人民代表大会的决议；</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jc w:val="both"/>
        <w:textAlignment w:val="auto"/>
        <w:rPr>
          <w:rFonts w:ascii="仿宋_GB2312" w:hAnsi="宋体" w:eastAsia="仿宋_GB2312"/>
          <w:bCs/>
          <w:sz w:val="32"/>
          <w:szCs w:val="32"/>
        </w:rPr>
      </w:pPr>
      <w:r>
        <w:rPr>
          <w:rFonts w:hint="eastAsia" w:ascii="仿宋_GB2312" w:hAnsi="宋体" w:eastAsia="仿宋_GB2312"/>
          <w:bCs/>
          <w:sz w:val="32"/>
          <w:szCs w:val="32"/>
        </w:rPr>
        <w:t>执行本乡（镇）行政区域内的经济和社会发展计划、预算，管理本乡镇行政区域内的经济、教育、科学、文化、卫生、体育等事业和生态环境保护、财政、民政、社会保障、公安、司法行政、人口与计划生育等行政工作；</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jc w:val="both"/>
        <w:textAlignment w:val="auto"/>
        <w:rPr>
          <w:rFonts w:ascii="仿宋_GB2312" w:hAnsi="宋体" w:eastAsia="仿宋_GB2312"/>
          <w:bCs/>
          <w:sz w:val="32"/>
          <w:szCs w:val="32"/>
        </w:rPr>
      </w:pPr>
      <w:r>
        <w:rPr>
          <w:rFonts w:hint="eastAsia" w:ascii="仿宋_GB2312" w:hAnsi="宋体" w:eastAsia="仿宋_GB2312"/>
          <w:bCs/>
          <w:sz w:val="32"/>
          <w:szCs w:val="32"/>
        </w:rPr>
        <w:t>保护社会主义的全民所有的财产和劳动群众集体所有的财产，保护公民所有的合法财产，维护社会秩序，保障公民的人身权利、民主权利和其他权利；</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jc w:val="both"/>
        <w:textAlignment w:val="auto"/>
        <w:rPr>
          <w:rFonts w:ascii="仿宋_GB2312" w:hAnsi="宋体" w:eastAsia="仿宋_GB2312"/>
          <w:bCs/>
          <w:sz w:val="32"/>
          <w:szCs w:val="32"/>
        </w:rPr>
      </w:pPr>
      <w:r>
        <w:rPr>
          <w:rFonts w:hint="eastAsia" w:ascii="仿宋_GB2312" w:hAnsi="宋体" w:eastAsia="仿宋_GB2312"/>
          <w:bCs/>
          <w:sz w:val="32"/>
          <w:szCs w:val="32"/>
        </w:rPr>
        <w:t>保护各种经济组织的合法权益；</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jc w:val="both"/>
        <w:textAlignment w:val="auto"/>
        <w:rPr>
          <w:rFonts w:ascii="仿宋_GB2312" w:hAnsi="宋体" w:eastAsia="仿宋_GB2312"/>
          <w:bCs/>
          <w:sz w:val="32"/>
          <w:szCs w:val="32"/>
        </w:rPr>
      </w:pPr>
      <w:r>
        <w:rPr>
          <w:rFonts w:hint="eastAsia" w:ascii="仿宋_GB2312" w:hAnsi="宋体" w:eastAsia="仿宋_GB2312"/>
          <w:bCs/>
          <w:sz w:val="32"/>
          <w:szCs w:val="32"/>
        </w:rPr>
        <w:t>铸牢中华民族共同体意识，促进各民族广泛交往交流交融，保障少数民族的合法权利和利益，保障少数民族保持或者改革自己的风俗习惯的自由；</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jc w:val="both"/>
        <w:textAlignment w:val="auto"/>
        <w:rPr>
          <w:rFonts w:ascii="仿宋_GB2312" w:hAnsi="宋体" w:eastAsia="仿宋_GB2312"/>
          <w:bCs/>
          <w:sz w:val="32"/>
          <w:szCs w:val="32"/>
        </w:rPr>
      </w:pPr>
      <w:r>
        <w:rPr>
          <w:rFonts w:hint="eastAsia" w:ascii="仿宋_GB2312" w:hAnsi="宋体" w:eastAsia="仿宋_GB2312"/>
          <w:bCs/>
          <w:sz w:val="32"/>
          <w:szCs w:val="32"/>
        </w:rPr>
        <w:t>保障宪法和法律赋予妇女的男女平等、同工同酬和自由等各项权利；</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jc w:val="both"/>
        <w:textAlignment w:val="auto"/>
        <w:rPr>
          <w:rFonts w:ascii="仿宋_GB2312" w:hAnsi="宋体" w:eastAsia="仿宋_GB2312"/>
          <w:bCs/>
          <w:sz w:val="32"/>
          <w:szCs w:val="32"/>
        </w:rPr>
      </w:pPr>
      <w:r>
        <w:rPr>
          <w:rFonts w:hint="eastAsia" w:ascii="仿宋_GB2312" w:hAnsi="宋体" w:eastAsia="仿宋_GB2312"/>
          <w:bCs/>
          <w:sz w:val="32"/>
          <w:szCs w:val="32"/>
        </w:rPr>
        <w:t>办理库尔勒市委、人民政府交办的其他事项。街道党工委作为库尔勒市委派出机关，要紧紧围绕新时代党的治疆方略、特别是社会稳定和长治久安总目标，不断加强基层基础建设，充分发挥统揽全局的核心领导作用，夯实党在城市的执政基础。街道办事处作为库尔勒市人民政府派出机关，在本辖区内办理库尔勒市人民政府交办的公共服务、公共管理、公共安全等工作，依法履行综合管理、统筹协调、应急处置和行政执法等职责，居民的意见和要求，对基层群众性自治组织的工作给予指导、支持和帮助。</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both"/>
        <w:textAlignment w:val="auto"/>
        <w:rPr>
          <w:rFonts w:ascii="仿宋_GB2312" w:hAnsi="宋体" w:eastAsia="仿宋_GB2312"/>
          <w:bCs/>
          <w:sz w:val="32"/>
          <w:szCs w:val="32"/>
        </w:rPr>
      </w:pPr>
      <w:r>
        <w:rPr>
          <w:rFonts w:hint="eastAsia" w:ascii="仿宋_GB2312" w:hAnsi="宋体" w:eastAsia="仿宋_GB2312"/>
          <w:bCs/>
          <w:sz w:val="32"/>
          <w:szCs w:val="32"/>
        </w:rPr>
        <w:t>机构设置及人员情况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库尔勒市兰干乡人民政府部门包括本级机关及0个直属事业单位，机关内设10个科室（党政综合办公室、党建工作办公室、经济发展和财政办公室、社会事务办公室（退伍军人服务站）、农村经济发展（统计）服务中心，综合执法办公室农业发展服务中心、公共文化服务中心、村镇建设发展中心、综合和网格化服务中心、便民服务中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ascii="仿宋_GB2312" w:hAnsi="宋体" w:eastAsia="仿宋_GB2312"/>
          <w:bCs/>
          <w:sz w:val="32"/>
          <w:szCs w:val="32"/>
        </w:rPr>
      </w:pPr>
      <w:r>
        <w:rPr>
          <w:rFonts w:hint="eastAsia" w:ascii="仿宋_GB2312" w:hAnsi="宋体" w:eastAsia="仿宋_GB2312"/>
          <w:bCs/>
          <w:sz w:val="32"/>
          <w:szCs w:val="32"/>
        </w:rPr>
        <w:t>库尔勒市兰干乡人民政府部门编制数96，实有人数94人，其中：在职74人，增加0人；退休20人，增加0人；离休0人，增加0人。</w:t>
      </w:r>
      <w:bookmarkStart w:id="0" w:name="_Hlk43849111"/>
      <w:bookmarkEnd w:id="0"/>
    </w:p>
    <w:p>
      <w:pPr>
        <w:keepNext w:val="0"/>
        <w:keepLines w:val="0"/>
        <w:pageBreakBefore w:val="0"/>
        <w:kinsoku/>
        <w:wordWrap/>
        <w:overflowPunct/>
        <w:topLinePunct w:val="0"/>
        <w:autoSpaceDE/>
        <w:autoSpaceDN/>
        <w:bidi w:val="0"/>
        <w:adjustRightInd/>
        <w:spacing w:line="560" w:lineRule="exact"/>
        <w:ind w:firstLine="0" w:firstLineChars="0"/>
        <w:jc w:val="both"/>
        <w:textAlignment w:val="auto"/>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1.年度总体目标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目标1：覆盖基层组织个数5个，有效解决乡镇公共服务运行经费保障，服务乡村数量不少于5个，要提升村社区、组党组织服务群众能力，减轻农民负担；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目标2：通过村社区、组党组织惠民政策的实施，村社区、组党建服务品牌建设，村社区组公共事业的补助和实施等为民办实事的开展，确保为民实施件数达到10件，为民办实事工作覆盖率达到100%以上。提升村社区、组党组织服务群众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目标3：在乡镇开展各项教育培训活动，提高干部及群众综合素质，有效提升服务群众水平，提高职业介绍和就业指导次数不少于10次，提高就业问题；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目标4：明显改善农村村容村貌，清洁卫生，促进农村建设，改善老百胜生产生活环境，提高人民生说水平，农牧民使用技能培训场次不少于10次；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目标5：抓好财政收支管理及村集体经济审计工作，审计单位7个，做好编制、公开、达到预算绩效全覆盖，将绩效管理纳入编辑，执行、监督全过程，强化绩效目标管理。</w:t>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2024年，库尔勒市兰干乡坚持把学习习近平新时代中国特色社会主义思想作为主线，坚定坚决贯彻落实以习近平同志为核心的党中央治疆方略，特别是社会稳定和长治久安总目标，在市党委、市政府的坚强领导下，扎实落实中央第三次新疆工作座谈会的总体工作部署，以饱满的热情和更加有力的举措推动各项工作落实。具体如下：</w:t>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深入学习贯彻党的二十大精神，坚持以习近平新时代中国特色社会主义思想为指引，着力解决突出问题，深入推进干部能力建设，把坚定理想信念作为根本目标、把培育先进典型作为重要举措、把党群共建作为重要内容、把创建活动作为重要载体，开展好每月主题党日和每周政治学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聚焦“两个维护”，把政治建设摆在首位、落到实处。推动各级党组织和广大党员坚决落实“两个维护”；深入学习贯彻习近平新时代中国特色社会主义思想和党的二十大精神。</w:t>
      </w:r>
      <w:r>
        <w:rPr>
          <w:rFonts w:hint="eastAsia" w:ascii="仿宋_GB2312" w:hAnsi="宋体" w:eastAsia="仿宋_GB2312"/>
          <w:bCs/>
          <w:sz w:val="32"/>
          <w:szCs w:val="32"/>
        </w:rPr>
        <w:br w:type="textWrapping"/>
      </w:r>
      <w:r>
        <w:rPr>
          <w:rFonts w:hint="eastAsia" w:ascii="仿宋_GB2312" w:hAnsi="宋体" w:eastAsia="仿宋_GB2312"/>
          <w:bCs/>
          <w:sz w:val="32"/>
          <w:szCs w:val="32"/>
        </w:rPr>
        <w:t>聚焦高素质专业化，打造忠诚干净担当的干部队伍。严格标准，坚持正确用人导向；严格教育，推进干部能力建设；严格考察，着力考准考实干部；严格考核，提升工作动能；严管与厚爱并重，激励干部新担当新作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聚焦组织力提升，推进基层党组织全面进步、全面过硬。层层压实责任；全力推进抓党建促脱贫；推进“九项重点任务”落实；统筹推进城市等其他领域党建工作；全面从严加强党员教育管理。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库尔勒市兰干乡人民政府2024年通过本部门预算支出，确保了75名在职人员的工资、津贴、补贴、社保、绩效、公积金等以及20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宋体" w:eastAsia="仿宋_GB2312"/>
          <w:bCs/>
          <w:sz w:val="32"/>
          <w:szCs w:val="32"/>
        </w:rPr>
      </w:pPr>
      <w:r>
        <w:rPr>
          <w:rFonts w:hint="eastAsia" w:ascii="仿宋_GB2312" w:hAnsi="宋体" w:eastAsia="仿宋_GB2312"/>
          <w:bCs/>
          <w:sz w:val="32"/>
          <w:szCs w:val="32"/>
        </w:rPr>
        <w:t>2024年通过本部门预算项目支出，确保7个专项项目（1.2023年第二批援疆项目（兰干乡新村速冻食品加工建设项目）、2.2022年河北对口巴州援疆项目资金（第一批）-兰干乡产业振兴扶持项目3.中央政法纪检监察转移支付资金（装备费）4.中央政法纪检监察转移支付资金（办案费）5.2024年中央财政衔接推进乡村振兴补助资金(速冻食品加工项目)6.2024年中央农村综合改革转移支付预算的通知（结帕尔村美丽乡村建设项目）7.国企退休人员社会化管理补助）工作分工，任务分配，资金落实，确保项目保质，保量按时完成。</w:t>
      </w:r>
    </w:p>
    <w:p>
      <w:pPr>
        <w:keepNext w:val="0"/>
        <w:keepLines w:val="0"/>
        <w:pageBreakBefore w:val="0"/>
        <w:numPr>
          <w:ilvl w:val="0"/>
          <w:numId w:val="0"/>
        </w:numPr>
        <w:kinsoku/>
        <w:wordWrap/>
        <w:overflowPunct/>
        <w:topLinePunct w:val="0"/>
        <w:autoSpaceDE/>
        <w:autoSpaceDN/>
        <w:bidi w:val="0"/>
        <w:adjustRightInd/>
        <w:spacing w:line="560" w:lineRule="exact"/>
        <w:jc w:val="both"/>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eastAsia="zh-CN" w:bidi="ar"/>
          <w14:textFill>
            <w14:solidFill>
              <w14:schemeClr w14:val="tx1"/>
            </w14:solidFill>
          </w14:textFill>
        </w:rPr>
        <w:t>（</w:t>
      </w:r>
      <w:r>
        <w:rPr>
          <w:rFonts w:hint="eastAsia" w:ascii="黑体" w:hAnsi="黑体" w:eastAsia="黑体" w:cs="宋体"/>
          <w:b/>
          <w:color w:val="000000" w:themeColor="text1"/>
          <w:sz w:val="32"/>
          <w:szCs w:val="32"/>
          <w:lang w:val="en-US" w:eastAsia="zh-CN" w:bidi="ar"/>
          <w14:textFill>
            <w14:solidFill>
              <w14:schemeClr w14:val="tx1"/>
            </w14:solidFill>
          </w14:textFill>
        </w:rPr>
        <w:t>三</w:t>
      </w:r>
      <w:r>
        <w:rPr>
          <w:rFonts w:hint="eastAsia" w:ascii="黑体" w:hAnsi="黑体" w:eastAsia="黑体" w:cs="宋体"/>
          <w:b/>
          <w:color w:val="000000" w:themeColor="text1"/>
          <w:sz w:val="32"/>
          <w:szCs w:val="32"/>
          <w:lang w:eastAsia="zh-CN" w:bidi="ar"/>
          <w14:textFill>
            <w14:solidFill>
              <w14:schemeClr w14:val="tx1"/>
            </w14:solidFill>
          </w14:textFill>
        </w:rPr>
        <w:t>）</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2024年库尔勒市兰干乡年初预算安排2086.18万元，其中财政拨款2086.18万元，其他资金0.00万元，主要用于基本工资、津贴补贴、奖金、机关事业单位基本养老保险缴费、职业年金缴费、职工基本医疗保险缴费、办公费、差旅费、维修（护）费、福利费、退休费，生活补助，其他个人补助支出，河北省2023年第二批援疆项目（兰干乡新村速冻食品加工建设项目）241.33万元、2022年河北对口巴州援疆项目资金（第一批）-兰干乡产业振兴扶持项目169.91万元、中央政法纪检监察转移支付资金（装备费）1.8万元、中央政法纪检监察转移支付资金（办案费）0.2万元、2024年中央财政衔接推进乡村振兴补助资金(速冻食品加工项目)824.84万元、2024年中央农村综合改革转移支付预算的通知（结帕尔村美丽乡村建设项目）194.04万元、国企退休人员社会化管理补助0.05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年中调整901.34万元，调整后全年预算2987.51万元，预算调整率43.2%，调整预算的主要原因为：增加乡村振兴项目支出（年中追加项目兰干乡速冻食品项目751.34万元，兰干乡新村速冻食品项目150万）。</w:t>
      </w:r>
    </w:p>
    <w:p>
      <w:pPr>
        <w:keepNext w:val="0"/>
        <w:keepLines w:val="0"/>
        <w:pageBreakBefore w:val="0"/>
        <w:numPr>
          <w:ilvl w:val="0"/>
          <w:numId w:val="0"/>
        </w:numPr>
        <w:kinsoku/>
        <w:wordWrap/>
        <w:overflowPunct/>
        <w:topLinePunct w:val="0"/>
        <w:autoSpaceDE/>
        <w:autoSpaceDN/>
        <w:bidi w:val="0"/>
        <w:adjustRightInd/>
        <w:snapToGrid w:val="0"/>
        <w:spacing w:line="560" w:lineRule="exact"/>
        <w:jc w:val="both"/>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二、</w:t>
      </w: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（一）部门单位整体支出管理情况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1.预算编制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2024年我部门坚持围绕中心工作，严格遵《预算法》以及库尔勒市财政局相关要求，结合兰干乡发展规划，年度装点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为预算编制提供详细依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lang w:val="en-US" w:eastAsia="zh-CN"/>
        </w:rPr>
        <w:t>2.</w:t>
      </w:r>
      <w:r>
        <w:rPr>
          <w:rFonts w:hint="eastAsia" w:ascii="仿宋_GB2312" w:hAnsi="宋体" w:eastAsia="仿宋_GB2312"/>
          <w:bCs/>
          <w:sz w:val="32"/>
          <w:szCs w:val="32"/>
        </w:rPr>
        <w:t>预算执行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库尔勒市财政批复预算后，我部门按要求及时制定并报批部门预算支出计划，按照预算安排和项目进度拨拨付资金，杜绝无预算，超预算拨款，确保转款专用：严格落实预算执行定期分析机制，对比实际执行与预算预算差异，找出原因，提出改进措施，靠前抓好支出执行，坚持严肃财经纪律，硬化预算约束，持续树牢厉行节约理念，严控一般性支出，努力降低行政、事业运行成本。</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lang w:val="en-US" w:eastAsia="zh-CN"/>
        </w:rPr>
        <w:t>3.</w:t>
      </w:r>
      <w:r>
        <w:rPr>
          <w:rFonts w:hint="eastAsia" w:ascii="仿宋_GB2312" w:hAnsi="宋体" w:eastAsia="仿宋_GB2312"/>
          <w:bCs/>
          <w:sz w:val="32"/>
          <w:szCs w:val="32"/>
        </w:rPr>
        <w:t>绩效管理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2024年，我部门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lang w:val="en-US" w:eastAsia="zh-CN"/>
        </w:rPr>
        <w:t>4.</w:t>
      </w:r>
      <w:r>
        <w:rPr>
          <w:rFonts w:hint="eastAsia" w:ascii="仿宋_GB2312" w:hAnsi="宋体" w:eastAsia="仿宋_GB2312"/>
          <w:bCs/>
          <w:sz w:val="32"/>
          <w:szCs w:val="32"/>
        </w:rPr>
        <w:t>信息公开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我部门已按要求在库尔勒市人民政府门户网站公开部门预算信息，同步公开绩效目标表；在库尔勒市人民政府门户网站公开部门决算信息，同步公开自评表及自评报告。</w:t>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lang w:val="en-US" w:eastAsia="zh-CN"/>
        </w:rPr>
        <w:t>1.</w:t>
      </w:r>
      <w:r>
        <w:rPr>
          <w:rFonts w:hint="eastAsia" w:ascii="仿宋_GB2312" w:hAnsi="宋体" w:eastAsia="仿宋_GB2312"/>
          <w:bCs/>
          <w:sz w:val="32"/>
          <w:szCs w:val="32"/>
        </w:rPr>
        <w:t>基本支出情况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2024年基本支出1555.33万元，包括工资福利支出1270.65万元，商品和服务支出179.4万元，对个人和家庭的补助105.28万元，资本性支出0万元。其中：“三公”经费支出16.8万元，比上年增加0万元，主要原因是：“三公”经费与上年保持一致；会议费支出0万元，比上年增加0万元，主要原因是：年初预算未安排相关会议费支出；培训费支出4.57万元，比上年增加1.47万元，主要原因是2024年为了提高在职干部业务水平，安排考察培训次数比去年增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2.专项资金支出情况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lang w:val="en-US" w:eastAsia="zh-CN"/>
        </w:rPr>
        <w:t>具体情况:1.</w:t>
      </w:r>
      <w:r>
        <w:rPr>
          <w:rFonts w:hint="eastAsia" w:ascii="仿宋_GB2312" w:hAnsi="宋体" w:eastAsia="仿宋_GB2312"/>
          <w:bCs/>
          <w:sz w:val="32"/>
          <w:szCs w:val="32"/>
        </w:rPr>
        <w:t>2024年专项项目支出1432.17万元，占总支出的47.93％，主要用于河北省2023年第二批援疆项目（兰干乡新村速冻食品加工建设项目）241.33万元，项目内容：改扩建速冻食品加工车间及附属用房2050平方米，配套附属设施。2</w:t>
      </w:r>
      <w:r>
        <w:rPr>
          <w:rFonts w:hint="eastAsia" w:ascii="仿宋_GB2312" w:hAnsi="宋体" w:eastAsia="仿宋_GB2312"/>
          <w:bCs/>
          <w:sz w:val="32"/>
          <w:szCs w:val="32"/>
          <w:lang w:val="en-US" w:eastAsia="zh-CN"/>
        </w:rPr>
        <w:t>.</w:t>
      </w:r>
      <w:r>
        <w:rPr>
          <w:rFonts w:hint="eastAsia" w:ascii="仿宋_GB2312" w:hAnsi="宋体" w:eastAsia="仿宋_GB2312"/>
          <w:bCs/>
          <w:sz w:val="32"/>
          <w:szCs w:val="32"/>
        </w:rPr>
        <w:t>2022年河北对口巴州援疆项目资金（第一批）-兰干乡产业振兴扶持项目169.91万元，项目内容：新建人行道路，公共区域混</w:t>
      </w:r>
      <w:r>
        <w:rPr>
          <w:rFonts w:hint="eastAsia" w:ascii="仿宋_GB2312" w:hAnsi="宋体" w:eastAsia="仿宋_GB2312"/>
          <w:bCs/>
          <w:sz w:val="32"/>
          <w:szCs w:val="32"/>
          <w:lang w:val="en-US" w:eastAsia="zh-CN"/>
        </w:rPr>
        <w:t>凝</w:t>
      </w:r>
      <w:r>
        <w:rPr>
          <w:rFonts w:hint="eastAsia" w:ascii="仿宋_GB2312" w:hAnsi="宋体" w:eastAsia="仿宋_GB2312"/>
          <w:bCs/>
          <w:sz w:val="32"/>
          <w:szCs w:val="32"/>
        </w:rPr>
        <w:t>土地面，绿化围栏，修复沥青地面，改造围墙面，成品不锈钢浮雕，绿植，街道亮化，街面墙绘，囊产业园职能培训基地房屋装修。3</w:t>
      </w:r>
      <w:r>
        <w:rPr>
          <w:rFonts w:hint="eastAsia" w:ascii="仿宋_GB2312" w:hAnsi="宋体" w:eastAsia="仿宋_GB2312"/>
          <w:bCs/>
          <w:sz w:val="32"/>
          <w:szCs w:val="32"/>
          <w:lang w:val="en-US" w:eastAsia="zh-CN"/>
        </w:rPr>
        <w:t>.</w:t>
      </w:r>
      <w:r>
        <w:rPr>
          <w:rFonts w:hint="eastAsia" w:ascii="仿宋_GB2312" w:hAnsi="宋体" w:eastAsia="仿宋_GB2312"/>
          <w:bCs/>
          <w:sz w:val="32"/>
          <w:szCs w:val="32"/>
        </w:rPr>
        <w:t>中央政法纪检监察转移支付资金（装备费）1.8万元（主要用于纪委办公室购买笔记本电脑2台，录音笔5个）4</w:t>
      </w:r>
      <w:r>
        <w:rPr>
          <w:rFonts w:hint="eastAsia" w:ascii="仿宋_GB2312" w:hAnsi="宋体" w:eastAsia="仿宋_GB2312"/>
          <w:bCs/>
          <w:sz w:val="32"/>
          <w:szCs w:val="32"/>
          <w:lang w:val="en-US" w:eastAsia="zh-CN"/>
        </w:rPr>
        <w:t>.</w:t>
      </w:r>
      <w:r>
        <w:rPr>
          <w:rFonts w:hint="eastAsia" w:ascii="仿宋_GB2312" w:hAnsi="宋体" w:eastAsia="仿宋_GB2312"/>
          <w:bCs/>
          <w:sz w:val="32"/>
          <w:szCs w:val="32"/>
        </w:rPr>
        <w:t>中央政法纪检监察转移支付资金（办案费）0.2万元（主要用于纪委办公室购买办公用品）5</w:t>
      </w:r>
      <w:r>
        <w:rPr>
          <w:rFonts w:hint="eastAsia" w:ascii="仿宋_GB2312" w:hAnsi="宋体" w:eastAsia="仿宋_GB2312"/>
          <w:bCs/>
          <w:sz w:val="32"/>
          <w:szCs w:val="32"/>
          <w:lang w:val="en-US" w:eastAsia="zh-CN"/>
        </w:rPr>
        <w:t>.</w:t>
      </w:r>
      <w:r>
        <w:rPr>
          <w:rFonts w:hint="eastAsia" w:ascii="仿宋_GB2312" w:hAnsi="宋体" w:eastAsia="仿宋_GB2312"/>
          <w:bCs/>
          <w:sz w:val="32"/>
          <w:szCs w:val="32"/>
        </w:rPr>
        <w:t>2024年中央财政衔接推进乡村振兴补助资金(速冻食品加工项目)824.84万元，主要用于兰干乡食品产业小镇新建厂房二层框架结构2400平方米，动力高低压配电柜1套，照明低压配电柜一套，燃气接口一项，燃气管道设备及安装1项，室外给排水官网400米，室外给水官网250米，污水处理设备1套。6</w:t>
      </w:r>
      <w:r>
        <w:rPr>
          <w:rFonts w:hint="eastAsia" w:ascii="仿宋_GB2312" w:hAnsi="宋体" w:eastAsia="仿宋_GB2312"/>
          <w:bCs/>
          <w:sz w:val="32"/>
          <w:szCs w:val="32"/>
          <w:lang w:val="en-US" w:eastAsia="zh-CN"/>
        </w:rPr>
        <w:t>.</w:t>
      </w:r>
      <w:r>
        <w:rPr>
          <w:rFonts w:hint="eastAsia" w:ascii="仿宋_GB2312" w:hAnsi="宋体" w:eastAsia="仿宋_GB2312"/>
          <w:bCs/>
          <w:sz w:val="32"/>
          <w:szCs w:val="32"/>
        </w:rPr>
        <w:t>2024年中央农村综合改革转移支付预算的通知（结帕尔村美丽乡村建设项目）194.04万元，项目内容：新建沥青道路3198平方米，沥青道路修复3100平方米，新建80型装配式柜型渠1583米及配套渠系建筑物，照明设施及道路路灯修复，砂砾石停车场及附属设施，村容村貌提升改造7.国企退休人员社会化管理补助0.05万元，主要用于乡机关采购办公用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3.部门单位专项组织实施情况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lang w:val="en-US" w:eastAsia="zh-CN"/>
        </w:rPr>
        <w:t>具体情况：1.</w:t>
      </w:r>
      <w:r>
        <w:rPr>
          <w:rFonts w:hint="eastAsia" w:ascii="仿宋_GB2312" w:hAnsi="宋体" w:eastAsia="仿宋_GB2312"/>
          <w:bCs/>
          <w:sz w:val="32"/>
          <w:szCs w:val="32"/>
        </w:rPr>
        <w:t>年初我单位下发河北省2023年第二批援疆项目（兰干乡新村速冻食品加工建设项目）</w:t>
      </w:r>
      <w:r>
        <w:rPr>
          <w:rFonts w:hint="eastAsia" w:ascii="仿宋_GB2312" w:hAnsi="宋体" w:eastAsia="仿宋_GB2312"/>
          <w:bCs/>
          <w:sz w:val="32"/>
          <w:szCs w:val="32"/>
          <w:lang w:eastAsia="zh-CN"/>
        </w:rPr>
        <w:t>。</w:t>
      </w:r>
      <w:r>
        <w:rPr>
          <w:rFonts w:hint="eastAsia" w:ascii="仿宋_GB2312" w:hAnsi="宋体" w:eastAsia="仿宋_GB2312"/>
          <w:bCs/>
          <w:sz w:val="32"/>
          <w:szCs w:val="32"/>
        </w:rPr>
        <w:t>2.2022年河北对口巴州援疆项目资金（第一批）-兰干乡产业振兴扶持项目3.中央政法纪检监察转移支付资金（装备费）</w:t>
      </w:r>
      <w:r>
        <w:rPr>
          <w:rFonts w:hint="eastAsia" w:ascii="仿宋_GB2312" w:hAnsi="宋体" w:eastAsia="仿宋_GB2312"/>
          <w:bCs/>
          <w:sz w:val="32"/>
          <w:szCs w:val="32"/>
          <w:lang w:eastAsia="zh-CN"/>
        </w:rPr>
        <w:t>。</w:t>
      </w:r>
      <w:r>
        <w:rPr>
          <w:rFonts w:hint="eastAsia" w:ascii="仿宋_GB2312" w:hAnsi="宋体" w:eastAsia="仿宋_GB2312"/>
          <w:bCs/>
          <w:sz w:val="32"/>
          <w:szCs w:val="32"/>
        </w:rPr>
        <w:t>4.中央政法纪检监察转移支付资金（办案费）5.2024年中央财政衔接推进乡村振兴补助资金(速冻食品加工项目)6.2024年中央农村综合改革转移支付预算的通知（结帕尔村美丽乡村建设项目）</w:t>
      </w:r>
      <w:r>
        <w:rPr>
          <w:rFonts w:hint="eastAsia" w:ascii="仿宋_GB2312" w:hAnsi="宋体" w:eastAsia="仿宋_GB2312"/>
          <w:bCs/>
          <w:sz w:val="32"/>
          <w:szCs w:val="32"/>
          <w:lang w:eastAsia="zh-CN"/>
        </w:rPr>
        <w:t>。</w:t>
      </w:r>
      <w:r>
        <w:rPr>
          <w:rFonts w:hint="eastAsia" w:ascii="仿宋_GB2312" w:hAnsi="宋体" w:eastAsia="仿宋_GB2312"/>
          <w:bCs/>
          <w:sz w:val="32"/>
          <w:szCs w:val="32"/>
        </w:rPr>
        <w:t>7.国企退休人员社会化管理补助，对项目的工作分工、任务分配、资金落实、完成时限等提出了明确、具体的要求，以确保项目保质、保量、按时完成。截至2024年12月31日，完成专项7个，未完成专项0个。</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为规范专项资金使用，提高专项资金使用效益，我部门主要采取四项措施。一是依据专项资金管理制度使用：二是资金拨付审批手续完整；三是专项资金管理制度，四是认真组织项目验收。</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依据《关于印发，&lt;自治区财政资金使用跟踪反馈管理暂行办法&gt;的通知》（新财预字{2016}113号），《中华人民共和国预算法》等相关资金，项目管理办法执行。按比列按资金用途使用，施行转款专用，严挤占挪用。加强对项目资金的预算执行及日常监督管理，确保每个项目按照规定的用途实施。</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资金拨付审批手续完整。项目资金转款专用，不存在支出依据不合规，序列项目支出，戴留，挤占，挪用和超标准支出等现象，使项目资金的运用等到了合理的控制，项目得到了切实的保障。</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制订专项资金管理制度；资金使用严格遵循了国家相关法律法规与财务制度，保证资金的合理使用，便于上级主管部门检查、监督，实行转款专用，不得以任何理由按部门切块或挪作</w:t>
      </w:r>
      <w:r>
        <w:rPr>
          <w:rFonts w:hint="eastAsia" w:ascii="仿宋_GB2312" w:hAnsi="宋体" w:eastAsia="仿宋_GB2312"/>
          <w:bCs/>
          <w:sz w:val="32"/>
          <w:szCs w:val="32"/>
          <w:lang w:val="en-US" w:eastAsia="zh-CN"/>
        </w:rPr>
        <w:t>他</w:t>
      </w:r>
      <w:r>
        <w:rPr>
          <w:rFonts w:hint="eastAsia" w:ascii="仿宋_GB2312" w:hAnsi="宋体" w:eastAsia="仿宋_GB2312"/>
          <w:bCs/>
          <w:sz w:val="32"/>
          <w:szCs w:val="32"/>
        </w:rPr>
        <w:t>用，严格执行财务制度，各级领导及部门财务支出严格按制度办事，加强资金使用的跟踪检查和审计。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宋体" w:eastAsia="仿宋_GB2312"/>
          <w:bCs/>
          <w:sz w:val="32"/>
          <w:szCs w:val="32"/>
        </w:rPr>
      </w:pPr>
      <w:r>
        <w:rPr>
          <w:rFonts w:hint="eastAsia" w:ascii="仿宋_GB2312" w:hAnsi="宋体" w:eastAsia="仿宋_GB2312"/>
          <w:bCs/>
          <w:sz w:val="32"/>
          <w:szCs w:val="32"/>
        </w:rPr>
        <w:t>（4）认真组织工程项目实施方案项目验收：确保项目符合合同，项目申报书等要求，质量符合国家以及行业相关标准，资金使用合规，杜绝出现资金挪用，戴留，超支等问题，保障资金使用安全，规范。</w:t>
      </w:r>
    </w:p>
    <w:p>
      <w:pPr>
        <w:keepNext w:val="0"/>
        <w:keepLines w:val="0"/>
        <w:pageBreakBefore w:val="0"/>
        <w:numPr>
          <w:ilvl w:val="0"/>
          <w:numId w:val="0"/>
        </w:numPr>
        <w:kinsoku/>
        <w:wordWrap/>
        <w:overflowPunct/>
        <w:topLinePunct w:val="0"/>
        <w:autoSpaceDE/>
        <w:autoSpaceDN/>
        <w:bidi w:val="0"/>
        <w:adjustRightInd/>
        <w:snapToGrid w:val="0"/>
        <w:spacing w:line="560" w:lineRule="exact"/>
        <w:jc w:val="both"/>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三、</w:t>
      </w: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（一）预算执行情况分析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2024年库尔勒市兰干乡总支出2987.51万元，预算执行率100%，其中一般公共服务支出1461.07万元，科学技术支出1.15万元，文化旅游体育与传媒支出13.81万元，社会保障和就业支出205.30万元，卫生健康支出74.02万元，农林水支出1114.61万元，住房保障支出109.21万元，国有资本经营预算支出0.05万元，其他支出8.3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1.基本支出使用情况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2024年，库尔勒市兰干乡基本支出1555.33万元，占总支出的52.07％，其中：一般公共服务支出1047.82万元，科学技术支出1.15万元，文化旅游体育与传媒支出13.87万元，社会保障和就业支出205.33万元，卫生健康支出74.02万元，农林水支出95.62万元，住房保障支出109.22万元，其他支出8.3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2.项目支出使用情况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2024年，库尔勒市兰干乡项目支出1432.17万元，占总支出的47.93％。其中：一般公共服务支出413.28万元，农林水支出1018.89万元，国有资本经营预算支出0.05。</w:t>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年初我单位设置部门整体绩效目标中包括一级指标1个（履职效能）二级指标1个，三级指标4个，指标完成情况分析如下：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指标1：覆盖基层组织个数，指标值：&gt;=5个，年中监控完成值：=5个，自评完成值：=5个，指标完成率=100%，偏差0%。指标成效分析：覆盖基层组织正常运转，提高了工作效率和改善了工作质量及服务水平。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指标2：工作队在职人数，指标值：&gt;=20人，年中监控完成值：=20人，自评完成值：=20人，指标完成率100%，偏差0%。指标成效分析：通过在职工作队队员的各项工作有效完成，提高了工作质量及服务水平。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指标3：农牧民实用技能培训场次数，指标值：&gt;=10次，年中监控完成值：=10次，自评完成值：=10次，指标完成率100%，偏差0%。指标成效分析：通过常态化开展农牧民使用技能培训，提高了农牧民的各种种植知识和增值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宋体" w:eastAsia="仿宋_GB2312"/>
          <w:b/>
          <w:sz w:val="32"/>
          <w:szCs w:val="32"/>
        </w:rPr>
      </w:pPr>
      <w:r>
        <w:rPr>
          <w:rFonts w:hint="eastAsia" w:ascii="仿宋_GB2312" w:hAnsi="宋体" w:eastAsia="仿宋_GB2312"/>
          <w:bCs/>
          <w:sz w:val="32"/>
          <w:szCs w:val="32"/>
        </w:rPr>
        <w:t>指标4：为民办实事件数量，指标值：&gt;=10件，年中监控完成值：=10件，自评完成值：=10件，指标完成率100%，偏差0%。指标成效分析：通过开展为民办实事工作，提高了给农牧民服务服务意识和便于农牧民办事和及时率。</w:t>
      </w:r>
    </w:p>
    <w:p>
      <w:pPr>
        <w:keepNext w:val="0"/>
        <w:keepLines w:val="0"/>
        <w:pageBreakBefore w:val="0"/>
        <w:numPr>
          <w:ilvl w:val="0"/>
          <w:numId w:val="0"/>
        </w:numPr>
        <w:kinsoku/>
        <w:wordWrap/>
        <w:overflowPunct/>
        <w:topLinePunct w:val="0"/>
        <w:autoSpaceDE/>
        <w:autoSpaceDN/>
        <w:bidi w:val="0"/>
        <w:adjustRightInd/>
        <w:snapToGrid w:val="0"/>
        <w:spacing w:line="560" w:lineRule="exact"/>
        <w:jc w:val="both"/>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四、</w:t>
      </w:r>
      <w:r>
        <w:rPr>
          <w:rFonts w:hint="eastAsia" w:ascii="黑体" w:hAnsi="黑体" w:eastAsia="黑体" w:cs="宋体"/>
          <w:b/>
          <w:color w:val="000000" w:themeColor="text1"/>
          <w:sz w:val="32"/>
          <w:szCs w:val="32"/>
          <w:lang w:bidi="ar"/>
          <w14:textFill>
            <w14:solidFill>
              <w14:schemeClr w14:val="tx1"/>
            </w14:solidFill>
          </w14:textFill>
        </w:rPr>
        <w:t>评价结论：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宋体" w:eastAsia="仿宋_GB2312"/>
          <w:bCs/>
          <w:sz w:val="32"/>
          <w:szCs w:val="32"/>
        </w:rPr>
      </w:pPr>
      <w:r>
        <w:rPr>
          <w:rFonts w:hint="eastAsia" w:ascii="仿宋_GB2312" w:hAnsi="宋体" w:eastAsia="仿宋_GB2312"/>
          <w:bCs/>
          <w:sz w:val="32"/>
          <w:szCs w:val="32"/>
        </w:rPr>
        <w:t>2024年度部门整体支出绩效自评综合得分100分，评价结果为“优”。</w:t>
      </w:r>
    </w:p>
    <w:p>
      <w:pPr>
        <w:keepNext w:val="0"/>
        <w:keepLines w:val="0"/>
        <w:pageBreakBefore w:val="0"/>
        <w:numPr>
          <w:ilvl w:val="0"/>
          <w:numId w:val="0"/>
        </w:numPr>
        <w:kinsoku/>
        <w:wordWrap/>
        <w:overflowPunct/>
        <w:topLinePunct w:val="0"/>
        <w:autoSpaceDE/>
        <w:autoSpaceDN/>
        <w:bidi w:val="0"/>
        <w:adjustRightInd/>
        <w:snapToGrid w:val="0"/>
        <w:spacing w:line="560" w:lineRule="exact"/>
        <w:jc w:val="both"/>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五、</w:t>
      </w: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1.预算绩效观念不深入。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在日常绩效监控工作中存在着一定程度的“重分配、轻管理、重支出、轻绩效”的情况，造成该问题的主要原因是自身绩效理念较薄弱，单位绩效目标编制仍有缺失，需要进一步加强对资金绩效管理的重视程度。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2.预算绩效规范管理有盲点。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宋体" w:eastAsia="仿宋_GB2312"/>
          <w:bCs/>
          <w:sz w:val="32"/>
          <w:szCs w:val="32"/>
        </w:rPr>
      </w:pPr>
      <w:r>
        <w:rPr>
          <w:rFonts w:hint="eastAsia" w:ascii="仿宋_GB2312" w:hAnsi="宋体" w:eastAsia="仿宋_GB2312"/>
          <w:bCs/>
          <w:sz w:val="32"/>
          <w:szCs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pPr>
        <w:keepNext w:val="0"/>
        <w:keepLines w:val="0"/>
        <w:pageBreakBefore w:val="0"/>
        <w:numPr>
          <w:ilvl w:val="0"/>
          <w:numId w:val="0"/>
        </w:numPr>
        <w:kinsoku/>
        <w:wordWrap/>
        <w:overflowPunct/>
        <w:topLinePunct w:val="0"/>
        <w:autoSpaceDE/>
        <w:autoSpaceDN/>
        <w:bidi w:val="0"/>
        <w:adjustRightInd/>
        <w:snapToGrid w:val="0"/>
        <w:spacing w:line="560" w:lineRule="exact"/>
        <w:jc w:val="both"/>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六、</w:t>
      </w:r>
      <w:r>
        <w:rPr>
          <w:rFonts w:hint="eastAsia" w:ascii="黑体" w:hAnsi="黑体" w:eastAsia="黑体" w:cs="宋体"/>
          <w:b/>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1.进一步完善整体绩效目标设置，确保绩效目标与工作规划有效衔接，规范设置目标，提高绩效指标的针对性，确保覆盖我单位主要职能和重点工作任务；完善绩效运行监控，确保绩效目标和预算执行进度相匹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宋体" w:eastAsia="仿宋_GB2312"/>
          <w:bCs/>
          <w:sz w:val="32"/>
          <w:szCs w:val="32"/>
        </w:rPr>
      </w:pPr>
      <w:r>
        <w:rPr>
          <w:rFonts w:hint="eastAsia" w:ascii="仿宋_GB2312" w:hAnsi="宋体" w:eastAsia="仿宋_GB2312"/>
          <w:bCs/>
          <w:sz w:val="32"/>
          <w:szCs w:val="32"/>
        </w:rPr>
        <w:t>2.财务上，会计核算要更加详细，为本单位各项工作的开展、总结、评估提供有效数据资料支撑,为各项业务工作更好的开展提供帮助。主要体现为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keepNext w:val="0"/>
        <w:keepLines w:val="0"/>
        <w:pageBreakBefore w:val="0"/>
        <w:kinsoku/>
        <w:wordWrap/>
        <w:overflowPunct/>
        <w:topLinePunct w:val="0"/>
        <w:autoSpaceDE/>
        <w:autoSpaceDN/>
        <w:bidi w:val="0"/>
        <w:adjustRightInd/>
        <w:spacing w:line="560" w:lineRule="exact"/>
        <w:ind w:firstLine="0" w:firstLineChars="0"/>
        <w:jc w:val="both"/>
        <w:textAlignment w:val="auto"/>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9074D2"/>
    <w:multiLevelType w:val="singleLevel"/>
    <w:tmpl w:val="8E9074D2"/>
    <w:lvl w:ilvl="0" w:tentative="0">
      <w:start w:val="2"/>
      <w:numFmt w:val="decimal"/>
      <w:lvlText w:val="%1."/>
      <w:lvlJc w:val="left"/>
      <w:pPr>
        <w:tabs>
          <w:tab w:val="left" w:pos="312"/>
        </w:tabs>
      </w:pPr>
    </w:lvl>
  </w:abstractNum>
  <w:abstractNum w:abstractNumId="1">
    <w:nsid w:val="9C4B9AC3"/>
    <w:multiLevelType w:val="singleLevel"/>
    <w:tmpl w:val="9C4B9AC3"/>
    <w:lvl w:ilvl="0" w:tentative="0">
      <w:start w:val="1"/>
      <w:numFmt w:val="decimal"/>
      <w:lvlText w:val="%1."/>
      <w:lvlJc w:val="left"/>
      <w:pPr>
        <w:tabs>
          <w:tab w:val="left" w:pos="312"/>
        </w:tabs>
      </w:pPr>
    </w:lvl>
  </w:abstractNum>
  <w:abstractNum w:abstractNumId="2">
    <w:nsid w:val="9D253ED3"/>
    <w:multiLevelType w:val="singleLevel"/>
    <w:tmpl w:val="9D253ED3"/>
    <w:lvl w:ilvl="0" w:tentative="0">
      <w:start w:val="1"/>
      <w:numFmt w:val="decimal"/>
      <w:lvlText w:val="%1."/>
      <w:lvlJc w:val="left"/>
      <w:pPr>
        <w:tabs>
          <w:tab w:val="left" w:pos="312"/>
        </w:tabs>
      </w:pPr>
    </w:lvl>
  </w:abstractNum>
  <w:abstractNum w:abstractNumId="3">
    <w:nsid w:val="0EB3AA87"/>
    <w:multiLevelType w:val="singleLevel"/>
    <w:tmpl w:val="0EB3AA87"/>
    <w:lvl w:ilvl="0" w:tentative="0">
      <w:start w:val="1"/>
      <w:numFmt w:val="decimal"/>
      <w:suff w:val="nothing"/>
      <w:lvlText w:val="（%1）"/>
      <w:lvlJc w:val="left"/>
    </w:lvl>
  </w:abstractNum>
  <w:abstractNum w:abstractNumId="4">
    <w:nsid w:val="75AD7AB3"/>
    <w:multiLevelType w:val="singleLevel"/>
    <w:tmpl w:val="75AD7AB3"/>
    <w:lvl w:ilvl="0" w:tentative="0">
      <w:start w:val="1"/>
      <w:numFmt w:val="chineseCounting"/>
      <w:suff w:val="nothing"/>
      <w:lvlText w:val="（%1）"/>
      <w:lvlJc w:val="left"/>
      <w:rPr>
        <w:rFonts w:hint="eastAsia"/>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3B732C62"/>
    <w:rsid w:val="40571CAB"/>
    <w:rsid w:val="408027C1"/>
    <w:rsid w:val="50FB0DCC"/>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43</TotalTime>
  <ScaleCrop>false</ScaleCrop>
  <LinksUpToDate>false</LinksUpToDate>
  <CharactersWithSpaces>384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lenovo</cp:lastModifiedBy>
  <dcterms:modified xsi:type="dcterms:W3CDTF">2025-09-02T05:34:52Z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4E2A216151A24EE5A190066F518526B7</vt:lpwstr>
  </property>
</Properties>
</file>