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highlight w:val="none"/>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highlight w:val="none"/>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highlight w:val="none"/>
        </w:rPr>
      </w:pPr>
    </w:p>
    <w:p>
      <w:pPr>
        <w:jc w:val="center"/>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库尔勒市兰干乡人民政府</w:t>
      </w:r>
    </w:p>
    <w:p>
      <w:pPr>
        <w:jc w:val="center"/>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2024年度部门决算</w:t>
      </w:r>
    </w:p>
    <w:p>
      <w:pPr>
        <w:jc w:val="center"/>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公开说明</w:t>
      </w:r>
    </w:p>
    <w:p>
      <w:pPr>
        <w:keepNext w:val="0"/>
        <w:keepLines w:val="0"/>
        <w:pageBreakBefore w:val="0"/>
        <w:widowControl/>
        <w:kinsoku/>
        <w:wordWrap/>
        <w:overflowPunct/>
        <w:topLinePunct w:val="0"/>
        <w:autoSpaceDE/>
        <w:autoSpaceDN/>
        <w:bidi w:val="0"/>
        <w:adjustRightInd/>
        <w:snapToGrid/>
        <w:spacing w:line="560" w:lineRule="exact"/>
        <w:textAlignment w:val="auto"/>
        <w:rPr>
          <w:highlight w:val="none"/>
        </w:rPr>
      </w:pPr>
      <w:r>
        <w:rPr>
          <w:b w:val="0"/>
          <w:sz w:val="0"/>
          <w:szCs w:val="0"/>
          <w:highlight w:val="none"/>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highlight w:val="none"/>
        </w:rPr>
      </w:pPr>
      <w:r>
        <w:rPr>
          <w:rFonts w:ascii="黑体" w:eastAsia="黑体"/>
          <w:b/>
          <w:sz w:val="32"/>
          <w:szCs w:val="32"/>
          <w:highlight w:val="none"/>
        </w:rPr>
        <w:t>目录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sz w:val="32"/>
          <w:szCs w:val="32"/>
          <w:highlight w:val="none"/>
        </w:rPr>
        <w:t>第一部分单位概况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sz w:val="32"/>
          <w:szCs w:val="32"/>
          <w:highlight w:val="none"/>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sz w:val="32"/>
          <w:szCs w:val="32"/>
          <w:highlight w:val="none"/>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sz w:val="32"/>
          <w:szCs w:val="32"/>
          <w:highlight w:val="none"/>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highlight w:val="none"/>
        </w:rPr>
      </w:pPr>
      <w:r>
        <w:rPr>
          <w:b w:val="0"/>
          <w:sz w:val="0"/>
          <w:szCs w:val="0"/>
          <w:highlight w:val="none"/>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highlight w:val="none"/>
        </w:rPr>
      </w:pPr>
      <w:r>
        <w:rPr>
          <w:rFonts w:ascii="黑体" w:eastAsia="黑体"/>
          <w:b w:val="0"/>
          <w:sz w:val="32"/>
          <w:szCs w:val="32"/>
          <w:highlight w:val="none"/>
        </w:rPr>
        <w:t>第一部分</w:t>
      </w:r>
      <w:r>
        <w:rPr>
          <w:rFonts w:hint="eastAsia" w:ascii="黑体" w:eastAsia="黑体"/>
          <w:b w:val="0"/>
          <w:sz w:val="32"/>
          <w:szCs w:val="32"/>
          <w:highlight w:val="none"/>
          <w:lang w:val="en-US" w:eastAsia="zh-CN"/>
        </w:rPr>
        <w:t xml:space="preserve"> </w:t>
      </w:r>
      <w:r>
        <w:rPr>
          <w:rFonts w:ascii="黑体" w:eastAsia="黑体"/>
          <w:b w:val="0"/>
          <w:sz w:val="32"/>
          <w:szCs w:val="32"/>
          <w:highlight w:val="none"/>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highlight w:val="none"/>
        </w:rPr>
      </w:pPr>
      <w:r>
        <w:rPr>
          <w:rFonts w:hint="eastAsia" w:ascii="仿宋_GB2312" w:eastAsia="仿宋_GB2312"/>
          <w:b w:val="0"/>
          <w:sz w:val="32"/>
          <w:szCs w:val="32"/>
          <w:highlight w:val="none"/>
          <w:lang w:val="en-US" w:eastAsia="zh-CN"/>
        </w:rPr>
        <w:t>新疆库尔勒市兰干乡党委、政府在市委领导下，负责贯彻落实新时代党的组织路线和以习近平同志为核心的党中央治疆方略、聚焦服务社会稳定和长治久安总目标，落实党中央、自治区党委、州委和市委关于组织体系、领导班子建设，领导干部队伍、公务员队伍、人才队伍、离退休干部建设的方针政策和决策部署。主要职责是：1、执行本级人民代表大会的决议和上级国家行政机关的决定和命令，发布决定和命令。2、执行本行政区域内的经济和社会发展计划、预算，管理本行政区域内的经济、教育、科学、文化、卫生、体育事业、财政、民政、司法行政、计划生育等行政工作。3、保护社会主义的全民所有的财产和劳动群众集体所有的财产，保护公民私人所有的合法财产，维护社会秩序，保障公民的人身权利、民主权利和其他权利。4、保护各种经济组织的合法权益。5、保障少数民族的权利和尊重少数民族的风俗习惯。6、办理上级人民政府交办的其他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库尔勒市兰干乡人民政府2024年度，实有人数85人，其中：在职人员65人，减少9人；离休人员0人，较上年无变化；退休人员20人，增加5人。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库尔勒市兰干乡人民政府无下属预算单位，下设</w:t>
      </w:r>
      <w:r>
        <w:rPr>
          <w:rFonts w:hint="eastAsia" w:ascii="仿宋_GB2312" w:eastAsia="仿宋_GB2312"/>
          <w:b w:val="0"/>
          <w:sz w:val="32"/>
          <w:szCs w:val="32"/>
          <w:highlight w:val="none"/>
          <w:lang w:val="en-US" w:eastAsia="zh-CN"/>
        </w:rPr>
        <w:t>五办五中心</w:t>
      </w:r>
      <w:r>
        <w:rPr>
          <w:rFonts w:ascii="仿宋_GB2312" w:eastAsia="仿宋_GB2312"/>
          <w:b w:val="0"/>
          <w:sz w:val="32"/>
          <w:szCs w:val="32"/>
          <w:highlight w:val="none"/>
        </w:rPr>
        <w:t>，分别是：</w:t>
      </w:r>
      <w:r>
        <w:rPr>
          <w:rFonts w:hint="eastAsia" w:ascii="仿宋_GB2312" w:eastAsia="仿宋_GB2312"/>
          <w:b w:val="0"/>
          <w:sz w:val="32"/>
          <w:szCs w:val="32"/>
          <w:highlight w:val="none"/>
          <w:lang w:val="en-US" w:eastAsia="zh-CN"/>
        </w:rPr>
        <w:t>党政综合办公室、党建工作办公室、经济发展和财政办公室、社会事务办公室（退役军人服务站）、综合执法办公室、农业发展服务中心、公共文化服务中心、村镇建设发展中心、综治和网格化服务中心、便民服务中心</w:t>
      </w:r>
      <w:r>
        <w:rPr>
          <w:rFonts w:ascii="仿宋_GB2312" w:eastAsia="仿宋_GB2312"/>
          <w:b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60" w:lineRule="exact"/>
        <w:textAlignment w:val="auto"/>
        <w:rPr>
          <w:highlight w:val="none"/>
        </w:rPr>
      </w:pPr>
      <w:r>
        <w:rPr>
          <w:b w:val="0"/>
          <w:sz w:val="0"/>
          <w:szCs w:val="0"/>
          <w:highlight w:val="none"/>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highlight w:val="none"/>
        </w:rPr>
      </w:pPr>
      <w:r>
        <w:rPr>
          <w:rFonts w:ascii="黑体" w:eastAsia="黑体"/>
          <w:b w:val="0"/>
          <w:sz w:val="32"/>
          <w:szCs w:val="32"/>
          <w:highlight w:val="none"/>
        </w:rPr>
        <w:t>第二部分</w:t>
      </w:r>
      <w:r>
        <w:rPr>
          <w:rFonts w:hint="eastAsia" w:ascii="黑体" w:eastAsia="黑体"/>
          <w:b w:val="0"/>
          <w:sz w:val="32"/>
          <w:szCs w:val="32"/>
          <w:highlight w:val="none"/>
          <w:lang w:val="en-US" w:eastAsia="zh-CN"/>
        </w:rPr>
        <w:t xml:space="preserve"> </w:t>
      </w:r>
      <w:r>
        <w:rPr>
          <w:rFonts w:ascii="黑体" w:eastAsia="黑体"/>
          <w:b w:val="0"/>
          <w:sz w:val="32"/>
          <w:szCs w:val="32"/>
          <w:highlight w:val="none"/>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2024年度收入总计2,987.51万元，其中：本年收入合计2,987.51万元，使用非财政拨款结余（含专用结余）0.00万元，年初结转和结余0.00万元。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2024年度支出总计2,987.51万元，其中：本年支出合计2,987.51万元，结余分配0.00万元，年末结转和结余0.00万元。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收入支出总体与上年相比，减少686.65万元，下降18.69%，主要原因是：</w:t>
      </w:r>
      <w:r>
        <w:rPr>
          <w:rFonts w:hint="eastAsia" w:ascii="仿宋_GB2312" w:hAnsi="Times New Roman" w:eastAsia="仿宋_GB2312" w:cs="Times New Roman"/>
          <w:color w:val="auto"/>
          <w:spacing w:val="0"/>
          <w:sz w:val="32"/>
          <w:szCs w:val="32"/>
          <w:highlight w:val="none"/>
          <w:lang w:val="en-US" w:eastAsia="zh-CN"/>
        </w:rPr>
        <w:t>2024年兰干乡减少乡村振兴项目、偿还历年项目资金减少，所以收入支出总体减少。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本年收入2,987.51万元，其中：财政拨款收入2,576.26万元,占86.23%；上级补助收入0.00万元,占0.00%；事业收入0.00万元，占0.00%；经营收入0.00万元,占0.00%；附属单位上缴收入0.00万元，占0.00%；其他收入411.24万元，占13.77%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本年支出2,987.51万元，其中：基本支出1,555.33万元，占52.06%；项目支出1,432.18万元，占47.94%；上缴上级支出0.00万元，占0.00%；经营支出0.00万元，占0.00%；对附属单位补助支出0.00万元，占0.00%。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2024年度财政拨款收入总计2,576.26万元，其中：年初财政拨款结转和结余0.00万元，本年财政拨款收入2,576.26万元。财政拨款支出总计2,576.26万元，其中：年末财政拨款结转和结余0.00万元，本年财政拨款支出2,576.26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color w:val="auto"/>
          <w:spacing w:val="0"/>
          <w:sz w:val="32"/>
          <w:szCs w:val="32"/>
          <w:highlight w:val="none"/>
          <w:lang w:val="en-US" w:eastAsia="zh-CN"/>
        </w:rPr>
      </w:pPr>
      <w:r>
        <w:rPr>
          <w:rFonts w:ascii="仿宋_GB2312" w:eastAsia="仿宋_GB2312"/>
          <w:b w:val="0"/>
          <w:sz w:val="32"/>
          <w:szCs w:val="32"/>
          <w:highlight w:val="none"/>
        </w:rPr>
        <w:t>财政拨款收入支出总体与上年相比，减少570.90万元，下降18.14%，主要原因是：</w:t>
      </w:r>
      <w:r>
        <w:rPr>
          <w:rFonts w:hint="eastAsia" w:ascii="仿宋_GB2312" w:hAnsi="Times New Roman" w:eastAsia="仿宋_GB2312" w:cs="Times New Roman"/>
          <w:color w:val="auto"/>
          <w:spacing w:val="0"/>
          <w:sz w:val="32"/>
          <w:szCs w:val="32"/>
          <w:highlight w:val="none"/>
          <w:lang w:val="en-US" w:eastAsia="zh-CN"/>
        </w:rPr>
        <w:t>2024年兰干乡减少乡村振兴项目、偿还历年项目资金减少，所以收入支出总体减少。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sz w:val="32"/>
          <w:szCs w:val="32"/>
          <w:highlight w:val="none"/>
        </w:rPr>
      </w:pPr>
      <w:r>
        <w:rPr>
          <w:rFonts w:ascii="仿宋_GB2312" w:eastAsia="仿宋_GB2312"/>
          <w:b w:val="0"/>
          <w:sz w:val="32"/>
          <w:szCs w:val="32"/>
          <w:highlight w:val="none"/>
        </w:rPr>
        <w:t>与年初预算相比，年初预算数2,086.18万元，决算数2,576.26万元，预决算差异率23.49%，主要原因是：</w:t>
      </w:r>
      <w:r>
        <w:rPr>
          <w:rFonts w:hint="eastAsia" w:ascii="仿宋_GB2312" w:hAnsi="Times New Roman" w:eastAsia="仿宋_GB2312" w:cs="Times New Roman"/>
          <w:color w:val="auto"/>
          <w:spacing w:val="0"/>
          <w:sz w:val="32"/>
          <w:szCs w:val="32"/>
          <w:highlight w:val="none"/>
          <w:lang w:val="en-US" w:eastAsia="zh-CN"/>
        </w:rPr>
        <w:t>2024年兰干乡减少乡村振兴项目、偿还历年项目资金减少，所以收入支出总体减少。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2"/>
        <w:rPr>
          <w:rFonts w:ascii="仿宋_GB2312" w:eastAsia="仿宋_GB2312"/>
          <w:sz w:val="32"/>
          <w:szCs w:val="32"/>
          <w:highlight w:val="none"/>
        </w:rPr>
      </w:pPr>
      <w:r>
        <w:rPr>
          <w:rFonts w:ascii="仿宋_GB2312" w:eastAsia="仿宋_GB2312"/>
          <w:b/>
          <w:sz w:val="32"/>
          <w:szCs w:val="32"/>
          <w:highlight w:val="none"/>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ascii="仿宋_GB2312" w:eastAsia="仿宋_GB2312"/>
          <w:b w:val="0"/>
          <w:sz w:val="32"/>
          <w:szCs w:val="32"/>
          <w:highlight w:val="none"/>
        </w:rPr>
        <w:t>2024年度一般公共预算财政拨款支出2,576.21万元，占本年支出合计的86.23%。与上年相比，减少442.77万元，下降14.67%，主要原因是：</w:t>
      </w:r>
      <w:r>
        <w:rPr>
          <w:rFonts w:hint="eastAsia" w:ascii="仿宋_GB2312" w:eastAsia="仿宋_GB2312"/>
          <w:color w:val="auto"/>
          <w:spacing w:val="0"/>
          <w:sz w:val="32"/>
          <w:szCs w:val="32"/>
          <w:highlight w:val="none"/>
          <w:lang w:val="en-US" w:eastAsia="zh-CN"/>
        </w:rPr>
        <w:t>2024年增加退休人员5名。5名在职在编干部工作调动到其他单位。</w:t>
      </w:r>
      <w:r>
        <w:rPr>
          <w:rFonts w:ascii="仿宋_GB2312" w:eastAsia="仿宋_GB2312"/>
          <w:b w:val="0"/>
          <w:sz w:val="32"/>
          <w:szCs w:val="32"/>
          <w:highlight w:val="none"/>
        </w:rPr>
        <w:t>与年初预算相比，年初预算数2,086.18万元，决算数2,576.21万元，预决算差异率23.49%，主要原因是：</w:t>
      </w:r>
      <w:r>
        <w:rPr>
          <w:rFonts w:hint="eastAsia" w:ascii="仿宋_GB2312" w:hAnsi="Times New Roman" w:eastAsia="仿宋_GB2312" w:cs="Times New Roman"/>
          <w:color w:val="auto"/>
          <w:spacing w:val="0"/>
          <w:sz w:val="32"/>
          <w:szCs w:val="32"/>
          <w:highlight w:val="none"/>
          <w:lang w:val="en-US" w:eastAsia="zh-CN"/>
        </w:rPr>
        <w:t>2024年财政安排河北援疆资金，所以收入支出总体增加。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2"/>
        <w:rPr>
          <w:rFonts w:ascii="仿宋_GB2312" w:eastAsia="仿宋_GB2312"/>
          <w:sz w:val="32"/>
          <w:szCs w:val="32"/>
          <w:highlight w:val="none"/>
        </w:rPr>
      </w:pPr>
      <w:r>
        <w:rPr>
          <w:rFonts w:ascii="仿宋_GB2312" w:eastAsia="仿宋_GB2312"/>
          <w:b/>
          <w:sz w:val="32"/>
          <w:szCs w:val="32"/>
          <w:highlight w:val="none"/>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一般公共服务支出（类）1,049.83万元，占40.75%。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科学技术支出（类）1.15万元，占0.04%。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文化旅游体育与传媒支出（类）13.87万元，占0.54%。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社会保障和就业支出（类）205.31万元，占7.97%。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卫生健康支出（类）74.03万元，占2.87%。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农林水支出（类）1,114.51万元，占43.26%。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住房保障支出（类）109.22万元，占4.24%。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其他支出（类）8.29万元，占0.32%。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2"/>
        <w:rPr>
          <w:rFonts w:ascii="仿宋_GB2312" w:eastAsia="仿宋_GB2312"/>
          <w:sz w:val="32"/>
          <w:szCs w:val="32"/>
          <w:highlight w:val="none"/>
        </w:rPr>
      </w:pPr>
      <w:r>
        <w:rPr>
          <w:rFonts w:ascii="仿宋_GB2312" w:eastAsia="仿宋_GB2312"/>
          <w:b/>
          <w:sz w:val="32"/>
          <w:szCs w:val="32"/>
          <w:highlight w:val="none"/>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一般公共服务支出（类）人大事务（款）代表工作（项）：支出决算数为4.15万元，比上年决算增加2.57万元，增长162.66%，主要原因是：</w:t>
      </w:r>
      <w:r>
        <w:rPr>
          <w:rFonts w:hint="eastAsia" w:eastAsia="仿宋_GB2312" w:cs="Times New Roman"/>
          <w:color w:val="auto"/>
          <w:kern w:val="2"/>
          <w:sz w:val="32"/>
          <w:szCs w:val="32"/>
          <w:highlight w:val="none"/>
          <w:lang w:val="en-US" w:eastAsia="zh-CN" w:bidi="ar-SA"/>
        </w:rPr>
        <w:t>2024年度按照上级要求，我乡人大事务工作经费已安排</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一般公共服务支出（类）人大事务（款）其他人大事务支出（项）：支出决算数为3.00万元，比上年决算增加3.00万元，增长100.00%，主要原因是：</w:t>
      </w:r>
      <w:r>
        <w:rPr>
          <w:rFonts w:hint="eastAsia" w:eastAsia="仿宋_GB2312" w:cs="Times New Roman"/>
          <w:color w:val="auto"/>
          <w:kern w:val="2"/>
          <w:sz w:val="32"/>
          <w:szCs w:val="32"/>
          <w:highlight w:val="none"/>
          <w:lang w:val="en-US" w:eastAsia="zh-CN" w:bidi="ar-SA"/>
        </w:rPr>
        <w:t>2024年度按照上级要求，我乡其他人大事务工作经费已安排</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highlight w:val="none"/>
          <w:lang w:val="en-US"/>
        </w:rPr>
      </w:pPr>
      <w:r>
        <w:rPr>
          <w:rFonts w:ascii="仿宋_GB2312" w:eastAsia="仿宋_GB2312"/>
          <w:b w:val="0"/>
          <w:sz w:val="32"/>
          <w:szCs w:val="32"/>
          <w:highlight w:val="none"/>
        </w:rPr>
        <w:t>一般公共服务支出（类）政府办公厅（室）及相关机构事务（款）行政运行（项）：支出决算数为992.94万元，比上年决算减少44.88万元，下降4.32%，主要原因是：</w:t>
      </w:r>
      <w:r>
        <w:rPr>
          <w:rFonts w:hint="eastAsia" w:ascii="仿宋_GB2312" w:eastAsia="仿宋_GB2312"/>
          <w:color w:val="auto"/>
          <w:spacing w:val="0"/>
          <w:sz w:val="32"/>
          <w:szCs w:val="32"/>
          <w:highlight w:val="none"/>
          <w:lang w:val="en-US" w:eastAsia="zh-CN"/>
        </w:rPr>
        <w:t>2024年增加退休人员5名，5名在职在编干部工作调动到其他单位。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kern w:val="2"/>
          <w:sz w:val="32"/>
          <w:szCs w:val="32"/>
          <w:highlight w:val="none"/>
          <w:lang w:val="en-US" w:eastAsia="zh-CN" w:bidi="ar-SA"/>
        </w:rPr>
      </w:pPr>
      <w:r>
        <w:rPr>
          <w:rFonts w:ascii="仿宋_GB2312" w:eastAsia="仿宋_GB2312"/>
          <w:b w:val="0"/>
          <w:sz w:val="32"/>
          <w:szCs w:val="32"/>
          <w:highlight w:val="none"/>
        </w:rPr>
        <w:t>一般公共服务支出（类）政府办公厅（室）及相关机构事务（款）其他政府办公厅（室）及相关机构事务支出（项）：支出决算数为0.00万元，比上年决算减少19.26万元，下降100.00%，主要原因是：</w:t>
      </w:r>
      <w:r>
        <w:rPr>
          <w:rFonts w:hint="eastAsia" w:ascii="仿宋_GB2312" w:eastAsia="仿宋_GB2312"/>
          <w:color w:val="auto"/>
          <w:spacing w:val="0"/>
          <w:sz w:val="32"/>
          <w:szCs w:val="32"/>
          <w:highlight w:val="none"/>
          <w:lang w:val="en-US" w:eastAsia="zh-CN"/>
        </w:rPr>
        <w:t>2024年增加退休人员5名，5名在职在编干部工作调动到其他单位。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一般公共服务支出（类）纪检监察事务（款）其他纪检监察事务支出（项）：支出决算数为2.00万元，比上年决算增加0.42万元，增长26.58%，主要原因是：</w:t>
      </w:r>
      <w:r>
        <w:rPr>
          <w:rFonts w:hint="eastAsia" w:eastAsia="仿宋_GB2312" w:cs="Times New Roman"/>
          <w:color w:val="auto"/>
          <w:kern w:val="2"/>
          <w:sz w:val="32"/>
          <w:szCs w:val="32"/>
          <w:highlight w:val="none"/>
          <w:lang w:val="en-US" w:eastAsia="zh-CN" w:bidi="ar-SA"/>
        </w:rPr>
        <w:t>2024年度按照上级要求，我乡</w:t>
      </w:r>
      <w:r>
        <w:rPr>
          <w:rFonts w:ascii="仿宋_GB2312" w:eastAsia="仿宋_GB2312"/>
          <w:b w:val="0"/>
          <w:sz w:val="32"/>
          <w:szCs w:val="32"/>
          <w:highlight w:val="none"/>
        </w:rPr>
        <w:t>其他纪检监察事务</w:t>
      </w:r>
      <w:r>
        <w:rPr>
          <w:rFonts w:hint="eastAsia" w:eastAsia="仿宋_GB2312" w:cs="Times New Roman"/>
          <w:color w:val="auto"/>
          <w:kern w:val="2"/>
          <w:sz w:val="32"/>
          <w:szCs w:val="32"/>
          <w:highlight w:val="none"/>
          <w:lang w:val="en-US" w:eastAsia="zh-CN" w:bidi="ar-SA"/>
        </w:rPr>
        <w:t>经费已安排</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一般公共服务支出（类）组织事务（款）其他组织事务支出（项）：支出决算数为47.74万元，比上年决算减少51.30万元，下降51.80%，主要原因是：</w:t>
      </w:r>
      <w:r>
        <w:rPr>
          <w:rFonts w:hint="eastAsia" w:eastAsia="仿宋_GB2312" w:cs="Times New Roman"/>
          <w:color w:val="auto"/>
          <w:kern w:val="2"/>
          <w:sz w:val="32"/>
          <w:szCs w:val="32"/>
          <w:highlight w:val="none"/>
          <w:lang w:val="en-US" w:eastAsia="zh-CN" w:bidi="ar-SA"/>
        </w:rPr>
        <w:t>2024年我乡驻村工作队人员及补助减少，此科目支出相应减少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一般公共服务支出（类）统战事务（款）宗教事务（项）：支出决算数为0.00万元，比上年决算减少1.00万元，下降100.00%，主要原因是：</w:t>
      </w:r>
      <w:r>
        <w:rPr>
          <w:rFonts w:hint="eastAsia" w:eastAsia="仿宋_GB2312" w:cs="Times New Roman"/>
          <w:color w:val="auto"/>
          <w:kern w:val="2"/>
          <w:sz w:val="32"/>
          <w:szCs w:val="32"/>
          <w:highlight w:val="none"/>
          <w:lang w:val="en-US" w:eastAsia="zh-CN" w:bidi="ar-SA"/>
        </w:rPr>
        <w:t>2024年已撤销管委会、按照上级要求，未安排我乡管委会工作经费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一般公共服务支出（类）统战事务（款）其他统战事务支出（项）：支出决算数为0.00万元，比上年决算减少3.06万元，下降100.00%，主要原因是：</w:t>
      </w:r>
      <w:r>
        <w:rPr>
          <w:rFonts w:hint="eastAsia" w:eastAsia="仿宋_GB2312" w:cs="Times New Roman"/>
          <w:color w:val="auto"/>
          <w:kern w:val="2"/>
          <w:sz w:val="32"/>
          <w:szCs w:val="32"/>
          <w:highlight w:val="none"/>
          <w:lang w:val="en-US" w:eastAsia="zh-CN" w:bidi="ar-SA"/>
        </w:rPr>
        <w:t>2024年已撤销管委会、按照上级要求，未安排我乡管委会工作经费和补助</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教育支出（类）进修及培训（款）培训支出（项）：支出决算数为0.00万元，比上年决算减少3.15万元，下降100.00%，主要原因是：</w:t>
      </w:r>
      <w:r>
        <w:rPr>
          <w:rFonts w:hint="eastAsia" w:eastAsia="仿宋_GB2312" w:cs="Times New Roman"/>
          <w:color w:val="auto"/>
          <w:kern w:val="2"/>
          <w:sz w:val="32"/>
          <w:szCs w:val="32"/>
          <w:highlight w:val="none"/>
          <w:lang w:val="en-US" w:eastAsia="zh-CN" w:bidi="ar-SA"/>
        </w:rPr>
        <w:t>2023年顶刊杂志费从</w:t>
      </w:r>
      <w:r>
        <w:rPr>
          <w:rFonts w:ascii="仿宋_GB2312" w:eastAsia="仿宋_GB2312"/>
          <w:b w:val="0"/>
          <w:sz w:val="32"/>
          <w:szCs w:val="32"/>
          <w:highlight w:val="none"/>
        </w:rPr>
        <w:t>进修及培训（款）培训支出</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2024年</w:t>
      </w:r>
      <w:r>
        <w:rPr>
          <w:rFonts w:hint="eastAsia" w:eastAsia="仿宋_GB2312" w:cs="Times New Roman"/>
          <w:color w:val="auto"/>
          <w:kern w:val="2"/>
          <w:sz w:val="32"/>
          <w:szCs w:val="32"/>
          <w:highlight w:val="none"/>
          <w:lang w:val="en-US" w:eastAsia="zh-CN" w:bidi="ar-SA"/>
        </w:rPr>
        <w:t>顶刊杂志费从办公经费支出。</w:t>
      </w:r>
      <w:r>
        <w:rPr>
          <w:rFonts w:ascii="仿宋_GB2312" w:eastAsia="仿宋_GB2312"/>
          <w:b w:val="0"/>
          <w:sz w:val="32"/>
          <w:szCs w:val="32"/>
          <w:highlight w:val="none"/>
        </w:rPr>
        <w:t>科学技术支出（类）科学技术普及（款）科普活动（项）：支出决算数为1.15万元，比上年决算增加0.55万元，增长91.67%，主要原因是：</w:t>
      </w:r>
      <w:r>
        <w:rPr>
          <w:rFonts w:hint="eastAsia" w:ascii="Times New Roman" w:hAnsi="Times New Roman" w:eastAsia="仿宋_GB2312" w:cs="Times New Roman"/>
          <w:color w:val="auto"/>
          <w:kern w:val="2"/>
          <w:sz w:val="32"/>
          <w:szCs w:val="32"/>
          <w:highlight w:val="none"/>
          <w:lang w:val="en-US" w:eastAsia="zh-CN" w:bidi="ar-SA"/>
        </w:rPr>
        <w:t>2024年度我</w:t>
      </w:r>
      <w:r>
        <w:rPr>
          <w:rFonts w:hint="eastAsia" w:eastAsia="仿宋_GB2312" w:cs="Times New Roman"/>
          <w:color w:val="auto"/>
          <w:kern w:val="2"/>
          <w:sz w:val="32"/>
          <w:szCs w:val="32"/>
          <w:highlight w:val="none"/>
          <w:lang w:val="en-US" w:eastAsia="zh-CN" w:bidi="ar-SA"/>
        </w:rPr>
        <w:t>乡贡拉提村、兰干村科普馆已安排相关预算支出。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highlight w:val="none"/>
          <w:lang w:val="en-US"/>
        </w:rPr>
      </w:pPr>
      <w:r>
        <w:rPr>
          <w:rFonts w:ascii="仿宋_GB2312" w:eastAsia="仿宋_GB2312"/>
          <w:b w:val="0"/>
          <w:sz w:val="32"/>
          <w:szCs w:val="32"/>
          <w:highlight w:val="none"/>
        </w:rPr>
        <w:t>文化旅游体育与传媒支出（类）文化和旅游（款）其他文化和旅游支出（项）：支出决算数为4.56万元，比上年决算增加4.56万元，增长100.00%，主要原因是：</w:t>
      </w:r>
      <w:r>
        <w:rPr>
          <w:rFonts w:hint="eastAsia" w:eastAsia="仿宋_GB2312" w:cs="Times New Roman"/>
          <w:color w:val="auto"/>
          <w:kern w:val="2"/>
          <w:sz w:val="32"/>
          <w:szCs w:val="32"/>
          <w:highlight w:val="none"/>
          <w:lang w:val="en-US" w:eastAsia="zh-CN" w:bidi="ar-SA"/>
        </w:rPr>
        <w:t>2024年度上级已安排此科目专项资金，根据我乡开展文化活动情况已支出相关费用。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文化旅游体育与传媒支出（类）其他文化旅游体育与传媒支出（款）其他文化旅游体育与传媒支出（项）：支出决算数为9.31万元，比上年决算增加9.31万元，增长100.00%，主要原因是：</w:t>
      </w:r>
      <w:r>
        <w:rPr>
          <w:rFonts w:hint="eastAsia" w:eastAsia="仿宋_GB2312" w:cs="Times New Roman"/>
          <w:color w:val="auto"/>
          <w:kern w:val="2"/>
          <w:sz w:val="32"/>
          <w:szCs w:val="32"/>
          <w:highlight w:val="none"/>
          <w:lang w:val="en-US" w:eastAsia="zh-CN" w:bidi="ar-SA"/>
        </w:rPr>
        <w:t>2024年度上级已安排此科目专项资金，根据我乡开展文化活动情况已支出相关费用。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社会保障和就业支出（类）行政事业单位养老支出（款）行政单位离退休（项）：支出决算数为12.35万元，比上年决算增加3.32万元，增长36.77%，主要原因是：</w:t>
      </w:r>
      <w:r>
        <w:rPr>
          <w:rFonts w:hint="eastAsia" w:ascii="仿宋_GB2312" w:eastAsia="仿宋_GB2312"/>
          <w:color w:val="auto"/>
          <w:spacing w:val="0"/>
          <w:sz w:val="32"/>
          <w:szCs w:val="32"/>
          <w:highlight w:val="none"/>
          <w:lang w:val="en-US" w:eastAsia="zh-CN"/>
        </w:rPr>
        <w:t>2024年增加退休人员5名</w:t>
      </w:r>
      <w:r>
        <w:rPr>
          <w:rFonts w:hint="eastAsia" w:ascii="仿宋_GB2312" w:eastAsia="仿宋_GB2312"/>
          <w:b w:val="0"/>
          <w:sz w:val="32"/>
          <w:szCs w:val="32"/>
          <w:highlight w:val="none"/>
          <w:lang w:eastAsia="zh-CN"/>
        </w:rPr>
        <w:t>、</w:t>
      </w:r>
      <w:r>
        <w:rPr>
          <w:rFonts w:hint="eastAsia" w:eastAsia="仿宋_GB2312" w:cs="Times New Roman"/>
          <w:color w:val="auto"/>
          <w:kern w:val="2"/>
          <w:sz w:val="32"/>
          <w:szCs w:val="32"/>
          <w:highlight w:val="none"/>
          <w:lang w:val="en-US" w:eastAsia="zh-CN" w:bidi="ar-SA"/>
        </w:rPr>
        <w:t>2024年度按照国家相关规定，相关基数进行调整，导致支出数的增加。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社会保障和就业支出（类）行政事业单位养老支出（款）机关事业单位基本养老保险缴费支出（项）：支出决算数为138.69万元，比上年决算增加39.94万元，增长40.45%，主要原因是：</w:t>
      </w:r>
      <w:r>
        <w:rPr>
          <w:rFonts w:hint="eastAsia" w:ascii="仿宋_GB2312" w:eastAsia="仿宋_GB2312"/>
          <w:color w:val="auto"/>
          <w:spacing w:val="0"/>
          <w:sz w:val="32"/>
          <w:szCs w:val="32"/>
          <w:highlight w:val="none"/>
          <w:lang w:val="en-US" w:eastAsia="zh-CN"/>
        </w:rPr>
        <w:t>2024年增加退休人员5名</w:t>
      </w:r>
      <w:r>
        <w:rPr>
          <w:rFonts w:hint="eastAsia" w:ascii="仿宋_GB2312" w:eastAsia="仿宋_GB2312"/>
          <w:b w:val="0"/>
          <w:sz w:val="32"/>
          <w:szCs w:val="32"/>
          <w:highlight w:val="none"/>
          <w:lang w:eastAsia="zh-CN"/>
        </w:rPr>
        <w:t>、</w:t>
      </w:r>
      <w:r>
        <w:rPr>
          <w:rFonts w:hint="eastAsia" w:eastAsia="仿宋_GB2312" w:cs="Times New Roman"/>
          <w:color w:val="auto"/>
          <w:kern w:val="2"/>
          <w:sz w:val="32"/>
          <w:szCs w:val="32"/>
          <w:highlight w:val="none"/>
          <w:lang w:val="en-US" w:eastAsia="zh-CN" w:bidi="ar-SA"/>
        </w:rPr>
        <w:t>2024年度按照国家相关规定，相关基数进行调整，导致支出数的增加。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社会保障和就业支出（类）行政事业单位养老支出（款）机关事业单位职业年金缴费支出（项）：支出决算数为40.12万元，比上年决算增加34.63万元，增长630.78%，主要原因是：</w:t>
      </w:r>
      <w:r>
        <w:rPr>
          <w:rFonts w:hint="eastAsia" w:ascii="仿宋_GB2312" w:eastAsia="仿宋_GB2312"/>
          <w:color w:val="auto"/>
          <w:spacing w:val="0"/>
          <w:sz w:val="32"/>
          <w:szCs w:val="32"/>
          <w:highlight w:val="none"/>
          <w:lang w:val="en-US" w:eastAsia="zh-CN"/>
        </w:rPr>
        <w:t>2024年增加退休人员5名</w:t>
      </w:r>
      <w:r>
        <w:rPr>
          <w:rFonts w:hint="eastAsia" w:eastAsia="仿宋_GB2312" w:cs="Times New Roman"/>
          <w:color w:val="auto"/>
          <w:kern w:val="2"/>
          <w:sz w:val="32"/>
          <w:szCs w:val="32"/>
          <w:highlight w:val="none"/>
          <w:lang w:val="en-US" w:eastAsia="zh-CN" w:bidi="ar-SA"/>
        </w:rPr>
        <w:t>，导致此款项支出的增加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社会保障和就业支出（类）就业补助（款）公益性岗位补贴（项）：支出决算数为0.00万元，比上年决算减少16.75万元，下降100.00%，主要原因是：</w:t>
      </w:r>
      <w:r>
        <w:rPr>
          <w:rFonts w:hint="eastAsia" w:eastAsia="仿宋_GB2312" w:cs="Times New Roman"/>
          <w:color w:val="auto"/>
          <w:kern w:val="2"/>
          <w:sz w:val="32"/>
          <w:szCs w:val="32"/>
          <w:highlight w:val="none"/>
          <w:lang w:val="en-US" w:eastAsia="zh-CN" w:bidi="ar-SA"/>
        </w:rPr>
        <w:t>2024年我乡对公益性岗位人员进行优化，导致此款项支出的减少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社会保障和就业支出（类）抚恤（款）死亡抚恤（项）：支出决算数为0.00万元，比上年决算减少29.52万元，下降100.00%，主要原因是：</w:t>
      </w:r>
      <w:r>
        <w:rPr>
          <w:rFonts w:hint="eastAsia" w:eastAsia="仿宋_GB2312" w:cs="Times New Roman"/>
          <w:color w:val="auto"/>
          <w:kern w:val="2"/>
          <w:sz w:val="32"/>
          <w:szCs w:val="32"/>
          <w:highlight w:val="none"/>
          <w:lang w:val="en-US" w:eastAsia="zh-CN" w:bidi="ar-SA"/>
        </w:rPr>
        <w:t>2024年我乡在职在编退休干部没有死亡人员，我乡为其申请</w:t>
      </w:r>
      <w:r>
        <w:rPr>
          <w:rFonts w:hint="eastAsia" w:ascii="Times New Roman" w:hAnsi="Times New Roman" w:eastAsia="仿宋_GB2312" w:cs="Times New Roman"/>
          <w:color w:val="auto"/>
          <w:kern w:val="2"/>
          <w:sz w:val="32"/>
          <w:szCs w:val="32"/>
          <w:highlight w:val="none"/>
          <w:lang w:val="en-US" w:eastAsia="zh-CN" w:bidi="ar-SA"/>
        </w:rPr>
        <w:t>抚恤</w:t>
      </w:r>
      <w:r>
        <w:rPr>
          <w:rFonts w:hint="eastAsia" w:eastAsia="仿宋_GB2312" w:cs="Times New Roman"/>
          <w:color w:val="auto"/>
          <w:kern w:val="2"/>
          <w:sz w:val="32"/>
          <w:szCs w:val="32"/>
          <w:highlight w:val="none"/>
          <w:lang w:val="en-US" w:eastAsia="zh-CN" w:bidi="ar-SA"/>
        </w:rPr>
        <w:t>金，此款项支出相应减少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highlight w:val="none"/>
          <w:lang w:val="en-US"/>
        </w:rPr>
      </w:pPr>
      <w:r>
        <w:rPr>
          <w:rFonts w:ascii="仿宋_GB2312" w:eastAsia="仿宋_GB2312"/>
          <w:b w:val="0"/>
          <w:sz w:val="32"/>
          <w:szCs w:val="32"/>
          <w:highlight w:val="none"/>
        </w:rPr>
        <w:t>社会保障和就业支出（类）其他生活救助（款）其他农村生活救助（项）：支出决算数为14.15万元，比上年决算增加14.15万元，增长100.00%，主要原因是：</w:t>
      </w:r>
      <w:r>
        <w:rPr>
          <w:rFonts w:hint="eastAsia" w:eastAsia="仿宋_GB2312" w:cs="Times New Roman"/>
          <w:color w:val="auto"/>
          <w:kern w:val="2"/>
          <w:sz w:val="32"/>
          <w:szCs w:val="32"/>
          <w:highlight w:val="none"/>
          <w:lang w:val="en-US" w:eastAsia="zh-CN" w:bidi="ar-SA"/>
        </w:rPr>
        <w:t>2024年根据上级单位要求，已安排其他农村生活救助经费。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卫生健康支出（类）公共卫生（款）突发公共卫生事件应急处置（项）：支出决算数为0.00万元，比上年决算减少10.00万元，下降100.00%，主要原因是：</w:t>
      </w:r>
      <w:r>
        <w:rPr>
          <w:rFonts w:hint="eastAsia" w:eastAsia="仿宋_GB2312" w:cs="Times New Roman"/>
          <w:color w:val="auto"/>
          <w:kern w:val="2"/>
          <w:sz w:val="32"/>
          <w:szCs w:val="32"/>
          <w:highlight w:val="none"/>
          <w:lang w:val="en-US" w:eastAsia="zh-CN" w:bidi="ar-SA"/>
        </w:rPr>
        <w:t>2024年度财政未安排餐补费。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卫生健康支出（类）行政事业单位医疗（款）行政单位医疗（项）：支出决算数为62.54万元，比上年决算减少0.92万元，下降1.45%，主要原因是：</w:t>
      </w:r>
      <w:r>
        <w:rPr>
          <w:rFonts w:hint="eastAsia" w:ascii="仿宋_GB2312" w:eastAsia="仿宋_GB2312"/>
          <w:color w:val="auto"/>
          <w:spacing w:val="0"/>
          <w:sz w:val="32"/>
          <w:szCs w:val="32"/>
          <w:highlight w:val="none"/>
          <w:lang w:val="en-US" w:eastAsia="zh-CN"/>
        </w:rPr>
        <w:t>2024年增加退休人员5名。5名在职在编干部工作调动到其他单位。</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卫生健康支出（类）行政事业单位医疗（款）公务员医疗补助（项）：支出决算数为11.49万元，比上年决算增加3.10万元，增长36.95%，主要原因是：</w:t>
      </w:r>
      <w:r>
        <w:rPr>
          <w:rFonts w:hint="eastAsia" w:eastAsia="仿宋_GB2312" w:cs="Times New Roman"/>
          <w:color w:val="auto"/>
          <w:kern w:val="2"/>
          <w:sz w:val="32"/>
          <w:szCs w:val="32"/>
          <w:highlight w:val="none"/>
          <w:lang w:val="en-US" w:eastAsia="zh-CN" w:bidi="ar-SA"/>
        </w:rPr>
        <w:t>2024年度按照国家相关规定，单位医疗基数进行调整，支出数相应增加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highlight w:val="none"/>
        </w:rPr>
      </w:pPr>
      <w:r>
        <w:rPr>
          <w:rFonts w:ascii="仿宋_GB2312" w:eastAsia="仿宋_GB2312"/>
          <w:b w:val="0"/>
          <w:sz w:val="32"/>
          <w:szCs w:val="32"/>
          <w:highlight w:val="none"/>
        </w:rPr>
        <w:t>节能环保支出（类）自然生态保护（款）农村环境保护（项）：支出决算数为0.00万元，比上年决算减少319.60万元，下降100.00%，主要原因是：</w:t>
      </w:r>
      <w:r>
        <w:rPr>
          <w:rFonts w:hint="eastAsia" w:ascii="仿宋_GB2312" w:eastAsia="仿宋_GB2312"/>
          <w:b w:val="0"/>
          <w:sz w:val="32"/>
          <w:szCs w:val="32"/>
          <w:highlight w:val="none"/>
          <w:lang w:val="en-US" w:eastAsia="zh-CN"/>
        </w:rPr>
        <w:t>2</w:t>
      </w:r>
      <w:r>
        <w:rPr>
          <w:rFonts w:hint="eastAsia" w:ascii="仿宋_GB2312" w:hAnsi="Times New Roman" w:eastAsia="仿宋_GB2312" w:cs="Times New Roman"/>
          <w:color w:val="auto"/>
          <w:spacing w:val="0"/>
          <w:sz w:val="32"/>
          <w:szCs w:val="32"/>
          <w:highlight w:val="none"/>
          <w:lang w:val="en-US" w:eastAsia="zh-CN"/>
        </w:rPr>
        <w:t>024年兰干乡减少乡村振兴项目、偿还历年项目资金减少。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Times New Roman" w:eastAsia="仿宋_GB2312" w:cs="Times New Roman"/>
          <w:color w:val="auto"/>
          <w:spacing w:val="0"/>
          <w:sz w:val="32"/>
          <w:szCs w:val="32"/>
          <w:highlight w:val="none"/>
          <w:lang w:val="en-US" w:eastAsia="zh-CN"/>
        </w:rPr>
      </w:pPr>
      <w:r>
        <w:rPr>
          <w:rFonts w:ascii="仿宋_GB2312" w:eastAsia="仿宋_GB2312"/>
          <w:b w:val="0"/>
          <w:sz w:val="32"/>
          <w:szCs w:val="32"/>
          <w:highlight w:val="none"/>
        </w:rPr>
        <w:t>农林水支出（类）巩固脱贫攻坚成果衔接乡村振兴（款）生产发展（项）：支出决算数为824.84万元，比上年决算增加224.84万元，增长37.47%，主要原因是：</w:t>
      </w:r>
      <w:r>
        <w:rPr>
          <w:rFonts w:hint="eastAsia" w:ascii="仿宋_GB2312" w:eastAsia="仿宋_GB2312"/>
          <w:b w:val="0"/>
          <w:sz w:val="32"/>
          <w:szCs w:val="32"/>
          <w:highlight w:val="none"/>
          <w:lang w:val="en-US" w:eastAsia="zh-CN"/>
        </w:rPr>
        <w:t>2</w:t>
      </w:r>
      <w:r>
        <w:rPr>
          <w:rFonts w:hint="eastAsia" w:ascii="仿宋_GB2312" w:hAnsi="Times New Roman" w:eastAsia="仿宋_GB2312" w:cs="Times New Roman"/>
          <w:color w:val="auto"/>
          <w:spacing w:val="0"/>
          <w:sz w:val="32"/>
          <w:szCs w:val="32"/>
          <w:highlight w:val="none"/>
          <w:lang w:val="en-US" w:eastAsia="zh-CN"/>
        </w:rPr>
        <w:t>024年兰干乡增加乡村振兴项目、已进行科目调剂。</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农林水支出（类）巩固脱贫攻坚成果衔接乡村振兴（款）其他巩固脱贫攻坚成果衔接乡村振兴支出（项）：支出决算数为29.53万元，比上年决算减少3.53万元，下降10.68%，主要原因是：</w:t>
      </w:r>
      <w:r>
        <w:rPr>
          <w:rFonts w:hint="eastAsia" w:eastAsia="仿宋_GB2312" w:cs="Times New Roman"/>
          <w:color w:val="auto"/>
          <w:kern w:val="2"/>
          <w:sz w:val="32"/>
          <w:szCs w:val="32"/>
          <w:highlight w:val="none"/>
          <w:lang w:val="en-US" w:eastAsia="zh-CN" w:bidi="ar-SA"/>
        </w:rPr>
        <w:t>2024年度我乡享受</w:t>
      </w:r>
      <w:r>
        <w:rPr>
          <w:rFonts w:hint="eastAsia" w:ascii="Times New Roman" w:hAnsi="Times New Roman" w:eastAsia="仿宋_GB2312" w:cs="Times New Roman"/>
          <w:color w:val="auto"/>
          <w:kern w:val="2"/>
          <w:sz w:val="32"/>
          <w:szCs w:val="32"/>
          <w:highlight w:val="none"/>
          <w:lang w:val="en-US" w:eastAsia="zh-CN" w:bidi="ar-SA"/>
        </w:rPr>
        <w:t>乡村振兴补助的工作人员</w:t>
      </w:r>
      <w:r>
        <w:rPr>
          <w:rFonts w:hint="eastAsia" w:eastAsia="仿宋_GB2312" w:cs="Times New Roman"/>
          <w:color w:val="auto"/>
          <w:kern w:val="2"/>
          <w:sz w:val="32"/>
          <w:szCs w:val="32"/>
          <w:highlight w:val="none"/>
          <w:lang w:val="en-US" w:eastAsia="zh-CN" w:bidi="ar-SA"/>
        </w:rPr>
        <w:t>减少，导致此款项的减少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农林水支出（类）农村综合改革（款）对村级公益事业建设的补助（项）：支出决算数为194.04万元，比上年决算增加156.98万元，增长423.58%，主要原因是：</w:t>
      </w:r>
      <w:r>
        <w:rPr>
          <w:rFonts w:hint="eastAsia" w:ascii="仿宋_GB2312" w:eastAsia="仿宋_GB2312"/>
          <w:b w:val="0"/>
          <w:sz w:val="32"/>
          <w:szCs w:val="32"/>
          <w:highlight w:val="none"/>
          <w:lang w:val="en-US" w:eastAsia="zh-CN"/>
        </w:rPr>
        <w:t>2</w:t>
      </w:r>
      <w:r>
        <w:rPr>
          <w:rFonts w:hint="eastAsia" w:ascii="仿宋_GB2312" w:hAnsi="Times New Roman" w:eastAsia="仿宋_GB2312" w:cs="Times New Roman"/>
          <w:color w:val="auto"/>
          <w:spacing w:val="0"/>
          <w:sz w:val="32"/>
          <w:szCs w:val="32"/>
          <w:highlight w:val="none"/>
          <w:lang w:val="en-US" w:eastAsia="zh-CN"/>
        </w:rPr>
        <w:t>024年兰干乡增加</w:t>
      </w:r>
      <w:r>
        <w:rPr>
          <w:rFonts w:ascii="仿宋_GB2312" w:eastAsia="仿宋_GB2312"/>
          <w:b w:val="0"/>
          <w:sz w:val="32"/>
          <w:szCs w:val="32"/>
          <w:highlight w:val="none"/>
        </w:rPr>
        <w:t>村级公益事业建设</w:t>
      </w:r>
      <w:r>
        <w:rPr>
          <w:rFonts w:hint="eastAsia" w:ascii="仿宋_GB2312" w:hAnsi="Times New Roman" w:eastAsia="仿宋_GB2312" w:cs="Times New Roman"/>
          <w:color w:val="auto"/>
          <w:spacing w:val="0"/>
          <w:sz w:val="32"/>
          <w:szCs w:val="32"/>
          <w:highlight w:val="none"/>
          <w:lang w:val="en-US" w:eastAsia="zh-CN"/>
        </w:rPr>
        <w:t>项目</w:t>
      </w:r>
      <w:r>
        <w:rPr>
          <w:rFonts w:hint="eastAsia" w:eastAsia="仿宋_GB2312" w:cs="Times New Roman"/>
          <w:color w:val="auto"/>
          <w:kern w:val="2"/>
          <w:sz w:val="32"/>
          <w:szCs w:val="32"/>
          <w:highlight w:val="none"/>
          <w:lang w:val="en-US" w:eastAsia="zh-CN" w:bidi="ar-SA"/>
        </w:rPr>
        <w:t>，导致此款项的增加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农林水支出（类）农村综合改革（款）对村民委员会和村党支部的补助（项）：支出决算数为66.10万元，比上年决算减少222.33万元，下降77.08%，主要原因是：</w:t>
      </w:r>
      <w:r>
        <w:rPr>
          <w:rFonts w:hint="eastAsia" w:eastAsia="仿宋_GB2312" w:cs="Times New Roman"/>
          <w:color w:val="auto"/>
          <w:kern w:val="2"/>
          <w:sz w:val="32"/>
          <w:szCs w:val="32"/>
          <w:highlight w:val="none"/>
          <w:lang w:val="en-US" w:eastAsia="zh-CN" w:bidi="ar-SA"/>
        </w:rPr>
        <w:t>2024年1月开始村组干部工资通过一卡通发放</w:t>
      </w:r>
      <w:r>
        <w:rPr>
          <w:rFonts w:hint="eastAsia" w:ascii="Times New Roman" w:hAnsi="Times New Roman" w:eastAsia="仿宋_GB2312" w:cs="Times New Roman"/>
          <w:color w:val="auto"/>
          <w:kern w:val="2"/>
          <w:sz w:val="32"/>
          <w:szCs w:val="32"/>
          <w:highlight w:val="none"/>
          <w:lang w:val="en-US" w:eastAsia="zh-CN" w:bidi="ar-SA"/>
        </w:rPr>
        <w:t>，导致</w:t>
      </w:r>
      <w:r>
        <w:rPr>
          <w:rFonts w:hint="eastAsia" w:eastAsia="仿宋_GB2312" w:cs="Times New Roman"/>
          <w:color w:val="auto"/>
          <w:kern w:val="2"/>
          <w:sz w:val="32"/>
          <w:szCs w:val="32"/>
          <w:highlight w:val="none"/>
          <w:lang w:val="en-US" w:eastAsia="zh-CN" w:bidi="ar-SA"/>
        </w:rPr>
        <w:t>此款项支出的减少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农林水支出（类）目标价格补贴（款）棉花目标价格补贴（项）：支出决算数为0.00万元，比上年决算减少245.10万元，下降100.00%，主要原因是：</w:t>
      </w:r>
      <w:r>
        <w:rPr>
          <w:rFonts w:hint="eastAsia" w:eastAsia="仿宋_GB2312" w:cs="Times New Roman"/>
          <w:color w:val="auto"/>
          <w:kern w:val="2"/>
          <w:sz w:val="32"/>
          <w:szCs w:val="32"/>
          <w:highlight w:val="none"/>
          <w:lang w:val="en-US" w:eastAsia="zh-CN" w:bidi="ar-SA"/>
        </w:rPr>
        <w:t>2024年开始村</w:t>
      </w:r>
      <w:r>
        <w:rPr>
          <w:rFonts w:ascii="仿宋_GB2312" w:eastAsia="仿宋_GB2312"/>
          <w:b w:val="0"/>
          <w:sz w:val="32"/>
          <w:szCs w:val="32"/>
          <w:highlight w:val="none"/>
        </w:rPr>
        <w:t>棉花目标价格补贴</w:t>
      </w:r>
      <w:r>
        <w:rPr>
          <w:rFonts w:hint="eastAsia" w:eastAsia="仿宋_GB2312" w:cs="Times New Roman"/>
          <w:color w:val="auto"/>
          <w:kern w:val="2"/>
          <w:sz w:val="32"/>
          <w:szCs w:val="32"/>
          <w:highlight w:val="none"/>
          <w:lang w:val="en-US" w:eastAsia="zh-CN" w:bidi="ar-SA"/>
        </w:rPr>
        <w:t>通过一卡通发放</w:t>
      </w:r>
      <w:r>
        <w:rPr>
          <w:rFonts w:hint="eastAsia" w:ascii="Times New Roman" w:hAnsi="Times New Roman" w:eastAsia="仿宋_GB2312" w:cs="Times New Roman"/>
          <w:color w:val="auto"/>
          <w:kern w:val="2"/>
          <w:sz w:val="32"/>
          <w:szCs w:val="32"/>
          <w:highlight w:val="none"/>
          <w:lang w:val="en-US" w:eastAsia="zh-CN" w:bidi="ar-SA"/>
        </w:rPr>
        <w:t>，导致</w:t>
      </w:r>
      <w:r>
        <w:rPr>
          <w:rFonts w:hint="eastAsia" w:eastAsia="仿宋_GB2312" w:cs="Times New Roman"/>
          <w:color w:val="auto"/>
          <w:kern w:val="2"/>
          <w:sz w:val="32"/>
          <w:szCs w:val="32"/>
          <w:highlight w:val="none"/>
          <w:lang w:val="en-US" w:eastAsia="zh-CN" w:bidi="ar-SA"/>
        </w:rPr>
        <w:t>此款项支出的减少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住房保障支出（类）住房改革支出（款）住房公积金（项）：支出决算数为109.22万元，比上年决算增加21.97万元，增长25.18%，主要原因是：</w:t>
      </w:r>
      <w:r>
        <w:rPr>
          <w:rFonts w:hint="eastAsia" w:eastAsia="仿宋_GB2312" w:cs="Times New Roman"/>
          <w:color w:val="auto"/>
          <w:kern w:val="2"/>
          <w:sz w:val="32"/>
          <w:szCs w:val="32"/>
          <w:highlight w:val="none"/>
          <w:lang w:val="en-US" w:eastAsia="zh-CN" w:bidi="ar-SA"/>
        </w:rPr>
        <w:t>按照国家相关政策规定，2024年度我乡在编干部住房公积金基数调整，此款项支出的增加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其他支出（类）其他支出（款）其他支出（项）：支出决算数为8.29万元，比上年决算增加8.29万元，增长100.00%，主要原因是：</w:t>
      </w:r>
      <w:r>
        <w:rPr>
          <w:rFonts w:hint="eastAsia" w:ascii="仿宋_GB2312" w:eastAsia="仿宋_GB2312"/>
          <w:b w:val="0"/>
          <w:sz w:val="32"/>
          <w:szCs w:val="32"/>
          <w:highlight w:val="none"/>
          <w:lang w:val="en-US" w:eastAsia="zh-CN"/>
        </w:rPr>
        <w:t>2024年按照上级单位要求已安排纾困资金经费。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2024年度一般公共预算财政拨款基本支出1,555.33万元，其中：人员经费1,375.92万元，包括：基本工资、津贴补贴、奖金、机关事业单位基本养老保险缴费、职业年金缴费、职工基本医疗保险缴费、公务员医疗补助缴费、其他社会保障缴费、住房公积金、医疗费、其他工资福利支出、退休费、生活补助和救济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公用经费179.41万元，包括：办公费、印刷费、电费、邮电费、取暖费、差旅费、培训费、工会经费、福利费和公务用车运行维护费。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2024年度国有资本经营预算财政拨款收入总计0.05万元，其中：年初结转和结余0.00万元，本年收入0.05万元。国有资本经营预算财政拨款支出总计0.05万元，其中：年末结转和结余0.00万元，本年支出0.05万元。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国有资本经营预算财政拨款收入支出总体与上年相比，减少0.12万元，下降70.59%，主要原因是：</w:t>
      </w:r>
      <w:r>
        <w:rPr>
          <w:rFonts w:hint="eastAsia" w:eastAsia="仿宋_GB2312" w:cs="Times New Roman"/>
          <w:color w:val="auto"/>
          <w:sz w:val="32"/>
          <w:szCs w:val="32"/>
          <w:highlight w:val="none"/>
          <w:lang w:val="en-US" w:eastAsia="zh-CN"/>
        </w:rPr>
        <w:t>2024年度实际安排的预算数为0.05万元</w:t>
      </w:r>
      <w:r>
        <w:rPr>
          <w:rFonts w:ascii="仿宋_GB2312" w:eastAsia="仿宋_GB2312"/>
          <w:b w:val="0"/>
          <w:sz w:val="32"/>
          <w:szCs w:val="32"/>
          <w:highlight w:val="none"/>
        </w:rPr>
        <w:t>。与年初预算相比，年初预算数0.00万元，决算数0.05万元，预决算差异率100%，主要原因是：</w:t>
      </w:r>
      <w:r>
        <w:rPr>
          <w:rFonts w:hint="eastAsia" w:eastAsia="仿宋_GB2312" w:cs="Times New Roman"/>
          <w:color w:val="auto"/>
          <w:sz w:val="32"/>
          <w:szCs w:val="32"/>
          <w:highlight w:val="none"/>
          <w:lang w:val="en-US" w:eastAsia="zh-CN"/>
        </w:rPr>
        <w:t>2024年度实际安排的预算数为0.05万元。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国有资本经营预算财政拨款支出0.05万元。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国有资本经营预算支出（类）解决历史遗留问题及改革成本支出（款）国有企业退休人员社会化管理补助支出（项）：支出决算数为0.05万元，比上年决算减少0.12万元，下降70.59%，主要原因是：</w:t>
      </w:r>
      <w:r>
        <w:rPr>
          <w:rFonts w:hint="eastAsia" w:eastAsia="仿宋_GB2312" w:cs="Times New Roman"/>
          <w:color w:val="auto"/>
          <w:sz w:val="32"/>
          <w:szCs w:val="32"/>
          <w:highlight w:val="none"/>
          <w:lang w:val="en-US" w:eastAsia="zh-CN"/>
        </w:rPr>
        <w:t>2024年度实际安排的预算数为0.05万元。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2024年度财政拨款“三公”经费支出16.80万元，与上年相比无变化，主要原因是：</w:t>
      </w:r>
      <w:r>
        <w:rPr>
          <w:rFonts w:hint="eastAsia" w:ascii="仿宋_GB2312" w:eastAsia="仿宋_GB2312"/>
          <w:color w:val="auto"/>
          <w:sz w:val="32"/>
          <w:szCs w:val="32"/>
          <w:highlight w:val="none"/>
          <w:lang w:val="zh-CN" w:eastAsia="zh-CN"/>
        </w:rPr>
        <w:t>认真贯彻落实中央八项规定精神和厉行节约要求，从严控制“三公”经费开支，全年实际支出</w:t>
      </w:r>
      <w:r>
        <w:rPr>
          <w:rFonts w:hint="eastAsia" w:ascii="仿宋_GB2312" w:eastAsia="仿宋_GB2312"/>
          <w:color w:val="auto"/>
          <w:sz w:val="32"/>
          <w:szCs w:val="32"/>
          <w:highlight w:val="none"/>
          <w:lang w:val="en-US" w:eastAsia="zh-CN"/>
        </w:rPr>
        <w:t>比</w:t>
      </w:r>
      <w:r>
        <w:rPr>
          <w:rFonts w:hint="eastAsia" w:ascii="仿宋_GB2312" w:eastAsia="仿宋_GB2312"/>
          <w:color w:val="auto"/>
          <w:sz w:val="32"/>
          <w:szCs w:val="32"/>
          <w:highlight w:val="none"/>
          <w:lang w:val="zh-CN" w:eastAsia="zh-CN"/>
        </w:rPr>
        <w:t>预算有所节约</w:t>
      </w:r>
      <w:r>
        <w:rPr>
          <w:rFonts w:ascii="仿宋_GB2312" w:eastAsia="仿宋_GB2312"/>
          <w:b w:val="0"/>
          <w:sz w:val="32"/>
          <w:szCs w:val="32"/>
          <w:highlight w:val="none"/>
        </w:rPr>
        <w:t>。其中：因公出国（境）费支出0.00万元,占0.00%，与上年相比无变化，主要原因是：</w:t>
      </w:r>
      <w:r>
        <w:rPr>
          <w:rFonts w:hint="eastAsia" w:ascii="仿宋_GB2312" w:eastAsia="仿宋_GB2312"/>
          <w:color w:val="auto"/>
          <w:sz w:val="32"/>
          <w:szCs w:val="32"/>
          <w:highlight w:val="none"/>
          <w:lang w:val="en-US" w:eastAsia="zh-CN"/>
        </w:rPr>
        <w:t>本年无因公出国（境）费支出</w:t>
      </w:r>
      <w:r>
        <w:rPr>
          <w:rFonts w:ascii="仿宋_GB2312" w:eastAsia="仿宋_GB2312"/>
          <w:b w:val="0"/>
          <w:sz w:val="32"/>
          <w:szCs w:val="32"/>
          <w:highlight w:val="none"/>
        </w:rPr>
        <w:t>；公务用车购置及运行维护费支出16.80万元，占100.00%，与上年相比无变化，主要原因是：</w:t>
      </w:r>
      <w:r>
        <w:rPr>
          <w:rFonts w:hint="eastAsia" w:ascii="仿宋_GB2312" w:eastAsia="仿宋_GB2312"/>
          <w:color w:val="auto"/>
          <w:sz w:val="32"/>
          <w:szCs w:val="32"/>
          <w:highlight w:val="none"/>
          <w:lang w:val="zh-CN" w:eastAsia="zh-CN"/>
        </w:rPr>
        <w:t>认真贯彻落实中央八项规定精神和厉行节约要求，从严控制“三公”经费开支，全年实际支出</w:t>
      </w:r>
      <w:r>
        <w:rPr>
          <w:rFonts w:hint="eastAsia" w:ascii="仿宋_GB2312" w:eastAsia="仿宋_GB2312"/>
          <w:color w:val="auto"/>
          <w:sz w:val="32"/>
          <w:szCs w:val="32"/>
          <w:highlight w:val="none"/>
          <w:lang w:val="en-US" w:eastAsia="zh-CN"/>
        </w:rPr>
        <w:t>比</w:t>
      </w:r>
      <w:r>
        <w:rPr>
          <w:rFonts w:hint="eastAsia" w:ascii="仿宋_GB2312" w:eastAsia="仿宋_GB2312"/>
          <w:color w:val="auto"/>
          <w:sz w:val="32"/>
          <w:szCs w:val="32"/>
          <w:highlight w:val="none"/>
          <w:lang w:val="zh-CN" w:eastAsia="zh-CN"/>
        </w:rPr>
        <w:t>预算有所节约</w:t>
      </w:r>
      <w:r>
        <w:rPr>
          <w:rFonts w:ascii="仿宋_GB2312" w:eastAsia="仿宋_GB2312"/>
          <w:b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公务接待费支出0.00万元，占0.00%，与上年相比无变化，主要原因是：</w:t>
      </w:r>
      <w:r>
        <w:rPr>
          <w:rFonts w:hint="eastAsia" w:ascii="仿宋_GB2312" w:eastAsia="仿宋_GB2312"/>
          <w:color w:val="auto"/>
          <w:sz w:val="32"/>
          <w:szCs w:val="32"/>
          <w:highlight w:val="none"/>
          <w:lang w:val="zh-CN" w:eastAsia="zh-CN"/>
        </w:rPr>
        <w:t>认真贯彻落实中央八项规定精神和厉行节约要求，从严控制“三公”经费开支，全年实际支出</w:t>
      </w:r>
      <w:r>
        <w:rPr>
          <w:rFonts w:hint="eastAsia" w:ascii="仿宋_GB2312" w:eastAsia="仿宋_GB2312"/>
          <w:color w:val="auto"/>
          <w:sz w:val="32"/>
          <w:szCs w:val="32"/>
          <w:highlight w:val="none"/>
          <w:lang w:val="en-US" w:eastAsia="zh-CN"/>
        </w:rPr>
        <w:t>比</w:t>
      </w:r>
      <w:r>
        <w:rPr>
          <w:rFonts w:hint="eastAsia" w:ascii="仿宋_GB2312" w:eastAsia="仿宋_GB2312"/>
          <w:color w:val="auto"/>
          <w:sz w:val="32"/>
          <w:szCs w:val="32"/>
          <w:highlight w:val="none"/>
          <w:lang w:val="zh-CN" w:eastAsia="zh-CN"/>
        </w:rPr>
        <w:t>预算有所节约</w:t>
      </w:r>
      <w:r>
        <w:rPr>
          <w:rFonts w:ascii="仿宋_GB2312" w:eastAsia="仿宋_GB2312"/>
          <w:b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highlight w:val="none"/>
        </w:rPr>
      </w:pPr>
      <w:r>
        <w:rPr>
          <w:rFonts w:ascii="仿宋_GB2312" w:eastAsia="仿宋_GB2312"/>
          <w:b w:val="0"/>
          <w:sz w:val="32"/>
          <w:szCs w:val="32"/>
          <w:highlight w:val="none"/>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ascii="仿宋_GB2312" w:eastAsia="仿宋_GB2312"/>
          <w:b w:val="0"/>
          <w:sz w:val="32"/>
          <w:szCs w:val="32"/>
          <w:highlight w:val="none"/>
        </w:rPr>
        <w:t>公务用车购置及运行维护费16.80万元，其中：公务用车购置费0.00万元，公务用车运行维护费16.80万元。公务用车运行维护费开支内容包括。公务用车购置数0辆，公务用车保有量13辆。国有资产占用情况中固定资产车辆13辆，与公务用车保有量差异原因是：</w:t>
      </w:r>
      <w:r>
        <w:rPr>
          <w:rFonts w:hint="eastAsia" w:ascii="仿宋_GB2312" w:eastAsia="仿宋_GB2312"/>
          <w:color w:val="auto"/>
          <w:sz w:val="32"/>
          <w:szCs w:val="32"/>
          <w:highlight w:val="none"/>
          <w:lang w:val="en-US" w:eastAsia="zh-CN"/>
        </w:rPr>
        <w:t>2024年已报废2辆车。</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公务接待费0.00万元，开支内容包括。单位全年安排的国内公务接待0批次，0人次。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与全年预算相比，财政拨款“三公”经费支出全年预算数16.80万元，决算数16.80万元，预决算差异率0.00%，主要原因是：</w:t>
      </w:r>
      <w:r>
        <w:rPr>
          <w:rFonts w:hint="eastAsia" w:ascii="仿宋_GB2312" w:eastAsia="仿宋_GB2312"/>
          <w:color w:val="auto"/>
          <w:sz w:val="32"/>
          <w:szCs w:val="32"/>
          <w:highlight w:val="none"/>
          <w:lang w:val="zh-CN" w:eastAsia="zh-CN"/>
        </w:rPr>
        <w:t>认真贯彻落实中央八项规定</w:t>
      </w:r>
      <w:bookmarkStart w:id="16" w:name="_GoBack"/>
      <w:bookmarkEnd w:id="16"/>
      <w:r>
        <w:rPr>
          <w:rFonts w:hint="eastAsia" w:ascii="仿宋_GB2312" w:eastAsia="仿宋_GB2312"/>
          <w:color w:val="auto"/>
          <w:sz w:val="32"/>
          <w:szCs w:val="32"/>
          <w:highlight w:val="none"/>
          <w:lang w:val="zh-CN" w:eastAsia="zh-CN"/>
        </w:rPr>
        <w:t>精神和厉行节约要求，从严控制“三公”经费开支，全年实际支出和预算比有所节约</w:t>
      </w:r>
      <w:r>
        <w:rPr>
          <w:rFonts w:ascii="仿宋_GB2312" w:eastAsia="仿宋_GB2312"/>
          <w:b w:val="0"/>
          <w:sz w:val="32"/>
          <w:szCs w:val="32"/>
          <w:highlight w:val="none"/>
        </w:rPr>
        <w:t>。其中：因公出国（境）费全年预算数0.00万元，决算数0.00万元，预决算差异率0.00%，主要原因是：</w:t>
      </w:r>
      <w:r>
        <w:rPr>
          <w:rFonts w:hint="eastAsia" w:ascii="仿宋_GB2312" w:eastAsia="仿宋_GB2312"/>
          <w:color w:val="auto"/>
          <w:sz w:val="32"/>
          <w:szCs w:val="32"/>
          <w:highlight w:val="none"/>
          <w:lang w:val="en-US" w:eastAsia="zh-CN"/>
        </w:rPr>
        <w:t>预决算无差异</w:t>
      </w:r>
      <w:r>
        <w:rPr>
          <w:rFonts w:ascii="仿宋_GB2312" w:eastAsia="仿宋_GB2312"/>
          <w:b w:val="0"/>
          <w:sz w:val="32"/>
          <w:szCs w:val="32"/>
          <w:highlight w:val="none"/>
        </w:rPr>
        <w:t>。公务用车购置费全年预算数0.00万元，决算数0.00万元，预决算差异率0.00%，主要原因是：</w:t>
      </w:r>
      <w:r>
        <w:rPr>
          <w:rFonts w:hint="eastAsia" w:ascii="仿宋_GB2312" w:eastAsia="仿宋_GB2312"/>
          <w:color w:val="auto"/>
          <w:sz w:val="32"/>
          <w:szCs w:val="32"/>
          <w:highlight w:val="none"/>
          <w:lang w:val="en-US" w:eastAsia="zh-CN"/>
        </w:rPr>
        <w:t>预决算无差异</w:t>
      </w:r>
      <w:r>
        <w:rPr>
          <w:rFonts w:ascii="仿宋_GB2312" w:eastAsia="仿宋_GB2312"/>
          <w:b w:val="0"/>
          <w:sz w:val="32"/>
          <w:szCs w:val="32"/>
          <w:highlight w:val="none"/>
        </w:rPr>
        <w:t>。公务用车运行维护费全年预算数16.80万元，决算数16.80万元，预决算差异率0.00%，主要原因是：</w:t>
      </w:r>
      <w:r>
        <w:rPr>
          <w:rFonts w:hint="eastAsia" w:ascii="仿宋_GB2312" w:eastAsia="仿宋_GB2312"/>
          <w:color w:val="auto"/>
          <w:sz w:val="32"/>
          <w:szCs w:val="32"/>
          <w:highlight w:val="none"/>
          <w:lang w:val="en-US" w:eastAsia="zh-CN"/>
        </w:rPr>
        <w:t>预决算无差异</w:t>
      </w:r>
      <w:r>
        <w:rPr>
          <w:rFonts w:ascii="仿宋_GB2312" w:eastAsia="仿宋_GB2312"/>
          <w:b w:val="0"/>
          <w:sz w:val="32"/>
          <w:szCs w:val="32"/>
          <w:highlight w:val="none"/>
        </w:rPr>
        <w:t>。公务接待费全年预算数0.00万元，决算数0.00万元，预决算差异率0.00%，主要原因是：</w:t>
      </w:r>
      <w:r>
        <w:rPr>
          <w:rFonts w:hint="eastAsia" w:ascii="仿宋_GB2312" w:eastAsia="仿宋_GB2312"/>
          <w:color w:val="auto"/>
          <w:sz w:val="32"/>
          <w:szCs w:val="32"/>
          <w:highlight w:val="none"/>
          <w:lang w:val="en-US" w:eastAsia="zh-CN"/>
        </w:rPr>
        <w:t>预决算无差异</w:t>
      </w:r>
      <w:r>
        <w:rPr>
          <w:rFonts w:ascii="仿宋_GB2312" w:eastAsia="仿宋_GB2312"/>
          <w:b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2"/>
        <w:rPr>
          <w:rFonts w:ascii="仿宋_GB2312" w:eastAsia="仿宋_GB2312"/>
          <w:sz w:val="32"/>
          <w:szCs w:val="32"/>
          <w:highlight w:val="none"/>
        </w:rPr>
      </w:pPr>
      <w:r>
        <w:rPr>
          <w:rFonts w:ascii="仿宋_GB2312" w:eastAsia="仿宋_GB2312"/>
          <w:b/>
          <w:sz w:val="32"/>
          <w:szCs w:val="32"/>
          <w:highlight w:val="none"/>
        </w:rPr>
        <w:t>（一）机关运行经费及公用经费支出情况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2024年度库尔勒市兰干乡人民政府单位机关运行经费支出179.41万元，比上年增加9.73万元，增长5.73%，主要原因是：</w:t>
      </w:r>
      <w:r>
        <w:rPr>
          <w:rFonts w:hint="eastAsia" w:eastAsia="仿宋_GB2312" w:cs="Times New Roman"/>
          <w:color w:val="auto"/>
          <w:sz w:val="32"/>
          <w:szCs w:val="32"/>
          <w:highlight w:val="none"/>
          <w:lang w:val="en-US" w:eastAsia="zh-CN"/>
        </w:rPr>
        <w:t>2024年度我乡从烧煤取暖改造成天然气取暖，机关运行经费增加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2"/>
        <w:rPr>
          <w:rFonts w:ascii="仿宋_GB2312" w:eastAsia="仿宋_GB2312"/>
          <w:sz w:val="32"/>
          <w:szCs w:val="32"/>
          <w:highlight w:val="none"/>
        </w:rPr>
      </w:pPr>
      <w:r>
        <w:rPr>
          <w:rFonts w:ascii="仿宋_GB2312" w:eastAsia="仿宋_GB2312"/>
          <w:b/>
          <w:sz w:val="32"/>
          <w:szCs w:val="32"/>
          <w:highlight w:val="none"/>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2024年度政府采购支出总额458.72万元，其中：政府采购货物支出11.48万元、政府采购工程支出436.99万元、政府采购服务支出10.25万元。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授予中小企业合同金额455.99万元，占政府采购支出总额的99.40%，其中：授予小微企业合同金额19.00万元，占政府采购支出总额的4.14%。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2"/>
        <w:rPr>
          <w:rFonts w:ascii="仿宋_GB2312" w:eastAsia="仿宋_GB2312"/>
          <w:sz w:val="32"/>
          <w:szCs w:val="32"/>
          <w:highlight w:val="none"/>
        </w:rPr>
      </w:pPr>
      <w:r>
        <w:rPr>
          <w:rFonts w:ascii="仿宋_GB2312" w:eastAsia="仿宋_GB2312"/>
          <w:b/>
          <w:sz w:val="32"/>
          <w:szCs w:val="32"/>
          <w:highlight w:val="none"/>
        </w:rPr>
        <w:t>（三）国有资产占用情况说明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ascii="仿宋_GB2312" w:eastAsia="仿宋_GB2312"/>
          <w:b w:val="0"/>
          <w:sz w:val="32"/>
          <w:szCs w:val="32"/>
          <w:highlight w:val="none"/>
        </w:rPr>
        <w:t>截至2024年12月31日，房屋8,977.55平方米，价值1,618.58万元。车辆13辆，价值131.97万元，其中：副部（省）级及以上领导用车0辆、主要负责人用车0辆、机要通信用车0辆、应急保障用车0辆、执法执勤用车7辆、特种专业技术用车0辆、离退休干部服务用车0辆、其他用车6辆，其他用车主要是：</w:t>
      </w:r>
      <w:r>
        <w:rPr>
          <w:rFonts w:hint="eastAsia" w:ascii="Times New Roman" w:hAnsi="Times New Roman" w:eastAsia="仿宋_GB2312" w:cs="Times New Roman"/>
          <w:color w:val="auto"/>
          <w:sz w:val="32"/>
          <w:szCs w:val="32"/>
          <w:highlight w:val="none"/>
          <w:lang w:val="en-US" w:eastAsia="zh-CN"/>
        </w:rPr>
        <w:t>辖区内巡逻及</w:t>
      </w:r>
      <w:r>
        <w:rPr>
          <w:rFonts w:hint="eastAsia" w:eastAsia="仿宋_GB2312" w:cs="Times New Roman"/>
          <w:color w:val="auto"/>
          <w:sz w:val="32"/>
          <w:szCs w:val="32"/>
          <w:highlight w:val="none"/>
          <w:lang w:val="en-US" w:eastAsia="zh-CN"/>
        </w:rPr>
        <w:t>乡</w:t>
      </w:r>
      <w:r>
        <w:rPr>
          <w:rFonts w:hint="eastAsia" w:ascii="Times New Roman" w:hAnsi="Times New Roman" w:eastAsia="仿宋_GB2312" w:cs="Times New Roman"/>
          <w:color w:val="auto"/>
          <w:sz w:val="32"/>
          <w:szCs w:val="32"/>
          <w:highlight w:val="none"/>
          <w:lang w:val="en-US" w:eastAsia="zh-CN"/>
        </w:rPr>
        <w:t>级办公车辆。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sz w:val="32"/>
          <w:szCs w:val="32"/>
          <w:highlight w:val="none"/>
        </w:rPr>
      </w:pPr>
      <w:r>
        <w:rPr>
          <w:rFonts w:ascii="仿宋_GB2312" w:eastAsia="仿宋_GB2312"/>
          <w:b w:val="0"/>
          <w:sz w:val="32"/>
          <w:szCs w:val="32"/>
          <w:highlight w:val="none"/>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十一、预算绩效的情况说明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sz w:val="32"/>
          <w:szCs w:val="32"/>
          <w:highlight w:val="none"/>
        </w:rPr>
      </w:pPr>
      <w:r>
        <w:rPr>
          <w:rFonts w:ascii="仿宋_GB2312" w:eastAsia="仿宋_GB2312"/>
          <w:b w:val="0"/>
          <w:sz w:val="32"/>
          <w:szCs w:val="32"/>
          <w:highlight w:val="none"/>
        </w:rPr>
        <w:t>根据预算绩效管理要求，本单位2024年度预算绩效管理形成整体支出绩效自评表1个，全年预算总额</w:t>
      </w:r>
      <w:r>
        <w:rPr>
          <w:rFonts w:hint="eastAsia" w:ascii="仿宋_GB2312" w:eastAsia="仿宋_GB2312"/>
          <w:b w:val="0"/>
          <w:sz w:val="32"/>
          <w:szCs w:val="32"/>
          <w:highlight w:val="none"/>
          <w:lang w:val="en-US" w:eastAsia="zh-CN"/>
        </w:rPr>
        <w:t>2987.51</w:t>
      </w:r>
      <w:r>
        <w:rPr>
          <w:rFonts w:ascii="仿宋_GB2312" w:eastAsia="仿宋_GB2312"/>
          <w:b w:val="0"/>
          <w:sz w:val="32"/>
          <w:szCs w:val="32"/>
          <w:highlight w:val="none"/>
        </w:rPr>
        <w:t>万元，实际执行总额</w:t>
      </w:r>
      <w:r>
        <w:rPr>
          <w:rFonts w:hint="eastAsia" w:ascii="仿宋_GB2312" w:eastAsia="仿宋_GB2312"/>
          <w:b w:val="0"/>
          <w:sz w:val="32"/>
          <w:szCs w:val="32"/>
          <w:highlight w:val="none"/>
          <w:lang w:val="en-US" w:eastAsia="zh-CN"/>
        </w:rPr>
        <w:t>2987.51</w:t>
      </w:r>
      <w:r>
        <w:rPr>
          <w:rFonts w:ascii="仿宋_GB2312" w:eastAsia="仿宋_GB2312"/>
          <w:b w:val="0"/>
          <w:sz w:val="32"/>
          <w:szCs w:val="32"/>
          <w:highlight w:val="none"/>
        </w:rPr>
        <w:t>万元；预算绩效评价项目</w:t>
      </w:r>
      <w:r>
        <w:rPr>
          <w:rFonts w:hint="eastAsia" w:ascii="仿宋_GB2312" w:eastAsia="仿宋_GB2312"/>
          <w:b w:val="0"/>
          <w:sz w:val="32"/>
          <w:szCs w:val="32"/>
          <w:highlight w:val="none"/>
          <w:lang w:val="en-US" w:eastAsia="zh-CN"/>
        </w:rPr>
        <w:t>11</w:t>
      </w:r>
      <w:r>
        <w:rPr>
          <w:rFonts w:ascii="仿宋_GB2312" w:eastAsia="仿宋_GB2312"/>
          <w:b w:val="0"/>
          <w:sz w:val="32"/>
          <w:szCs w:val="32"/>
          <w:highlight w:val="none"/>
        </w:rPr>
        <w:t>个，全年预算数</w:t>
      </w:r>
      <w:r>
        <w:rPr>
          <w:rFonts w:hint="eastAsia" w:ascii="仿宋_GB2312" w:eastAsia="仿宋_GB2312"/>
          <w:b w:val="0"/>
          <w:sz w:val="32"/>
          <w:szCs w:val="32"/>
          <w:highlight w:val="none"/>
          <w:lang w:val="en-US" w:eastAsia="zh-CN"/>
        </w:rPr>
        <w:t>97.94</w:t>
      </w:r>
      <w:r>
        <w:rPr>
          <w:rFonts w:ascii="仿宋_GB2312" w:eastAsia="仿宋_GB2312"/>
          <w:b w:val="0"/>
          <w:sz w:val="32"/>
          <w:szCs w:val="32"/>
          <w:highlight w:val="none"/>
        </w:rPr>
        <w:t>万元，全年执行数</w:t>
      </w:r>
      <w:r>
        <w:rPr>
          <w:rFonts w:hint="eastAsia" w:ascii="仿宋_GB2312" w:eastAsia="仿宋_GB2312"/>
          <w:b w:val="0"/>
          <w:sz w:val="32"/>
          <w:szCs w:val="32"/>
          <w:highlight w:val="none"/>
          <w:lang w:val="en-US" w:eastAsia="zh-CN"/>
        </w:rPr>
        <w:t>85.35</w:t>
      </w:r>
      <w:r>
        <w:rPr>
          <w:rFonts w:ascii="仿宋_GB2312" w:eastAsia="仿宋_GB2312"/>
          <w:b w:val="0"/>
          <w:sz w:val="32"/>
          <w:szCs w:val="32"/>
          <w:highlight w:val="none"/>
        </w:rPr>
        <w:t>万元。预算绩效管理取得的成效：</w:t>
      </w:r>
      <w:r>
        <w:rPr>
          <w:rFonts w:hint="eastAsia" w:ascii="仿宋_GB2312" w:eastAsia="仿宋_GB2312"/>
          <w:color w:val="auto"/>
          <w:sz w:val="32"/>
          <w:szCs w:val="32"/>
          <w:highlight w:val="none"/>
          <w:lang w:eastAsia="zh-CN"/>
        </w:rPr>
        <w:t>一是确保各项惠民政策及时落地；二是解民忧暖民心，积极解决群众的困难诉求通过活动丰富了基层党组织生活，增强了基层党员的凝聚力，增强了党员的归属感、身份感及自豪感；三是调动了党员带头服务群众的积极性和率先垂范的重要性和使命感。</w:t>
      </w:r>
      <w:r>
        <w:rPr>
          <w:rFonts w:ascii="仿宋_GB2312" w:eastAsia="仿宋_GB2312"/>
          <w:b w:val="0"/>
          <w:sz w:val="32"/>
          <w:szCs w:val="32"/>
          <w:highlight w:val="none"/>
        </w:rPr>
        <w:t>发现的问题及原因：</w:t>
      </w:r>
      <w:r>
        <w:rPr>
          <w:rFonts w:hint="eastAsia" w:ascii="仿宋_GB2312" w:eastAsia="仿宋_GB2312"/>
          <w:color w:val="auto"/>
          <w:sz w:val="32"/>
          <w:szCs w:val="32"/>
          <w:highlight w:val="none"/>
          <w:lang w:eastAsia="zh-CN"/>
        </w:rPr>
        <w:t>一是在工作产出完成及时率上由于前期计划工作数制定有所偏差，同时部门在工作完成及时率上也有所延迟，所以导致工作产出完成及时率没有达到100%；二是重点工作办结率也存在加强与上升空间，需要有关部门加强工作效率，在重点工作的完成率和完成度上都需要达到100%；三是</w:t>
      </w:r>
      <w:r>
        <w:rPr>
          <w:rFonts w:hint="eastAsia" w:ascii="仿宋_GB2312" w:eastAsia="仿宋_GB2312"/>
          <w:color w:val="auto"/>
          <w:sz w:val="32"/>
          <w:szCs w:val="32"/>
          <w:highlight w:val="none"/>
          <w:lang w:val="en-US" w:eastAsia="zh-CN"/>
        </w:rPr>
        <w:t>乡</w:t>
      </w:r>
      <w:r>
        <w:rPr>
          <w:rFonts w:hint="eastAsia" w:ascii="仿宋_GB2312" w:eastAsia="仿宋_GB2312"/>
          <w:color w:val="auto"/>
          <w:sz w:val="32"/>
          <w:szCs w:val="32"/>
          <w:highlight w:val="none"/>
          <w:lang w:eastAsia="zh-CN"/>
        </w:rPr>
        <w:t>村建设管理和专业技术人才相对缺乏，在工作协调等方面存在不足，影响了</w:t>
      </w:r>
      <w:r>
        <w:rPr>
          <w:rFonts w:hint="eastAsia" w:ascii="仿宋_GB2312" w:eastAsia="仿宋_GB2312"/>
          <w:color w:val="auto"/>
          <w:sz w:val="32"/>
          <w:szCs w:val="32"/>
          <w:highlight w:val="none"/>
          <w:lang w:val="en-US" w:eastAsia="zh-CN"/>
        </w:rPr>
        <w:t>乡</w:t>
      </w:r>
      <w:r>
        <w:rPr>
          <w:rFonts w:hint="eastAsia" w:ascii="仿宋_GB2312" w:eastAsia="仿宋_GB2312"/>
          <w:color w:val="auto"/>
          <w:sz w:val="32"/>
          <w:szCs w:val="32"/>
          <w:highlight w:val="none"/>
          <w:lang w:eastAsia="zh-CN"/>
        </w:rPr>
        <w:t>村建设的整体推进。</w:t>
      </w:r>
      <w:r>
        <w:rPr>
          <w:rFonts w:ascii="仿宋_GB2312" w:eastAsia="仿宋_GB2312"/>
          <w:b w:val="0"/>
          <w:sz w:val="32"/>
          <w:szCs w:val="32"/>
          <w:highlight w:val="none"/>
        </w:rPr>
        <w:t>下一步改进措施：。</w:t>
      </w:r>
      <w:r>
        <w:rPr>
          <w:rFonts w:hint="eastAsia" w:ascii="仿宋_GB2312" w:eastAsia="仿宋_GB2312"/>
          <w:color w:val="auto"/>
          <w:sz w:val="32"/>
          <w:szCs w:val="32"/>
          <w:highlight w:val="none"/>
          <w:lang w:eastAsia="zh-CN"/>
        </w:rPr>
        <w:t>一是细化预算编制工作，严格按照预算编制的相关制度和要求做好预算的编制，进一步加强各站所的预算管理意识；全面编制预算项目，优先保障固定的、相对刚性的费用支出项目，尽量压缩变动的、有控制空间的费用项目，进一步提高预算编制的科学性、严谨性和可控性；二是加强财务管理，严格财务审核。在费用报账支付时，按照预算规定的费用项目和用途进行资金使用审核、列报支付、财务核算，杜绝超支现象的发生；三是持续抓好“三公经费”控制管理。严格控制“三公经费”的规模和比例，把关“三公经费”支出的审核、审批，杜绝挪用和挤占其他预算资金行为；进一步细化“三公经费”的管理，合理压缩“三公经费”支出。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outlineLvl w:val="1"/>
        <w:rPr>
          <w:rFonts w:ascii="黑体" w:eastAsia="黑体"/>
          <w:sz w:val="32"/>
          <w:szCs w:val="32"/>
          <w:highlight w:val="none"/>
        </w:rPr>
      </w:pPr>
      <w:r>
        <w:rPr>
          <w:rFonts w:ascii="黑体" w:eastAsia="黑体"/>
          <w:b w:val="0"/>
          <w:sz w:val="32"/>
          <w:szCs w:val="32"/>
          <w:highlight w:val="none"/>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textAlignment w:val="auto"/>
        <w:rPr>
          <w:highlight w:val="none"/>
        </w:rPr>
      </w:pPr>
      <w:r>
        <w:rPr>
          <w:b w:val="0"/>
          <w:sz w:val="0"/>
          <w:szCs w:val="0"/>
          <w:highlight w:val="none"/>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highlight w:val="none"/>
        </w:rPr>
      </w:pPr>
      <w:r>
        <w:rPr>
          <w:rFonts w:ascii="黑体" w:eastAsia="黑体"/>
          <w:b w:val="0"/>
          <w:sz w:val="32"/>
          <w:szCs w:val="32"/>
          <w:highlight w:val="none"/>
        </w:rPr>
        <w:t>第三部分</w:t>
      </w:r>
      <w:r>
        <w:rPr>
          <w:rFonts w:hint="eastAsia" w:ascii="黑体" w:eastAsia="黑体"/>
          <w:b w:val="0"/>
          <w:sz w:val="32"/>
          <w:szCs w:val="32"/>
          <w:highlight w:val="none"/>
          <w:lang w:val="en-US" w:eastAsia="zh-CN"/>
        </w:rPr>
        <w:t xml:space="preserve"> </w:t>
      </w:r>
      <w:r>
        <w:rPr>
          <w:rFonts w:ascii="黑体" w:eastAsia="黑体"/>
          <w:b w:val="0"/>
          <w:sz w:val="32"/>
          <w:szCs w:val="32"/>
          <w:highlight w:val="none"/>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八、年末结转和结余：</w:t>
      </w:r>
      <w:r>
        <w:rPr>
          <w:rFonts w:ascii="仿宋_GB2312" w:eastAsia="仿宋_GB2312"/>
          <w:b w:val="0"/>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九、基本支出：</w:t>
      </w:r>
      <w:r>
        <w:rPr>
          <w:rFonts w:ascii="仿宋_GB2312" w:eastAsia="仿宋_GB2312"/>
          <w:b w:val="0"/>
          <w:sz w:val="32"/>
          <w:szCs w:val="32"/>
          <w:highlight w:val="none"/>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十、项目支出：</w:t>
      </w:r>
      <w:r>
        <w:rPr>
          <w:rFonts w:ascii="仿宋_GB2312" w:eastAsia="仿宋_GB2312"/>
          <w:b w:val="0"/>
          <w:sz w:val="32"/>
          <w:szCs w:val="32"/>
          <w:highlight w:val="none"/>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十一、经营支出：</w:t>
      </w:r>
      <w:r>
        <w:rPr>
          <w:rFonts w:ascii="仿宋_GB2312" w:eastAsia="仿宋_GB2312"/>
          <w:b w:val="0"/>
          <w:sz w:val="32"/>
          <w:szCs w:val="32"/>
          <w:highlight w:val="none"/>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十二、对附属单位补助支出：</w:t>
      </w:r>
      <w:r>
        <w:rPr>
          <w:rFonts w:ascii="仿宋_GB2312" w:eastAsia="仿宋_GB2312"/>
          <w:b w:val="0"/>
          <w:sz w:val="32"/>
          <w:szCs w:val="32"/>
          <w:highlight w:val="none"/>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十三、“三公”经费：</w:t>
      </w:r>
      <w:r>
        <w:rPr>
          <w:rFonts w:ascii="仿宋_GB2312" w:eastAsia="仿宋_GB2312"/>
          <w:b w:val="0"/>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十四、机关运行经费：</w:t>
      </w:r>
      <w:r>
        <w:rPr>
          <w:rFonts w:ascii="仿宋_GB2312" w:eastAsia="仿宋_GB2312"/>
          <w:b w:val="0"/>
          <w:sz w:val="32"/>
          <w:szCs w:val="32"/>
          <w:highlight w:val="none"/>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b w:val="0"/>
          <w:sz w:val="32"/>
          <w:szCs w:val="32"/>
          <w:highlight w:val="none"/>
        </w:rPr>
      </w:pPr>
      <w:r>
        <w:rPr>
          <w:b w:val="0"/>
          <w:sz w:val="0"/>
          <w:szCs w:val="0"/>
          <w:highlight w:val="none"/>
        </w:rPr>
        <w:br w:type="page"/>
      </w: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outlineLvl w:val="0"/>
        <w:rPr>
          <w:rFonts w:ascii="黑体" w:hAnsi="黑体" w:eastAsia="黑体"/>
          <w:sz w:val="32"/>
          <w:szCs w:val="32"/>
        </w:rPr>
      </w:pPr>
      <w:r>
        <w:rPr>
          <w:rFonts w:hint="eastAsia" w:ascii="黑体" w:hAnsi="黑体" w:eastAsia="黑体"/>
          <w:sz w:val="32"/>
          <w:szCs w:val="32"/>
        </w:rPr>
        <w:t>第四部分 部门决算报表（见附表）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rPr>
      </w:pPr>
      <w:bookmarkStart w:id="0" w:name="_Toc6062"/>
      <w:bookmarkStart w:id="1" w:name="_Toc2183"/>
      <w:r>
        <w:rPr>
          <w:rFonts w:hint="eastAsia" w:ascii="黑体" w:hAnsi="黑体" w:eastAsia="仿宋_GB2312" w:cs="宋体"/>
          <w:bCs/>
          <w:kern w:val="0"/>
          <w:sz w:val="32"/>
          <w:szCs w:val="32"/>
        </w:rPr>
        <w:t>一、《收入支出决算总表》</w:t>
      </w:r>
      <w:bookmarkEnd w:id="0"/>
      <w:bookmarkEnd w:id="1"/>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rPr>
      </w:pPr>
      <w:bookmarkStart w:id="2" w:name="_Toc24532"/>
      <w:bookmarkStart w:id="3" w:name="_Toc30364"/>
      <w:r>
        <w:rPr>
          <w:rFonts w:hint="eastAsia" w:ascii="黑体" w:hAnsi="黑体" w:eastAsia="仿宋_GB2312" w:cs="宋体"/>
          <w:bCs/>
          <w:kern w:val="0"/>
          <w:sz w:val="32"/>
          <w:szCs w:val="32"/>
        </w:rPr>
        <w:t>二、《收入决算表》</w:t>
      </w:r>
      <w:bookmarkEnd w:id="2"/>
      <w:bookmarkEnd w:id="3"/>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rPr>
      </w:pPr>
      <w:bookmarkStart w:id="4" w:name="_Toc32434"/>
      <w:bookmarkStart w:id="5" w:name="_Toc21304"/>
      <w:r>
        <w:rPr>
          <w:rFonts w:hint="eastAsia" w:ascii="黑体" w:hAnsi="黑体" w:eastAsia="仿宋_GB2312" w:cs="宋体"/>
          <w:bCs/>
          <w:kern w:val="0"/>
          <w:sz w:val="32"/>
          <w:szCs w:val="32"/>
        </w:rPr>
        <w:t>三、《支出决算表》</w:t>
      </w:r>
      <w:bookmarkEnd w:id="4"/>
      <w:bookmarkEnd w:id="5"/>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rPr>
      </w:pPr>
      <w:bookmarkStart w:id="6" w:name="_Toc14238"/>
      <w:bookmarkStart w:id="7" w:name="_Toc28786"/>
      <w:r>
        <w:rPr>
          <w:rFonts w:hint="eastAsia" w:ascii="黑体" w:hAnsi="黑体" w:eastAsia="仿宋_GB2312" w:cs="宋体"/>
          <w:bCs/>
          <w:kern w:val="0"/>
          <w:sz w:val="32"/>
          <w:szCs w:val="32"/>
        </w:rPr>
        <w:t>四、《财政拨款收入支出决算总表》</w:t>
      </w:r>
      <w:bookmarkEnd w:id="6"/>
      <w:bookmarkEnd w:id="7"/>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rPr>
      </w:pPr>
      <w:bookmarkStart w:id="8" w:name="_Toc14869"/>
      <w:bookmarkStart w:id="9" w:name="_Toc10347"/>
      <w:r>
        <w:rPr>
          <w:rFonts w:hint="eastAsia" w:ascii="黑体" w:hAnsi="黑体" w:eastAsia="仿宋_GB2312" w:cs="宋体"/>
          <w:bCs/>
          <w:kern w:val="0"/>
          <w:sz w:val="32"/>
          <w:szCs w:val="32"/>
        </w:rPr>
        <w:t>五、《一般公共预算财政拨款支出决算表》</w:t>
      </w:r>
      <w:bookmarkEnd w:id="8"/>
      <w:bookmarkEnd w:id="9"/>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rPr>
      </w:pPr>
      <w:bookmarkStart w:id="10" w:name="_Toc5626"/>
      <w:bookmarkStart w:id="11" w:name="_Toc8884"/>
      <w:r>
        <w:rPr>
          <w:rFonts w:hint="eastAsia" w:ascii="黑体" w:hAnsi="黑体" w:eastAsia="仿宋_GB2312" w:cs="宋体"/>
          <w:bCs/>
          <w:kern w:val="0"/>
          <w:sz w:val="32"/>
          <w:szCs w:val="32"/>
        </w:rPr>
        <w:t>六、《一般公共预算财政拨款基本支出决算表》</w:t>
      </w:r>
      <w:bookmarkEnd w:id="10"/>
      <w:bookmarkEnd w:id="11"/>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12" w:name="_Toc32663"/>
      <w:bookmarkStart w:id="13" w:name="_Toc29106"/>
      <w:r>
        <w:rPr>
          <w:rFonts w:hint="eastAsia" w:ascii="黑体" w:hAnsi="黑体" w:eastAsia="仿宋_GB2312" w:cs="宋体"/>
          <w:bCs/>
          <w:kern w:val="0"/>
          <w:sz w:val="32"/>
          <w:szCs w:val="32"/>
        </w:rPr>
        <w:t>《财政拨款“三公”经费支出决算表》</w:t>
      </w:r>
      <w:bookmarkEnd w:id="12"/>
      <w:bookmarkEnd w:id="13"/>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rPr>
      </w:pPr>
      <w:bookmarkStart w:id="14" w:name="_Toc7643"/>
      <w:bookmarkStart w:id="15" w:name="_Toc5453"/>
      <w:r>
        <w:rPr>
          <w:rFonts w:hint="eastAsia" w:ascii="黑体" w:hAnsi="黑体" w:eastAsia="仿宋_GB2312" w:cs="宋体"/>
          <w:bCs/>
          <w:kern w:val="0"/>
          <w:sz w:val="32"/>
          <w:szCs w:val="32"/>
        </w:rPr>
        <w:t>八、《政府性基金预算财政拨款收入支出决算表》</w:t>
      </w:r>
      <w:bookmarkEnd w:id="14"/>
      <w:bookmarkEnd w:id="15"/>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b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0" w:firstLineChars="0"/>
        <w:jc w:val="left"/>
        <w:textAlignment w:val="auto"/>
        <w:outlineLvl w:val="1"/>
        <w:rPr>
          <w:rFonts w:hint="eastAsia" w:ascii="仿宋_GB2312" w:eastAsia="仿宋_GB2312"/>
          <w:b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0" w:firstLineChars="0"/>
        <w:jc w:val="left"/>
        <w:textAlignment w:val="auto"/>
        <w:outlineLvl w:val="1"/>
        <w:rPr>
          <w:rFonts w:hint="eastAsia" w:ascii="仿宋_GB2312" w:eastAsia="仿宋_GB2312"/>
          <w:b w:val="0"/>
          <w:sz w:val="32"/>
          <w:szCs w:val="32"/>
          <w:highlight w:val="none"/>
          <w:lang w:val="en-US" w:eastAsia="zh-CN"/>
        </w:rPr>
      </w:pPr>
    </w:p>
    <w:p>
      <w:pPr>
        <w:tabs>
          <w:tab w:val="left" w:pos="960"/>
        </w:tabs>
        <w:bidi w:val="0"/>
        <w:jc w:val="left"/>
        <w:rPr>
          <w:rFonts w:hint="eastAsia"/>
          <w:lang w:val="en-US" w:eastAsia="zh-CN"/>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0" w:firstLineChars="0"/>
        <w:jc w:val="left"/>
        <w:textAlignment w:val="auto"/>
        <w:outlineLvl w:val="1"/>
        <w:rPr>
          <w:rFonts w:hint="eastAsia" w:ascii="仿宋_GB2312" w:eastAsia="仿宋_GB2312"/>
          <w:b w:val="0"/>
          <w:sz w:val="32"/>
          <w:szCs w:val="32"/>
          <w:highlight w:val="none"/>
          <w:lang w:val="en-US" w:eastAsia="zh-CN"/>
        </w:rPr>
      </w:pPr>
      <w:r>
        <w:rPr>
          <w:rFonts w:hint="eastAsia" w:ascii="仿宋_GB2312" w:eastAsia="仿宋_GB2312"/>
          <w:b w:val="0"/>
          <w:sz w:val="32"/>
          <w:szCs w:val="32"/>
          <w:highlight w:val="none"/>
          <w:lang w:val="en-US" w:eastAsia="zh-CN"/>
        </w:rPr>
        <w:t xml:space="preserve">                                                           </w:t>
      </w:r>
    </w:p>
    <w:p>
      <w:pPr>
        <w:bidi w:val="0"/>
        <w:rPr>
          <w:rFonts w:hint="default" w:asciiTheme="minorHAnsi" w:hAnsiTheme="minorHAnsi" w:eastAsiaTheme="minorEastAsia" w:cstheme="minorBidi"/>
          <w:sz w:val="21"/>
          <w:szCs w:val="22"/>
          <w:lang w:val="en-US" w:eastAsia="zh-CN"/>
        </w:rPr>
      </w:pPr>
    </w:p>
    <w:p>
      <w:pPr>
        <w:bidi w:val="0"/>
        <w:rPr>
          <w:rFonts w:hint="default"/>
          <w:lang w:val="en-US" w:eastAsia="zh-CN"/>
        </w:rPr>
      </w:pPr>
    </w:p>
    <w:p>
      <w:pPr>
        <w:tabs>
          <w:tab w:val="left" w:pos="949"/>
        </w:tabs>
        <w:bidi w:val="0"/>
        <w:jc w:val="left"/>
        <w:rPr>
          <w:rFonts w:hint="eastAsia"/>
          <w:lang w:val="en-US" w:eastAsia="zh-CN"/>
        </w:rPr>
      </w:pPr>
    </w:p>
    <w:p>
      <w:pPr>
        <w:tabs>
          <w:tab w:val="left" w:pos="949"/>
        </w:tabs>
        <w:bidi w:val="0"/>
        <w:jc w:val="left"/>
        <w:rPr>
          <w:rFonts w:hint="eastAsia"/>
          <w:lang w:val="en-US" w:eastAsia="zh-CN"/>
        </w:rPr>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rPr>
          <w:rFonts w:hint="eastAsia"/>
          <w:lang w:val="en-US" w:eastAsia="zh-CN"/>
        </w:rPr>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r>
        <w:drawing>
          <wp:anchor distT="0" distB="0" distL="114300" distR="114300" simplePos="0" relativeHeight="251659264" behindDoc="0" locked="0" layoutInCell="1" allowOverlap="1">
            <wp:simplePos x="0" y="0"/>
            <wp:positionH relativeFrom="column">
              <wp:posOffset>63500</wp:posOffset>
            </wp:positionH>
            <wp:positionV relativeFrom="page">
              <wp:posOffset>1508760</wp:posOffset>
            </wp:positionV>
            <wp:extent cx="5479415" cy="4796790"/>
            <wp:effectExtent l="0" t="0" r="6985" b="3810"/>
            <wp:wrapNone/>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a:stretch>
                      <a:fillRect/>
                    </a:stretch>
                  </pic:blipFill>
                  <pic:spPr>
                    <a:xfrm>
                      <a:off x="0" y="0"/>
                      <a:ext cx="5479415" cy="4796790"/>
                    </a:xfrm>
                    <a:prstGeom prst="rect">
                      <a:avLst/>
                    </a:prstGeom>
                    <a:noFill/>
                    <a:ln>
                      <a:noFill/>
                    </a:ln>
                  </pic:spPr>
                </pic:pic>
              </a:graphicData>
            </a:graphic>
          </wp:anchor>
        </w:drawing>
      </w: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rPr>
          <w:rFonts w:hint="default"/>
          <w:lang w:val="en-US" w:eastAsia="zh-CN"/>
        </w:rPr>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r>
        <w:drawing>
          <wp:anchor distT="0" distB="0" distL="114300" distR="114300" simplePos="0" relativeHeight="251660288" behindDoc="0" locked="0" layoutInCell="1" allowOverlap="1">
            <wp:simplePos x="0" y="0"/>
            <wp:positionH relativeFrom="column">
              <wp:posOffset>-63500</wp:posOffset>
            </wp:positionH>
            <wp:positionV relativeFrom="page">
              <wp:posOffset>1417320</wp:posOffset>
            </wp:positionV>
            <wp:extent cx="5475605" cy="5815965"/>
            <wp:effectExtent l="0" t="0" r="10795" b="13335"/>
            <wp:wrapNone/>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5"/>
                    <a:stretch>
                      <a:fillRect/>
                    </a:stretch>
                  </pic:blipFill>
                  <pic:spPr>
                    <a:xfrm>
                      <a:off x="0" y="0"/>
                      <a:ext cx="5475605" cy="5815965"/>
                    </a:xfrm>
                    <a:prstGeom prst="rect">
                      <a:avLst/>
                    </a:prstGeom>
                    <a:noFill/>
                    <a:ln>
                      <a:noFill/>
                    </a:ln>
                  </pic:spPr>
                </pic:pic>
              </a:graphicData>
            </a:graphic>
          </wp:anchor>
        </w:drawing>
      </w: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r>
        <w:drawing>
          <wp:anchor distT="0" distB="0" distL="114300" distR="114300" simplePos="0" relativeHeight="251661312" behindDoc="0" locked="0" layoutInCell="1" allowOverlap="1">
            <wp:simplePos x="0" y="0"/>
            <wp:positionH relativeFrom="column">
              <wp:posOffset>0</wp:posOffset>
            </wp:positionH>
            <wp:positionV relativeFrom="page">
              <wp:posOffset>914400</wp:posOffset>
            </wp:positionV>
            <wp:extent cx="5483225" cy="7002145"/>
            <wp:effectExtent l="0" t="0" r="3175" b="8255"/>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6"/>
                    <a:stretch>
                      <a:fillRect/>
                    </a:stretch>
                  </pic:blipFill>
                  <pic:spPr>
                    <a:xfrm>
                      <a:off x="0" y="0"/>
                      <a:ext cx="5483225" cy="7002145"/>
                    </a:xfrm>
                    <a:prstGeom prst="rect">
                      <a:avLst/>
                    </a:prstGeom>
                    <a:noFill/>
                    <a:ln>
                      <a:noFill/>
                    </a:ln>
                  </pic:spPr>
                </pic:pic>
              </a:graphicData>
            </a:graphic>
          </wp:anchor>
        </w:drawing>
      </w: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pPr>
    </w:p>
    <w:p>
      <w:pPr>
        <w:tabs>
          <w:tab w:val="left" w:pos="949"/>
        </w:tabs>
        <w:bidi w:val="0"/>
        <w:jc w:val="left"/>
        <w:rPr>
          <w:rFonts w:hint="default"/>
          <w:lang w:val="en-US" w:eastAsia="zh-CN"/>
        </w:rPr>
        <w:sectPr>
          <w:pgSz w:w="12240" w:h="15840"/>
          <w:pgMar w:top="1440" w:right="1800" w:bottom="1440" w:left="1800" w:header="720" w:footer="720" w:gutter="0"/>
          <w:cols w:space="720" w:num="1"/>
        </w:sectPr>
      </w:pPr>
    </w:p>
    <w:p>
      <w:pPr>
        <w:tabs>
          <w:tab w:val="left" w:pos="949"/>
        </w:tabs>
        <w:bidi w:val="0"/>
        <w:jc w:val="left"/>
        <w:rPr>
          <w:rFonts w:hint="default"/>
          <w:lang w:val="en-US" w:eastAsia="zh-CN"/>
        </w:rPr>
        <w:sectPr>
          <w:pgSz w:w="12240" w:h="15840"/>
          <w:pgMar w:top="1440" w:right="1800" w:bottom="1440" w:left="1800" w:header="720" w:footer="720" w:gutter="0"/>
          <w:cols w:space="720" w:num="1"/>
        </w:sectPr>
      </w:pPr>
      <w:r>
        <w:drawing>
          <wp:anchor distT="0" distB="0" distL="114300" distR="114300" simplePos="0" relativeHeight="251662336" behindDoc="0" locked="0" layoutInCell="1" allowOverlap="1">
            <wp:simplePos x="0" y="0"/>
            <wp:positionH relativeFrom="column">
              <wp:posOffset>0</wp:posOffset>
            </wp:positionH>
            <wp:positionV relativeFrom="page">
              <wp:posOffset>914400</wp:posOffset>
            </wp:positionV>
            <wp:extent cx="5485130" cy="3762375"/>
            <wp:effectExtent l="0" t="0" r="1270" b="9525"/>
            <wp:wrapNone/>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7"/>
                    <a:stretch>
                      <a:fillRect/>
                    </a:stretch>
                  </pic:blipFill>
                  <pic:spPr>
                    <a:xfrm>
                      <a:off x="0" y="0"/>
                      <a:ext cx="5485130" cy="3762375"/>
                    </a:xfrm>
                    <a:prstGeom prst="rect">
                      <a:avLst/>
                    </a:prstGeom>
                    <a:noFill/>
                    <a:ln>
                      <a:noFill/>
                    </a:ln>
                  </pic:spPr>
                </pic:pic>
              </a:graphicData>
            </a:graphic>
          </wp:anchor>
        </w:drawing>
      </w:r>
    </w:p>
    <w:p>
      <w:pPr>
        <w:tabs>
          <w:tab w:val="left" w:pos="949"/>
        </w:tabs>
        <w:bidi w:val="0"/>
        <w:jc w:val="left"/>
        <w:rPr>
          <w:rFonts w:hint="default"/>
          <w:lang w:val="en-US" w:eastAsia="zh-CN"/>
        </w:rPr>
        <w:sectPr>
          <w:pgSz w:w="12240" w:h="15840"/>
          <w:pgMar w:top="1440" w:right="1800" w:bottom="1440" w:left="1800" w:header="720" w:footer="720" w:gutter="0"/>
          <w:cols w:space="720" w:num="1"/>
        </w:sectPr>
      </w:pPr>
      <w:r>
        <w:drawing>
          <wp:anchor distT="0" distB="0" distL="114300" distR="114300" simplePos="0" relativeHeight="251663360" behindDoc="0" locked="0" layoutInCell="1" allowOverlap="1">
            <wp:simplePos x="0" y="0"/>
            <wp:positionH relativeFrom="column">
              <wp:posOffset>0</wp:posOffset>
            </wp:positionH>
            <wp:positionV relativeFrom="page">
              <wp:posOffset>914400</wp:posOffset>
            </wp:positionV>
            <wp:extent cx="5481320" cy="8524240"/>
            <wp:effectExtent l="0" t="0" r="5080" b="10160"/>
            <wp:wrapNone/>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8"/>
                    <a:stretch>
                      <a:fillRect/>
                    </a:stretch>
                  </pic:blipFill>
                  <pic:spPr>
                    <a:xfrm>
                      <a:off x="0" y="0"/>
                      <a:ext cx="5481320" cy="8524240"/>
                    </a:xfrm>
                    <a:prstGeom prst="rect">
                      <a:avLst/>
                    </a:prstGeom>
                    <a:noFill/>
                    <a:ln>
                      <a:noFill/>
                    </a:ln>
                  </pic:spPr>
                </pic:pic>
              </a:graphicData>
            </a:graphic>
          </wp:anchor>
        </w:drawing>
      </w:r>
    </w:p>
    <w:p>
      <w:pPr>
        <w:tabs>
          <w:tab w:val="left" w:pos="949"/>
        </w:tabs>
        <w:bidi w:val="0"/>
        <w:jc w:val="left"/>
        <w:sectPr>
          <w:pgSz w:w="12240" w:h="15840"/>
          <w:pgMar w:top="1440" w:right="1800" w:bottom="1440" w:left="1800" w:header="720" w:footer="720" w:gutter="0"/>
          <w:cols w:space="720" w:num="1"/>
        </w:sectPr>
      </w:pPr>
      <w:r>
        <w:drawing>
          <wp:inline distT="0" distB="0" distL="114300" distR="114300">
            <wp:extent cx="5479415" cy="4752340"/>
            <wp:effectExtent l="0" t="0" r="6985" b="1016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9"/>
                    <a:stretch>
                      <a:fillRect/>
                    </a:stretch>
                  </pic:blipFill>
                  <pic:spPr>
                    <a:xfrm>
                      <a:off x="0" y="0"/>
                      <a:ext cx="5479415" cy="4752340"/>
                    </a:xfrm>
                    <a:prstGeom prst="rect">
                      <a:avLst/>
                    </a:prstGeom>
                    <a:noFill/>
                    <a:ln>
                      <a:noFill/>
                    </a:ln>
                  </pic:spPr>
                </pic:pic>
              </a:graphicData>
            </a:graphic>
          </wp:inline>
        </w:drawing>
      </w:r>
    </w:p>
    <w:p>
      <w:pPr>
        <w:tabs>
          <w:tab w:val="left" w:pos="949"/>
        </w:tabs>
        <w:bidi w:val="0"/>
        <w:jc w:val="left"/>
        <w:rPr>
          <w:rFonts w:hint="default"/>
          <w:lang w:val="en-US" w:eastAsia="zh-CN"/>
        </w:rPr>
        <w:sectPr>
          <w:pgSz w:w="12240" w:h="15840"/>
          <w:pgMar w:top="1440" w:right="1800" w:bottom="1440" w:left="1800" w:header="720" w:footer="720" w:gutter="0"/>
          <w:cols w:space="720" w:num="1"/>
        </w:sectPr>
      </w:pPr>
      <w:r>
        <w:drawing>
          <wp:inline distT="0" distB="0" distL="114300" distR="114300">
            <wp:extent cx="5480050" cy="1774190"/>
            <wp:effectExtent l="0" t="0" r="6350" b="1651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0"/>
                    <a:stretch>
                      <a:fillRect/>
                    </a:stretch>
                  </pic:blipFill>
                  <pic:spPr>
                    <a:xfrm>
                      <a:off x="0" y="0"/>
                      <a:ext cx="5480050" cy="1774190"/>
                    </a:xfrm>
                    <a:prstGeom prst="rect">
                      <a:avLst/>
                    </a:prstGeom>
                    <a:noFill/>
                    <a:ln>
                      <a:noFill/>
                    </a:ln>
                  </pic:spPr>
                </pic:pic>
              </a:graphicData>
            </a:graphic>
          </wp:inline>
        </w:drawing>
      </w:r>
    </w:p>
    <w:p>
      <w:pPr>
        <w:tabs>
          <w:tab w:val="left" w:pos="949"/>
        </w:tabs>
        <w:bidi w:val="0"/>
        <w:jc w:val="left"/>
        <w:rPr>
          <w:rFonts w:hint="default"/>
          <w:lang w:val="en-US" w:eastAsia="zh-CN"/>
        </w:rPr>
        <w:sectPr>
          <w:pgSz w:w="12240" w:h="15840"/>
          <w:pgMar w:top="1440" w:right="1800" w:bottom="1440" w:left="1800" w:header="720" w:footer="720" w:gutter="0"/>
          <w:cols w:space="720" w:num="1"/>
        </w:sectPr>
      </w:pPr>
      <w:r>
        <w:drawing>
          <wp:inline distT="0" distB="0" distL="114300" distR="114300">
            <wp:extent cx="5482590" cy="2155825"/>
            <wp:effectExtent l="0" t="0" r="3810" b="15875"/>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1"/>
                    <a:stretch>
                      <a:fillRect/>
                    </a:stretch>
                  </pic:blipFill>
                  <pic:spPr>
                    <a:xfrm>
                      <a:off x="0" y="0"/>
                      <a:ext cx="5482590" cy="2155825"/>
                    </a:xfrm>
                    <a:prstGeom prst="rect">
                      <a:avLst/>
                    </a:prstGeom>
                    <a:noFill/>
                    <a:ln>
                      <a:noFill/>
                    </a:ln>
                  </pic:spPr>
                </pic:pic>
              </a:graphicData>
            </a:graphic>
          </wp:inline>
        </w:drawing>
      </w:r>
    </w:p>
    <w:p>
      <w:pPr>
        <w:tabs>
          <w:tab w:val="left" w:pos="949"/>
        </w:tabs>
        <w:bidi w:val="0"/>
        <w:jc w:val="left"/>
        <w:rPr>
          <w:rFonts w:hint="default"/>
          <w:lang w:val="en-US" w:eastAsia="zh-CN"/>
        </w:rPr>
      </w:pPr>
      <w:r>
        <w:drawing>
          <wp:inline distT="0" distB="0" distL="114300" distR="114300">
            <wp:extent cx="5476240" cy="1382395"/>
            <wp:effectExtent l="0" t="0" r="10160" b="8255"/>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2"/>
                    <a:stretch>
                      <a:fillRect/>
                    </a:stretch>
                  </pic:blipFill>
                  <pic:spPr>
                    <a:xfrm>
                      <a:off x="0" y="0"/>
                      <a:ext cx="5476240" cy="1382395"/>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41C0B"/>
    <w:rsid w:val="00AA3CEC"/>
    <w:rsid w:val="036F6B27"/>
    <w:rsid w:val="04073400"/>
    <w:rsid w:val="050701AE"/>
    <w:rsid w:val="054C5285"/>
    <w:rsid w:val="05EA1BE3"/>
    <w:rsid w:val="06810233"/>
    <w:rsid w:val="06A05249"/>
    <w:rsid w:val="07260A7F"/>
    <w:rsid w:val="07335BB0"/>
    <w:rsid w:val="073E518E"/>
    <w:rsid w:val="07A30398"/>
    <w:rsid w:val="080876AE"/>
    <w:rsid w:val="08815BD4"/>
    <w:rsid w:val="08E72CC0"/>
    <w:rsid w:val="0C30706F"/>
    <w:rsid w:val="1330447D"/>
    <w:rsid w:val="138441E8"/>
    <w:rsid w:val="140323D0"/>
    <w:rsid w:val="1447279B"/>
    <w:rsid w:val="1606331B"/>
    <w:rsid w:val="18075128"/>
    <w:rsid w:val="18332C0A"/>
    <w:rsid w:val="18E86AC6"/>
    <w:rsid w:val="198862BF"/>
    <w:rsid w:val="19F138D9"/>
    <w:rsid w:val="1ABA6613"/>
    <w:rsid w:val="1B6C3DC3"/>
    <w:rsid w:val="1B9C027D"/>
    <w:rsid w:val="1CBF7895"/>
    <w:rsid w:val="1D3E37B6"/>
    <w:rsid w:val="1DA12DD7"/>
    <w:rsid w:val="20B1765B"/>
    <w:rsid w:val="21AE3FCE"/>
    <w:rsid w:val="22241914"/>
    <w:rsid w:val="25471FC1"/>
    <w:rsid w:val="25AC6775"/>
    <w:rsid w:val="271B185E"/>
    <w:rsid w:val="27DB3EDB"/>
    <w:rsid w:val="2A334B25"/>
    <w:rsid w:val="2A612DBE"/>
    <w:rsid w:val="2AC72B7A"/>
    <w:rsid w:val="2B9B22FF"/>
    <w:rsid w:val="2BFB4B4C"/>
    <w:rsid w:val="2C8072F5"/>
    <w:rsid w:val="2EF70D68"/>
    <w:rsid w:val="2F661B6F"/>
    <w:rsid w:val="305667F5"/>
    <w:rsid w:val="333C7B05"/>
    <w:rsid w:val="349B3426"/>
    <w:rsid w:val="36EE7787"/>
    <w:rsid w:val="37896CF9"/>
    <w:rsid w:val="37980C01"/>
    <w:rsid w:val="3C14220E"/>
    <w:rsid w:val="3E271EB8"/>
    <w:rsid w:val="3E467DCB"/>
    <w:rsid w:val="3FD02237"/>
    <w:rsid w:val="40F96AE1"/>
    <w:rsid w:val="41912668"/>
    <w:rsid w:val="43150953"/>
    <w:rsid w:val="448E07FB"/>
    <w:rsid w:val="44987E9B"/>
    <w:rsid w:val="467D4684"/>
    <w:rsid w:val="480E7E81"/>
    <w:rsid w:val="4E0A60EC"/>
    <w:rsid w:val="4E775E5C"/>
    <w:rsid w:val="501A2E8C"/>
    <w:rsid w:val="50813AF2"/>
    <w:rsid w:val="513D377E"/>
    <w:rsid w:val="56A8644E"/>
    <w:rsid w:val="5B790DA8"/>
    <w:rsid w:val="5D3C0912"/>
    <w:rsid w:val="5DA327CA"/>
    <w:rsid w:val="5E7D61BB"/>
    <w:rsid w:val="61131F9A"/>
    <w:rsid w:val="629F0BFC"/>
    <w:rsid w:val="64D22EF6"/>
    <w:rsid w:val="66A001EE"/>
    <w:rsid w:val="67866F0C"/>
    <w:rsid w:val="681A6023"/>
    <w:rsid w:val="68A01EBD"/>
    <w:rsid w:val="6B827EC3"/>
    <w:rsid w:val="6C734006"/>
    <w:rsid w:val="6C7D4B2E"/>
    <w:rsid w:val="6CE30E35"/>
    <w:rsid w:val="6E4759DE"/>
    <w:rsid w:val="6F2972B7"/>
    <w:rsid w:val="70402146"/>
    <w:rsid w:val="71CD285F"/>
    <w:rsid w:val="725400DF"/>
    <w:rsid w:val="75143E7A"/>
    <w:rsid w:val="75F70058"/>
    <w:rsid w:val="76A4069C"/>
    <w:rsid w:val="7989215C"/>
    <w:rsid w:val="7C8162A4"/>
    <w:rsid w:val="7D9A55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30</Pages>
  <Words>8176</Words>
  <Characters>9330</Characters>
  <TotalTime>13</TotalTime>
  <ScaleCrop>false</ScaleCrop>
  <LinksUpToDate>false</LinksUpToDate>
  <CharactersWithSpaces>9333</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2025-08-15T02:36:00Z</dcterms:created>
  <dc:creator>Administrator</dc:creator>
  <cp:lastModifiedBy>lenovo</cp:lastModifiedBy>
  <dcterms:modified xsi:type="dcterms:W3CDTF">2025-09-02T05:28:01Z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KSOTemplateDocerSaveRecord">
    <vt:lpwstr>eyJoZGlkIjoiMTQ5ZjY4MWRmMDQzZDNjYjMyYWUwNjFjY2ZhNjg0ZmEiLCJ1c2VySWQiOiI0MTE5NzQyNzcifQ==</vt:lpwstr>
  </property>
  <property fmtid="{D5CDD505-2E9C-101B-9397-08002B2CF9AE}" pid="4" name="ICV">
    <vt:lpwstr>62C7BE812A9D40BD9568AD49EFD9A2C7_12</vt:lpwstr>
  </property>
</Properties>
</file>