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库尔勒市规划展示馆</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库尔勒市规划展示馆负责展示城市规划建设成就和规划远景、负责展馆布展和展示内容的更新、负责展馆日常运行和维护、负责展馆接待和讲解服务等工作、承办市委市政府交办的其它工作。</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库尔勒市规划展示馆2024年度，实有人数4人，其中：在职人员4人，增加1人；离休人员0人，较上年无变化；退休人员0人，较上年无变化；</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库尔勒市规划展示馆无下属预算单位，</w:t>
      </w:r>
      <w:r>
        <w:rPr>
          <w:rFonts w:hint="eastAsia" w:ascii="仿宋_GB2312" w:eastAsia="仿宋_GB2312" w:hAnsiTheme="minorHAnsi" w:cstheme="minorBidi"/>
          <w:b w:val="0"/>
          <w:sz w:val="32"/>
          <w:szCs w:val="32"/>
        </w:rPr>
        <w:t>下设4个处室</w:t>
      </w:r>
      <w:r>
        <w:rPr>
          <w:rFonts w:ascii="仿宋_GB2312" w:eastAsia="仿宋_GB2312" w:hAnsiTheme="minorHAnsi" w:cstheme="minorBidi"/>
          <w:b w:val="0"/>
          <w:sz w:val="32"/>
          <w:szCs w:val="32"/>
        </w:rPr>
        <w:t>，</w:t>
      </w:r>
      <w:r>
        <w:rPr>
          <w:rFonts w:ascii="仿宋_GB2312" w:eastAsia="仿宋_GB2312"/>
          <w:b w:val="0"/>
          <w:sz w:val="32"/>
          <w:szCs w:val="32"/>
        </w:rPr>
        <w:t>分别是：</w:t>
      </w:r>
      <w:r>
        <w:rPr>
          <w:rFonts w:hint="eastAsia" w:ascii="仿宋_GB2312" w:eastAsia="仿宋_GB2312" w:hAnsiTheme="minorHAnsi" w:cstheme="minorBidi"/>
          <w:b w:val="0"/>
          <w:sz w:val="32"/>
          <w:szCs w:val="32"/>
        </w:rPr>
        <w:t>迎宾部、策展部、办公室、工程部</w:t>
      </w:r>
      <w:r>
        <w:rPr>
          <w:rFonts w:ascii="仿宋_GB2312" w:eastAsia="仿宋_GB2312" w:hAnsiTheme="minorHAnsi" w:cstheme="minorBidi"/>
          <w:b w:val="0"/>
          <w:sz w:val="32"/>
          <w:szCs w:val="32"/>
        </w:rPr>
        <w:t>。</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2024年度收入总计365.66万元，其中：本年收入合计365.66万元，使用非财政拨款结余（含专用结余）0.00万元，年初结转和结余0.00万元。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2024年度支出总计365.66万元，其中：本年支出合计365.66万元，结余分配0.00万元，年末结转和结余0.00万元。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收入支出总体与上年相比，增加274.23万元，增长299.93%，主要原因是：</w:t>
      </w:r>
      <w:r>
        <w:rPr>
          <w:rFonts w:hint="eastAsia" w:ascii="仿宋_GB2312" w:eastAsia="仿宋_GB2312"/>
          <w:b w:val="0"/>
          <w:sz w:val="32"/>
          <w:szCs w:val="32"/>
        </w:rPr>
        <w:t>本年度我单位增加了铸牢馆的维修维护项目支出261</w:t>
      </w:r>
      <w:r>
        <w:rPr>
          <w:rFonts w:hint="eastAsia" w:ascii="仿宋_GB2312" w:eastAsia="仿宋_GB2312"/>
          <w:b w:val="0"/>
          <w:sz w:val="32"/>
          <w:szCs w:val="32"/>
          <w:lang w:val="en-US" w:eastAsia="zh-CN"/>
        </w:rPr>
        <w:t>.46万</w:t>
      </w:r>
      <w:r>
        <w:rPr>
          <w:rFonts w:hint="eastAsia" w:ascii="仿宋_GB2312" w:eastAsia="仿宋_GB2312"/>
          <w:b w:val="0"/>
          <w:sz w:val="32"/>
          <w:szCs w:val="32"/>
        </w:rPr>
        <w:t>元</w:t>
      </w:r>
      <w:r>
        <w:rPr>
          <w:rFonts w:hint="eastAsia" w:ascii="仿宋_GB2312" w:eastAsia="仿宋_GB2312"/>
          <w:b w:val="0"/>
          <w:sz w:val="32"/>
          <w:szCs w:val="32"/>
          <w:lang w:eastAsia="zh-CN"/>
        </w:rPr>
        <w:t>；公务用车运行维护费及培训费增加了</w:t>
      </w:r>
      <w:r>
        <w:rPr>
          <w:rFonts w:hint="eastAsia" w:ascii="仿宋_GB2312" w:eastAsia="仿宋_GB2312"/>
          <w:b w:val="0"/>
          <w:sz w:val="32"/>
          <w:szCs w:val="32"/>
          <w:lang w:val="en-US" w:eastAsia="zh-CN"/>
        </w:rPr>
        <w:t>12.77万元</w:t>
      </w:r>
      <w:r>
        <w:rPr>
          <w:rFonts w:hint="eastAsia"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本年收入365.66万元，其中：财政拨款收入365.66万元,占100.00%；上级补助收入0.00万元,占0.00%；事业收入0.00万元，占0.00%；经营收入0.00万元,占0.00%；附属单位上缴收入0.00万元，占0.00%；其他收入0.00万元，占0.00%。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本年支出365.66万元，其中：基本支出85.43万元，占23.36%；项目支出280.23万元，占76.64%；上缴上级支出0.00万元，占0.00%；经营支出0.00万元，占0.00%；对附属单位补助支出0.00万元，占0.00%。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2024年度财政拨款收入总计365.66万元，其中：年初财政拨款结转和结余0.00万元，本年财政拨款收入365.66万元。财政拨款支出总计365.66万元，其中：年末财政拨款结转和结余0.00万元，本年财政拨款支出365.66万元。</w:t>
      </w:r>
    </w:p>
    <w:p>
      <w:pPr>
        <w:widowControl/>
        <w:spacing w:before="0" w:beforeLines="0" w:beforeAutospacing="0" w:after="0" w:afterLines="0" w:afterAutospacing="0" w:line="240" w:lineRule="auto"/>
        <w:ind w:firstLine="640" w:firstLineChars="200"/>
        <w:jc w:val="both"/>
        <w:rPr>
          <w:rFonts w:hint="default" w:ascii="仿宋_GB2312" w:eastAsia="仿宋_GB2312"/>
          <w:sz w:val="32"/>
          <w:szCs w:val="32"/>
          <w:lang w:val="en-US" w:eastAsia="zh-CN"/>
        </w:rPr>
      </w:pPr>
      <w:r>
        <w:rPr>
          <w:rFonts w:ascii="仿宋_GB2312" w:eastAsia="仿宋_GB2312"/>
          <w:b w:val="0"/>
          <w:sz w:val="32"/>
          <w:szCs w:val="32"/>
        </w:rPr>
        <w:t>财政拨款收入支出总体与上年相比，增加274.23万元，增长299.93%，主要原因是：</w:t>
      </w:r>
      <w:r>
        <w:rPr>
          <w:rFonts w:hint="eastAsia" w:ascii="仿宋_GB2312" w:eastAsia="仿宋_GB2312"/>
          <w:b w:val="0"/>
          <w:sz w:val="32"/>
          <w:szCs w:val="32"/>
        </w:rPr>
        <w:t>本年度我单位增加了铸牢馆的维修维护项目支出261</w:t>
      </w:r>
      <w:r>
        <w:rPr>
          <w:rFonts w:hint="eastAsia" w:ascii="仿宋_GB2312" w:eastAsia="仿宋_GB2312"/>
          <w:b w:val="0"/>
          <w:sz w:val="32"/>
          <w:szCs w:val="32"/>
          <w:lang w:val="en-US" w:eastAsia="zh-CN"/>
        </w:rPr>
        <w:t>.46万</w:t>
      </w:r>
      <w:r>
        <w:rPr>
          <w:rFonts w:hint="eastAsia" w:ascii="仿宋_GB2312" w:eastAsia="仿宋_GB2312"/>
          <w:b w:val="0"/>
          <w:sz w:val="32"/>
          <w:szCs w:val="32"/>
        </w:rPr>
        <w:t>元</w:t>
      </w:r>
      <w:r>
        <w:rPr>
          <w:rFonts w:hint="eastAsia" w:ascii="仿宋_GB2312" w:eastAsia="仿宋_GB2312"/>
          <w:b w:val="0"/>
          <w:sz w:val="32"/>
          <w:szCs w:val="32"/>
          <w:lang w:eastAsia="zh-CN"/>
        </w:rPr>
        <w:t>；公务用车运行维护费及培训费增加了</w:t>
      </w:r>
      <w:r>
        <w:rPr>
          <w:rFonts w:hint="eastAsia" w:ascii="仿宋_GB2312" w:eastAsia="仿宋_GB2312"/>
          <w:b w:val="0"/>
          <w:sz w:val="32"/>
          <w:szCs w:val="32"/>
          <w:lang w:val="en-US" w:eastAsia="zh-CN"/>
        </w:rPr>
        <w:t>12.77万元</w:t>
      </w:r>
      <w:r>
        <w:rPr>
          <w:rFonts w:ascii="仿宋_GB2312" w:eastAsia="仿宋_GB2312"/>
          <w:b w:val="0"/>
          <w:sz w:val="32"/>
          <w:szCs w:val="32"/>
        </w:rPr>
        <w:t>。与年初预算相比，年初预算数153.98万元，决算数365.66万元，预决算差异率137.47%，主要原因是：</w:t>
      </w:r>
      <w:r>
        <w:rPr>
          <w:rFonts w:hint="eastAsia" w:ascii="仿宋_GB2312" w:eastAsia="仿宋_GB2312"/>
          <w:b w:val="0"/>
          <w:sz w:val="32"/>
          <w:szCs w:val="32"/>
        </w:rPr>
        <w:t>本年度我单位增加了铸牢馆的维修维护项目支出</w:t>
      </w:r>
      <w:r>
        <w:rPr>
          <w:rFonts w:hint="eastAsia" w:ascii="仿宋_GB2312" w:eastAsia="仿宋_GB2312"/>
          <w:b w:val="0"/>
          <w:sz w:val="32"/>
          <w:szCs w:val="32"/>
          <w:lang w:eastAsia="zh-CN"/>
        </w:rPr>
        <w:t>，城乡社区支出决算数与年初预算差异为</w:t>
      </w:r>
      <w:r>
        <w:rPr>
          <w:rFonts w:hint="eastAsia" w:ascii="仿宋_GB2312" w:eastAsia="仿宋_GB2312"/>
          <w:b w:val="0"/>
          <w:sz w:val="32"/>
          <w:szCs w:val="32"/>
          <w:lang w:val="en-US" w:eastAsia="zh-CN"/>
        </w:rPr>
        <w:t>214.62万元</w:t>
      </w:r>
      <w:r>
        <w:rPr>
          <w:rFonts w:ascii="仿宋_GB2312" w:eastAsia="仿宋_GB2312"/>
          <w:b w:val="0"/>
          <w:sz w:val="32"/>
          <w:szCs w:val="32"/>
        </w:rPr>
        <w:t>。</w:t>
      </w:r>
      <w:r>
        <w:rPr>
          <w:rFonts w:hint="eastAsia" w:ascii="仿宋_GB2312" w:eastAsia="仿宋_GB2312"/>
          <w:b w:val="0"/>
          <w:sz w:val="32"/>
          <w:szCs w:val="32"/>
          <w:lang w:eastAsia="zh-CN"/>
        </w:rPr>
        <w:t>政府性基金预算财政拨款预算数为</w:t>
      </w:r>
      <w:r>
        <w:rPr>
          <w:rFonts w:hint="eastAsia" w:ascii="仿宋_GB2312" w:eastAsia="仿宋_GB2312"/>
          <w:b w:val="0"/>
          <w:sz w:val="32"/>
          <w:szCs w:val="32"/>
          <w:lang w:val="en-US" w:eastAsia="zh-CN"/>
        </w:rPr>
        <w:t>0,决算数为10.00万元。</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2024年度一般公共预算财政拨款支出355.66万元，占本年支出合计的97.27%。与上年相比，增加264.23万元，增长289.00%，主要原因是</w:t>
      </w:r>
      <w:r>
        <w:rPr>
          <w:rFonts w:hint="eastAsia" w:ascii="仿宋_GB2312" w:eastAsia="仿宋_GB2312"/>
          <w:b w:val="0"/>
          <w:sz w:val="32"/>
          <w:szCs w:val="32"/>
        </w:rPr>
        <w:t>本年度我单位增加了铸牢馆的维修维护项目</w:t>
      </w:r>
      <w:r>
        <w:rPr>
          <w:rFonts w:ascii="仿宋_GB2312" w:eastAsia="仿宋_GB2312"/>
          <w:b w:val="0"/>
          <w:sz w:val="32"/>
          <w:szCs w:val="32"/>
        </w:rPr>
        <w:t>。与年初预算相比，年初预算数153.98万元，决算数355.66万元，预决算差异率130.98%，主要原因是：</w:t>
      </w:r>
      <w:r>
        <w:rPr>
          <w:rFonts w:hint="eastAsia" w:ascii="仿宋_GB2312" w:eastAsia="仿宋_GB2312"/>
          <w:b w:val="0"/>
          <w:sz w:val="32"/>
          <w:szCs w:val="32"/>
        </w:rPr>
        <w:t>本年度我单位增加了铸牢馆的维修维护项目支出</w:t>
      </w:r>
      <w:r>
        <w:rPr>
          <w:rFonts w:hint="eastAsia" w:ascii="仿宋_GB2312" w:eastAsia="仿宋_GB2312"/>
          <w:b w:val="0"/>
          <w:sz w:val="32"/>
          <w:szCs w:val="32"/>
          <w:lang w:eastAsia="zh-CN"/>
        </w:rPr>
        <w:t>，城乡社区支出决算数与年初预算差异为</w:t>
      </w:r>
      <w:r>
        <w:rPr>
          <w:rFonts w:hint="eastAsia" w:ascii="仿宋_GB2312" w:eastAsia="仿宋_GB2312"/>
          <w:b w:val="0"/>
          <w:sz w:val="32"/>
          <w:szCs w:val="32"/>
          <w:lang w:val="en-US" w:eastAsia="zh-CN"/>
        </w:rPr>
        <w:t>214.62万元</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教育支出（类）0.50万元，占0.14%。</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文化旅游体育与传媒支出（类）8.78万元，占2.47%。</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社会保障和就业支出（类）5.84万元，占1.64%。</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卫生健康支出（类）2.65万元，占0.75%。</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城乡社区支出（类）333.34万元，占93.72%。</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住房保障支出（类）4.56万元，占1.28%。</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教育支出（类）进修及培训（款）培训支出（项）：支出决算数为0.50万元，比上年决算增加0.33万元，增长194.12%，主要原因是：</w:t>
      </w:r>
      <w:r>
        <w:rPr>
          <w:rFonts w:hint="eastAsia" w:ascii="仿宋_GB2312" w:eastAsia="仿宋_GB2312"/>
          <w:b w:val="0"/>
          <w:sz w:val="32"/>
          <w:szCs w:val="32"/>
          <w:lang w:eastAsia="zh-CN"/>
        </w:rPr>
        <w:t>本年度我单位培训业务增加。</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文化旅游体育与传媒支出（类）文化和旅游（款）其他文化和旅游支出（项）：支出决算数为8.78万元，比上年决算增加8.78万元，增长100.00%，主要原因是：</w:t>
      </w:r>
      <w:r>
        <w:rPr>
          <w:rFonts w:hint="eastAsia" w:ascii="仿宋_GB2312" w:eastAsia="仿宋_GB2312"/>
          <w:b w:val="0"/>
          <w:sz w:val="32"/>
          <w:szCs w:val="32"/>
          <w:lang w:eastAsia="zh-CN"/>
        </w:rPr>
        <w:t>本年度将社会保障和就业支出科目部分调整到文化旅游体育与传媒支出科目。</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社会保障和就业支出（类）行政事业单位养老支出（款）机关事业单位基本养老保险缴费支出（项）：支出决算数为5.84万元，比上年决算增加0.96万元，增长19.67%，主要原因是：</w:t>
      </w:r>
      <w:r>
        <w:rPr>
          <w:rFonts w:hint="eastAsia" w:ascii="仿宋_GB2312" w:eastAsia="仿宋_GB2312"/>
          <w:b w:val="0"/>
          <w:sz w:val="32"/>
          <w:szCs w:val="32"/>
          <w:lang w:eastAsia="zh-CN"/>
        </w:rPr>
        <w:t>本年度在编人员增加</w:t>
      </w:r>
      <w:r>
        <w:rPr>
          <w:rFonts w:hint="eastAsia" w:ascii="仿宋_GB2312" w:eastAsia="仿宋_GB2312"/>
          <w:b w:val="0"/>
          <w:sz w:val="32"/>
          <w:szCs w:val="32"/>
          <w:lang w:val="en-US" w:eastAsia="zh-CN"/>
        </w:rPr>
        <w:t>1人，且将</w:t>
      </w:r>
      <w:r>
        <w:rPr>
          <w:rFonts w:ascii="仿宋_GB2312" w:eastAsia="仿宋_GB2312"/>
          <w:b w:val="0"/>
          <w:sz w:val="32"/>
          <w:szCs w:val="32"/>
        </w:rPr>
        <w:t>社会保障和就业支出（类）行政事业单位养老支出（款）机关事业单位职业年金缴费支出（项）</w:t>
      </w:r>
      <w:r>
        <w:rPr>
          <w:rFonts w:hint="eastAsia" w:ascii="仿宋_GB2312" w:eastAsia="仿宋_GB2312"/>
          <w:b w:val="0"/>
          <w:sz w:val="32"/>
          <w:szCs w:val="32"/>
          <w:lang w:eastAsia="zh-CN"/>
        </w:rPr>
        <w:t>科目调整到</w:t>
      </w:r>
      <w:r>
        <w:rPr>
          <w:rFonts w:ascii="仿宋_GB2312" w:eastAsia="仿宋_GB2312"/>
          <w:b w:val="0"/>
          <w:sz w:val="32"/>
          <w:szCs w:val="32"/>
        </w:rPr>
        <w:t>社会保障和就业支出（类）行政事业单位养老支出（款）机关事业单位基本养老保险缴费支出（项）</w:t>
      </w:r>
      <w:r>
        <w:rPr>
          <w:rFonts w:hint="eastAsia" w:ascii="仿宋_GB2312" w:eastAsia="仿宋_GB2312"/>
          <w:b w:val="0"/>
          <w:sz w:val="32"/>
          <w:szCs w:val="32"/>
          <w:lang w:eastAsia="zh-CN"/>
        </w:rPr>
        <w:t>科目</w:t>
      </w:r>
      <w:r>
        <w:rPr>
          <w:rFonts w:hint="eastAsia" w:ascii="仿宋_GB2312" w:eastAsia="仿宋_GB2312"/>
          <w:b w:val="0"/>
          <w:sz w:val="32"/>
          <w:szCs w:val="32"/>
          <w:lang w:val="en-US" w:eastAsia="zh-CN"/>
        </w:rPr>
        <w:t>，因此，基本养老缴费支出增加。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社会保障和就业支出（类）行政事业单位养老支出（款）机关事业单位职业年金缴费支出（项）：支出决算数为0.00万元，比上年决算减少5.26万元，下降100.00%，主要原因是：</w:t>
      </w:r>
      <w:r>
        <w:rPr>
          <w:rFonts w:hint="eastAsia" w:ascii="仿宋_GB2312" w:eastAsia="仿宋_GB2312"/>
          <w:b w:val="0"/>
          <w:sz w:val="32"/>
          <w:szCs w:val="32"/>
          <w:lang w:eastAsia="zh-CN"/>
        </w:rPr>
        <w:t>上年度在编人员</w:t>
      </w:r>
      <w:r>
        <w:rPr>
          <w:rFonts w:hint="eastAsia" w:ascii="仿宋_GB2312" w:eastAsia="仿宋_GB2312"/>
          <w:b w:val="0"/>
          <w:sz w:val="32"/>
          <w:szCs w:val="32"/>
          <w:lang w:val="en-US" w:eastAsia="zh-CN"/>
        </w:rPr>
        <w:t>1人调出，本年度无调出人员及退休人员</w:t>
      </w:r>
      <w:r>
        <w:rPr>
          <w:rFonts w:hint="eastAsia" w:ascii="仿宋_GB2312" w:eastAsia="仿宋_GB2312"/>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卫生健康支出（类）行政事业单位医疗（款）事业单位医疗（项）：支出决算数为2.65万元，比上年决算增加0.39万元，增长17.26%，主要原因是</w:t>
      </w:r>
      <w:r>
        <w:rPr>
          <w:rFonts w:hint="eastAsia" w:ascii="仿宋_GB2312" w:eastAsia="仿宋_GB2312"/>
          <w:b w:val="0"/>
          <w:sz w:val="32"/>
          <w:szCs w:val="32"/>
          <w:lang w:eastAsia="zh-CN"/>
        </w:rPr>
        <w:t>本年度在编人员增加</w:t>
      </w:r>
      <w:r>
        <w:rPr>
          <w:rFonts w:hint="eastAsia" w:ascii="仿宋_GB2312" w:eastAsia="仿宋_GB2312"/>
          <w:b w:val="0"/>
          <w:sz w:val="32"/>
          <w:szCs w:val="32"/>
          <w:lang w:val="en-US" w:eastAsia="zh-CN"/>
        </w:rPr>
        <w:t>1人，</w:t>
      </w:r>
      <w:r>
        <w:rPr>
          <w:rFonts w:hint="eastAsia" w:ascii="仿宋_GB2312" w:eastAsia="仿宋_GB2312"/>
          <w:b w:val="0"/>
          <w:sz w:val="32"/>
          <w:szCs w:val="32"/>
          <w:lang w:eastAsia="zh-CN"/>
        </w:rPr>
        <w:t>人员增加，医疗保险缴费增加</w:t>
      </w:r>
      <w:r>
        <w:rPr>
          <w:rFonts w:ascii="仿宋_GB2312" w:eastAsia="仿宋_GB2312"/>
          <w:b w:val="0"/>
          <w:sz w:val="32"/>
          <w:szCs w:val="32"/>
        </w:rPr>
        <w:t>：</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城乡社区支出（类）城乡社区管理事务（款）其他城乡社区管理事务支出（项）：支出决算数为71.88万元，比上年决算减少3.20万元，下降4.26%，主要原因是：</w:t>
      </w:r>
      <w:r>
        <w:rPr>
          <w:rFonts w:hint="eastAsia" w:ascii="仿宋_GB2312" w:eastAsia="仿宋_GB2312"/>
          <w:b w:val="0"/>
          <w:sz w:val="32"/>
          <w:szCs w:val="32"/>
          <w:lang w:eastAsia="zh-CN"/>
        </w:rPr>
        <w:t>上年度培训费、事业单位医疗、住房公积金在</w:t>
      </w:r>
      <w:r>
        <w:rPr>
          <w:rFonts w:ascii="仿宋_GB2312" w:eastAsia="仿宋_GB2312"/>
          <w:b w:val="0"/>
          <w:sz w:val="32"/>
          <w:szCs w:val="32"/>
        </w:rPr>
        <w:t>城乡社区支出（类）城乡社区管理事务（款）其他城乡社区管理事务支出（项）</w:t>
      </w:r>
      <w:r>
        <w:rPr>
          <w:rFonts w:hint="eastAsia" w:ascii="仿宋_GB2312" w:eastAsia="仿宋_GB2312"/>
          <w:b w:val="0"/>
          <w:sz w:val="32"/>
          <w:szCs w:val="32"/>
          <w:lang w:eastAsia="zh-CN"/>
        </w:rPr>
        <w:t>功能科目下核算，本年度未在该科目下核算。</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城乡社区支出（类）城乡社区规划与管理（款）城乡社区规划与管理（项）：支出决算数为261.46万元，比上年决算增加261.46万元，增长100.00%，主要原因是：</w:t>
      </w:r>
      <w:r>
        <w:rPr>
          <w:rFonts w:hint="eastAsia" w:ascii="仿宋_GB2312" w:eastAsia="仿宋_GB2312"/>
          <w:b w:val="0"/>
          <w:sz w:val="32"/>
          <w:szCs w:val="32"/>
        </w:rPr>
        <w:t>本年度我单位增加了铸牢馆的维修维护项目支出</w:t>
      </w:r>
      <w:r>
        <w:rPr>
          <w:rFonts w:hint="eastAsia" w:ascii="仿宋_GB2312" w:eastAsia="仿宋_GB2312"/>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住房保障支出（类）住房改革支出（款）住房公积金（项）：支出决算数为4.56万元，比上年决算增加0.79万元，增长20.95%，主要原因是</w:t>
      </w:r>
      <w:r>
        <w:rPr>
          <w:rFonts w:hint="eastAsia" w:ascii="仿宋_GB2312" w:eastAsia="仿宋_GB2312"/>
          <w:b w:val="0"/>
          <w:sz w:val="32"/>
          <w:szCs w:val="32"/>
          <w:lang w:eastAsia="zh-CN"/>
        </w:rPr>
        <w:t>本年度在编人员增加</w:t>
      </w:r>
      <w:r>
        <w:rPr>
          <w:rFonts w:hint="eastAsia" w:ascii="仿宋_GB2312" w:eastAsia="仿宋_GB2312"/>
          <w:b w:val="0"/>
          <w:sz w:val="32"/>
          <w:szCs w:val="32"/>
          <w:lang w:val="en-US" w:eastAsia="zh-CN"/>
        </w:rPr>
        <w:t>1人，</w:t>
      </w:r>
      <w:r>
        <w:rPr>
          <w:rFonts w:hint="eastAsia" w:ascii="仿宋_GB2312" w:eastAsia="仿宋_GB2312"/>
          <w:b w:val="0"/>
          <w:sz w:val="32"/>
          <w:szCs w:val="32"/>
          <w:lang w:eastAsia="zh-CN"/>
        </w:rPr>
        <w:t>人员增加，住房公积金缴费增加</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85.43万元，其中：人员经费81.73万元，包括：基本工资、津贴补贴、奖金、机关事业单位基本养老保险缴费、职工基本医疗保险缴费、其他社会保障缴费、住房公积金和其他工资福利支出。</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公用经费3.70万元，包括：办公费、邮电费、培训费、工会经费、福利费和公务用车运行维护费。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2024年度政府性基金预算财政拨款收入总计10.00万元，其中：年初结转和结余0.00万元，本年收入10.00万元。政府性基金预算财政拨款支出总计10.00万元，其中：年末结转和结余0.00万元，本年支出10.00万元。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政府性基金预算财政拨款收入支出总体与上年相比，增加10.00万元，增长100%，主要原因是：。与年初预算相比，年初预算数0.00万元，决算数10.00万元，预决算差异率100%，主要原因是：</w:t>
      </w:r>
      <w:r>
        <w:rPr>
          <w:rFonts w:hint="eastAsia" w:ascii="仿宋_GB2312" w:eastAsia="仿宋_GB2312"/>
          <w:b w:val="0"/>
          <w:sz w:val="32"/>
          <w:szCs w:val="32"/>
        </w:rPr>
        <w:t>本年度我单位增加了铸牢馆的维修维护项目支出</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政府性基金预算财政拨款支出10.00万元。</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城乡社区支出（类）国有土地使用权出让收入安排的支出（款）其他国有土地使用权出让收入安排的支出（项）：支出决算数为10.00万元，比上年决算增加10.00万元，增长100.00%，主要原因是</w:t>
      </w:r>
      <w:r>
        <w:rPr>
          <w:rFonts w:hint="eastAsia" w:ascii="仿宋_GB2312" w:eastAsia="仿宋_GB2312"/>
          <w:b w:val="0"/>
          <w:sz w:val="32"/>
          <w:szCs w:val="32"/>
        </w:rPr>
        <w:t>本年度我单位增加了铸牢馆的维修维护项目支出</w:t>
      </w:r>
      <w:r>
        <w:rPr>
          <w:rFonts w:hint="eastAsia" w:ascii="仿宋_GB2312" w:eastAsia="仿宋_GB2312"/>
          <w:b w:val="0"/>
          <w:sz w:val="32"/>
          <w:szCs w:val="32"/>
          <w:lang w:eastAsia="zh-CN"/>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2024年度财政拨款“三公”经费支出0.98万元，比上年增加0.62万元，增长172.22%，主要原因是：公务用车购置及运行维护费支出</w:t>
      </w:r>
      <w:r>
        <w:rPr>
          <w:rFonts w:hint="eastAsia" w:ascii="仿宋_GB2312" w:eastAsia="仿宋_GB2312"/>
          <w:b w:val="0"/>
          <w:sz w:val="32"/>
          <w:szCs w:val="32"/>
          <w:lang w:eastAsia="zh-CN"/>
        </w:rPr>
        <w:t>增加</w:t>
      </w:r>
      <w:r>
        <w:rPr>
          <w:rFonts w:ascii="仿宋_GB2312" w:eastAsia="仿宋_GB2312"/>
          <w:b w:val="0"/>
          <w:sz w:val="32"/>
          <w:szCs w:val="32"/>
        </w:rPr>
        <w:t>。其中：因公出国（境）费支出0.00万元,占0.00%，与上年相比无变化，主要原因是：</w:t>
      </w:r>
      <w:r>
        <w:rPr>
          <w:rFonts w:hint="eastAsia" w:ascii="仿宋_GB2312" w:eastAsia="仿宋_GB2312"/>
          <w:b w:val="0"/>
          <w:sz w:val="32"/>
          <w:szCs w:val="32"/>
          <w:lang w:eastAsia="zh-CN"/>
        </w:rPr>
        <w:t>本年度无</w:t>
      </w:r>
      <w:r>
        <w:rPr>
          <w:rFonts w:ascii="仿宋_GB2312" w:eastAsia="仿宋_GB2312"/>
          <w:b w:val="0"/>
          <w:sz w:val="32"/>
          <w:szCs w:val="32"/>
        </w:rPr>
        <w:t>因公出国（境）</w:t>
      </w:r>
      <w:r>
        <w:rPr>
          <w:rFonts w:hint="eastAsia" w:ascii="仿宋_GB2312" w:eastAsia="仿宋_GB2312"/>
          <w:b w:val="0"/>
          <w:sz w:val="32"/>
          <w:szCs w:val="32"/>
          <w:lang w:eastAsia="zh-CN"/>
        </w:rPr>
        <w:t>业务发生</w:t>
      </w:r>
      <w:r>
        <w:rPr>
          <w:rFonts w:ascii="仿宋_GB2312" w:eastAsia="仿宋_GB2312"/>
          <w:b w:val="0"/>
          <w:sz w:val="32"/>
          <w:szCs w:val="32"/>
        </w:rPr>
        <w:t>；公务用车购置及运行维护费支出0.98万元，占100.00%，比上年增加0.62万元，增长172.22%，主要原因是：</w:t>
      </w:r>
      <w:r>
        <w:rPr>
          <w:rFonts w:hint="eastAsia" w:ascii="仿宋_GB2312" w:eastAsia="仿宋_GB2312"/>
          <w:b w:val="0"/>
          <w:sz w:val="32"/>
          <w:szCs w:val="32"/>
          <w:lang w:eastAsia="zh-CN"/>
        </w:rPr>
        <w:t>本单位公务用车年限时间长，维修和保养费用较高。</w:t>
      </w:r>
      <w:r>
        <w:rPr>
          <w:rFonts w:ascii="仿宋_GB2312" w:eastAsia="仿宋_GB2312"/>
          <w:b w:val="0"/>
          <w:sz w:val="32"/>
          <w:szCs w:val="32"/>
        </w:rPr>
        <w:t>公务接待费支出0.00万元，占0.00%，与上年相比无变化，主要原因是：</w:t>
      </w:r>
      <w:r>
        <w:rPr>
          <w:rFonts w:hint="eastAsia" w:ascii="仿宋_GB2312" w:eastAsia="仿宋_GB2312"/>
          <w:b w:val="0"/>
          <w:sz w:val="32"/>
          <w:szCs w:val="32"/>
          <w:lang w:eastAsia="zh-CN"/>
        </w:rPr>
        <w:t>本年度</w:t>
      </w:r>
      <w:r>
        <w:rPr>
          <w:rFonts w:hint="eastAsia" w:ascii="仿宋_GB2312" w:eastAsia="仿宋_GB2312" w:hAnsiTheme="minorHAnsi" w:cstheme="minorBidi"/>
          <w:b w:val="0"/>
          <w:sz w:val="32"/>
          <w:szCs w:val="32"/>
        </w:rPr>
        <w:t>未安排公务接待费，与上年相比无变动</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0.98万元，其中：公务用车购置费0.00万元，公务用车运行维护费0.98万元。公务用车运行维护费开支内容包括。公务用车购置数0辆，公务用车保有量1辆。国有资产占用情况中固定资产车辆1辆，与公务用车保有量差异原因是：</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保有量无差异</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与全年预算相比，财政拨款“三公”经费支出全年预算数0.98万元，决算数0.98万元，预决算差异率0.00%，主要原因是：</w:t>
      </w:r>
      <w:r>
        <w:rPr>
          <w:rFonts w:hint="eastAsia" w:ascii="仿宋_GB2312" w:eastAsia="仿宋_GB2312"/>
          <w:b w:val="0"/>
          <w:sz w:val="32"/>
          <w:szCs w:val="32"/>
          <w:lang w:eastAsia="zh-CN"/>
        </w:rPr>
        <w:t>预算编制与实际需求匹配度高，避免了支出预决算差异</w:t>
      </w:r>
      <w:r>
        <w:rPr>
          <w:rFonts w:ascii="仿宋_GB2312" w:eastAsia="仿宋_GB2312"/>
          <w:b w:val="0"/>
          <w:sz w:val="32"/>
          <w:szCs w:val="32"/>
        </w:rPr>
        <w:t>。其中：因公出国（境）费全年预算数0.00万元，决算数0.00万元，预决算差异率0.00%，主要原因是：</w:t>
      </w:r>
      <w:r>
        <w:rPr>
          <w:rFonts w:hint="eastAsia" w:ascii="仿宋_GB2312" w:eastAsia="仿宋_GB2312" w:hAnsiTheme="minorHAnsi" w:cstheme="minorBidi"/>
          <w:b w:val="0"/>
          <w:sz w:val="32"/>
          <w:szCs w:val="32"/>
        </w:rPr>
        <w:t>本年未安排</w:t>
      </w:r>
      <w:r>
        <w:rPr>
          <w:rFonts w:ascii="仿宋_GB2312" w:eastAsia="仿宋_GB2312"/>
          <w:b w:val="0"/>
          <w:sz w:val="32"/>
          <w:szCs w:val="32"/>
        </w:rPr>
        <w:t>因公出国（境）</w:t>
      </w:r>
      <w:r>
        <w:rPr>
          <w:rFonts w:hint="eastAsia" w:ascii="仿宋_GB2312" w:eastAsia="仿宋_GB2312"/>
          <w:b w:val="0"/>
          <w:sz w:val="32"/>
          <w:szCs w:val="32"/>
          <w:lang w:eastAsia="zh-CN"/>
        </w:rPr>
        <w:t>业务</w:t>
      </w:r>
      <w:r>
        <w:rPr>
          <w:rFonts w:hint="eastAsia" w:ascii="仿宋_GB2312" w:eastAsia="仿宋_GB2312" w:hAnsiTheme="minorHAnsi" w:cstheme="minorBidi"/>
          <w:b w:val="0"/>
          <w:sz w:val="32"/>
          <w:szCs w:val="32"/>
        </w:rPr>
        <w:t>，与上年相比无变动</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hAnsiTheme="minorHAnsi" w:cstheme="minorBidi"/>
          <w:b w:val="0"/>
          <w:sz w:val="32"/>
          <w:szCs w:val="32"/>
        </w:rPr>
        <w:t>本年未安排</w:t>
      </w:r>
      <w:r>
        <w:rPr>
          <w:rFonts w:hint="eastAsia" w:ascii="仿宋_GB2312" w:eastAsia="仿宋_GB2312"/>
          <w:b w:val="0"/>
          <w:sz w:val="32"/>
          <w:szCs w:val="32"/>
          <w:lang w:eastAsia="zh-CN"/>
        </w:rPr>
        <w:t>公务用车购置业务</w:t>
      </w:r>
      <w:r>
        <w:rPr>
          <w:rFonts w:hint="eastAsia" w:ascii="仿宋_GB2312" w:eastAsia="仿宋_GB2312" w:hAnsiTheme="minorHAnsi" w:cstheme="minorBidi"/>
          <w:b w:val="0"/>
          <w:sz w:val="32"/>
          <w:szCs w:val="32"/>
        </w:rPr>
        <w:t>，与上年相比无变动</w:t>
      </w:r>
      <w:r>
        <w:rPr>
          <w:rFonts w:ascii="仿宋_GB2312" w:eastAsia="仿宋_GB2312"/>
          <w:b w:val="0"/>
          <w:sz w:val="32"/>
          <w:szCs w:val="32"/>
        </w:rPr>
        <w:t>。公务用车运行维护费全年预算数0.98万元，决算数0.98万元，预决算差异率0.00%，主要原因是：</w:t>
      </w:r>
      <w:r>
        <w:rPr>
          <w:rFonts w:hint="eastAsia" w:ascii="仿宋_GB2312" w:eastAsia="仿宋_GB2312"/>
          <w:b w:val="0"/>
          <w:sz w:val="32"/>
          <w:szCs w:val="32"/>
          <w:lang w:eastAsia="zh-CN"/>
        </w:rPr>
        <w:t>预算编制与实际需求匹配度高，避免了支出预决算差异</w:t>
      </w:r>
      <w:r>
        <w:rPr>
          <w:rFonts w:ascii="仿宋_GB2312" w:eastAsia="仿宋_GB2312"/>
          <w:b w:val="0"/>
          <w:sz w:val="32"/>
          <w:szCs w:val="32"/>
        </w:rPr>
        <w:t>。公务接待费全年预算数0.00万元，决算数0.00万元，预决算差异率0.00%，主要原因是：</w:t>
      </w:r>
      <w:r>
        <w:rPr>
          <w:rFonts w:hint="eastAsia" w:ascii="仿宋_GB2312" w:eastAsia="仿宋_GB2312" w:hAnsiTheme="minorHAnsi" w:cstheme="minorBidi"/>
          <w:b w:val="0"/>
          <w:sz w:val="32"/>
          <w:szCs w:val="32"/>
        </w:rPr>
        <w:t>本年未安排</w:t>
      </w:r>
      <w:r>
        <w:rPr>
          <w:rFonts w:hint="eastAsia" w:ascii="仿宋_GB2312" w:eastAsia="仿宋_GB2312"/>
          <w:b w:val="0"/>
          <w:sz w:val="32"/>
          <w:szCs w:val="32"/>
          <w:lang w:eastAsia="zh-CN"/>
        </w:rPr>
        <w:t>公务接待业务</w:t>
      </w:r>
      <w:r>
        <w:rPr>
          <w:rFonts w:hint="eastAsia" w:ascii="仿宋_GB2312" w:eastAsia="仿宋_GB2312" w:hAnsiTheme="minorHAnsi" w:cstheme="minorBidi"/>
          <w:b w:val="0"/>
          <w:sz w:val="32"/>
          <w:szCs w:val="32"/>
        </w:rPr>
        <w:t>，与上年相比无变动</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2024年度公用经费支出3.70万元，比上年增加1.45万元，增长64.44%，主要原因是：</w:t>
      </w:r>
      <w:r>
        <w:rPr>
          <w:rFonts w:hint="eastAsia" w:ascii="仿宋_GB2312" w:eastAsia="仿宋_GB2312"/>
          <w:b w:val="0"/>
          <w:sz w:val="32"/>
          <w:szCs w:val="32"/>
          <w:lang w:eastAsia="zh-CN"/>
        </w:rPr>
        <w:t>本年度</w:t>
      </w:r>
      <w:r>
        <w:rPr>
          <w:rFonts w:ascii="仿宋_GB2312" w:eastAsia="仿宋_GB2312"/>
          <w:b w:val="0"/>
          <w:sz w:val="32"/>
          <w:szCs w:val="32"/>
        </w:rPr>
        <w:t>公务用车运行维护费</w:t>
      </w:r>
      <w:r>
        <w:rPr>
          <w:rFonts w:hint="eastAsia" w:ascii="仿宋_GB2312" w:eastAsia="仿宋_GB2312"/>
          <w:b w:val="0"/>
          <w:sz w:val="32"/>
          <w:szCs w:val="32"/>
          <w:lang w:eastAsia="zh-CN"/>
        </w:rPr>
        <w:t>增加了</w:t>
      </w:r>
      <w:r>
        <w:rPr>
          <w:rFonts w:hint="eastAsia" w:ascii="仿宋_GB2312" w:eastAsia="仿宋_GB2312"/>
          <w:b w:val="0"/>
          <w:sz w:val="32"/>
          <w:szCs w:val="32"/>
          <w:lang w:val="en-US" w:eastAsia="zh-CN"/>
        </w:rPr>
        <w:t>0.62万元；邮电费增加了0.50万元；培训费增加了0.33万元</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2024年度政府采购支出总额250.70万元，其中：政府采购货物支出0.00万元、政府采购工程支出249.71万元、政府采购服务支出0.99万元。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授予中小企业合同金额250.70万元，占政府采购支出总额的100.00%，其中：授予小微企业合同金额75.21万元，占政府采购支出总额的30.00%。</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0.00平方米，价值0.00万元。车辆1辆，价值8.34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eastAsia="仿宋_GB2312"/>
          <w:b w:val="0"/>
          <w:sz w:val="32"/>
          <w:szCs w:val="32"/>
          <w:lang w:eastAsia="zh-CN"/>
        </w:rPr>
        <w:t>办公用车</w:t>
      </w:r>
      <w:r>
        <w:rPr>
          <w:rFonts w:ascii="仿宋_GB2312" w:eastAsia="仿宋_GB2312"/>
          <w:b w:val="0"/>
          <w:sz w:val="32"/>
          <w:szCs w:val="32"/>
        </w:rPr>
        <w:t>;单价100万元（含）以上设备（不含车辆）0台（套）。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pStyle w:val="2"/>
        <w:keepNext w:val="0"/>
        <w:keepLines w:val="0"/>
        <w:pageBreakBefore w:val="0"/>
        <w:numPr>
          <w:ilvl w:val="0"/>
          <w:numId w:val="0"/>
        </w:numPr>
        <w:kinsoku/>
        <w:wordWrap/>
        <w:overflowPunct/>
        <w:topLinePunct w:val="0"/>
        <w:autoSpaceDE/>
        <w:autoSpaceDN/>
        <w:bidi w:val="0"/>
        <w:spacing w:after="0" w:line="560" w:lineRule="exact"/>
        <w:ind w:firstLine="640" w:firstLineChars="200"/>
        <w:textAlignment w:val="auto"/>
        <w:rPr>
          <w:rFonts w:hint="default" w:ascii="仿宋_GB2312" w:eastAsia="仿宋_GB2312"/>
          <w:b w:val="0"/>
          <w:sz w:val="32"/>
          <w:szCs w:val="32"/>
        </w:rPr>
      </w:pPr>
      <w:r>
        <w:rPr>
          <w:rFonts w:ascii="仿宋_GB2312" w:eastAsia="仿宋_GB2312"/>
          <w:b w:val="0"/>
          <w:sz w:val="32"/>
          <w:szCs w:val="32"/>
        </w:rPr>
        <w:t>根据预算绩效管理要求，本单位2024年度预算绩效管理形成整体支出绩效自评表1个，全年预算总额</w:t>
      </w:r>
      <w:r>
        <w:rPr>
          <w:rFonts w:hint="eastAsia" w:ascii="仿宋_GB2312" w:eastAsia="仿宋_GB2312"/>
          <w:b w:val="0"/>
          <w:sz w:val="32"/>
          <w:szCs w:val="32"/>
          <w:lang w:val="en-US" w:eastAsia="zh-CN"/>
        </w:rPr>
        <w:t>365.66</w:t>
      </w:r>
      <w:r>
        <w:rPr>
          <w:rFonts w:ascii="仿宋_GB2312" w:eastAsia="仿宋_GB2312"/>
          <w:b w:val="0"/>
          <w:sz w:val="32"/>
          <w:szCs w:val="32"/>
        </w:rPr>
        <w:t>万元，实际执行总额</w:t>
      </w:r>
      <w:r>
        <w:rPr>
          <w:rFonts w:hint="eastAsia" w:ascii="仿宋_GB2312" w:eastAsia="仿宋_GB2312"/>
          <w:b w:val="0"/>
          <w:sz w:val="32"/>
          <w:szCs w:val="32"/>
          <w:lang w:val="en-US" w:eastAsia="zh-CN"/>
        </w:rPr>
        <w:t>365.66</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0</w:t>
      </w:r>
      <w:r>
        <w:rPr>
          <w:rFonts w:ascii="仿宋_GB2312" w:eastAsia="仿宋_GB2312"/>
          <w:b w:val="0"/>
          <w:sz w:val="32"/>
          <w:szCs w:val="32"/>
        </w:rPr>
        <w:t>个，全年预算数</w:t>
      </w:r>
      <w:r>
        <w:rPr>
          <w:rFonts w:hint="eastAsia" w:ascii="仿宋_GB2312" w:eastAsia="仿宋_GB2312"/>
          <w:b w:val="0"/>
          <w:sz w:val="32"/>
          <w:szCs w:val="32"/>
          <w:lang w:val="en-US" w:eastAsia="zh-CN"/>
        </w:rPr>
        <w:t>0</w:t>
      </w:r>
      <w:r>
        <w:rPr>
          <w:rFonts w:ascii="仿宋_GB2312" w:eastAsia="仿宋_GB2312"/>
          <w:b w:val="0"/>
          <w:sz w:val="32"/>
          <w:szCs w:val="32"/>
        </w:rPr>
        <w:t>万元，全年执行数</w:t>
      </w:r>
      <w:r>
        <w:rPr>
          <w:rFonts w:hint="eastAsia" w:ascii="仿宋_GB2312" w:eastAsia="仿宋_GB2312"/>
          <w:b w:val="0"/>
          <w:sz w:val="32"/>
          <w:szCs w:val="32"/>
          <w:lang w:val="en-US" w:eastAsia="zh-CN"/>
        </w:rPr>
        <w:t>0</w:t>
      </w:r>
      <w:r>
        <w:rPr>
          <w:rFonts w:ascii="仿宋_GB2312" w:eastAsia="仿宋_GB2312"/>
          <w:b w:val="0"/>
          <w:sz w:val="32"/>
          <w:szCs w:val="32"/>
        </w:rPr>
        <w:t>万元。预算绩效管理取得的成效：</w:t>
      </w:r>
      <w:r>
        <w:rPr>
          <w:rFonts w:hint="default" w:ascii="仿宋_GB2312" w:eastAsia="仿宋_GB2312"/>
          <w:b w:val="0"/>
          <w:sz w:val="32"/>
          <w:szCs w:val="32"/>
          <w:lang w:eastAsia="zh-CN"/>
        </w:rPr>
        <w:t>市规划展示馆展厅一楼经州党委书记等领导一行研究决定，</w:t>
      </w:r>
      <w:r>
        <w:rPr>
          <w:rFonts w:hint="default" w:ascii="仿宋_GB2312" w:eastAsia="仿宋_GB2312"/>
          <w:b w:val="0"/>
          <w:sz w:val="32"/>
          <w:szCs w:val="32"/>
          <w:lang w:val="en-US" w:eastAsia="zh-CN"/>
        </w:rPr>
        <w:t>4月30日开始</w:t>
      </w:r>
      <w:r>
        <w:rPr>
          <w:rFonts w:hint="default" w:ascii="仿宋_GB2312" w:eastAsia="仿宋_GB2312"/>
          <w:b w:val="0"/>
          <w:sz w:val="32"/>
          <w:szCs w:val="32"/>
          <w:lang w:eastAsia="zh-CN"/>
        </w:rPr>
        <w:t>改造为州级铸牢中华民族共同体意识</w:t>
      </w:r>
      <w:r>
        <w:rPr>
          <w:rFonts w:hint="default" w:ascii="仿宋_GB2312" w:eastAsia="仿宋_GB2312"/>
          <w:b w:val="0"/>
          <w:sz w:val="32"/>
          <w:szCs w:val="32"/>
          <w:lang w:val="en-US" w:eastAsia="zh-CN"/>
        </w:rPr>
        <w:t>主题</w:t>
      </w:r>
      <w:r>
        <w:rPr>
          <w:rFonts w:hint="default" w:ascii="仿宋_GB2312" w:eastAsia="仿宋_GB2312"/>
          <w:b w:val="0"/>
          <w:sz w:val="32"/>
          <w:szCs w:val="32"/>
          <w:lang w:eastAsia="zh-CN"/>
        </w:rPr>
        <w:t>馆，</w:t>
      </w:r>
      <w:r>
        <w:rPr>
          <w:rFonts w:hint="default" w:ascii="仿宋_GB2312" w:eastAsia="仿宋_GB2312"/>
          <w:b w:val="0"/>
          <w:sz w:val="32"/>
          <w:szCs w:val="32"/>
          <w:lang w:val="en-US" w:eastAsia="zh-CN"/>
        </w:rPr>
        <w:t>7月25日正式对外开放</w:t>
      </w:r>
      <w:r>
        <w:rPr>
          <w:rFonts w:hint="default" w:ascii="仿宋_GB2312" w:eastAsia="仿宋_GB2312"/>
          <w:b w:val="0"/>
          <w:sz w:val="32"/>
          <w:szCs w:val="32"/>
          <w:lang w:eastAsia="zh-CN"/>
        </w:rPr>
        <w:t>。</w:t>
      </w:r>
      <w:r>
        <w:rPr>
          <w:rFonts w:hint="default" w:ascii="仿宋_GB2312" w:eastAsia="仿宋_GB2312"/>
          <w:b w:val="0"/>
          <w:sz w:val="32"/>
          <w:szCs w:val="32"/>
          <w:lang w:val="en-US" w:eastAsia="zh-CN"/>
        </w:rPr>
        <w:t>今年开馆以来</w:t>
      </w:r>
      <w:r>
        <w:rPr>
          <w:rFonts w:hint="default" w:ascii="仿宋_GB2312" w:eastAsia="仿宋_GB2312"/>
          <w:b w:val="0"/>
          <w:sz w:val="32"/>
          <w:szCs w:val="32"/>
        </w:rPr>
        <w:t>，</w:t>
      </w:r>
      <w:r>
        <w:rPr>
          <w:rFonts w:hint="default" w:ascii="仿宋_GB2312" w:eastAsia="仿宋_GB2312"/>
          <w:b w:val="0"/>
          <w:sz w:val="32"/>
          <w:szCs w:val="32"/>
          <w:lang w:val="en-US" w:eastAsia="zh-CN"/>
        </w:rPr>
        <w:t>市规划展示馆和州铸牢中华民族共同体意识主题馆共讲解接待自治区网信办、州政府办公室、州委宣传部、州政办带国家督查一行、上海发改委、策勒市、开发区招商局、市委党校、喀什地区司法局、克拉玛依市统战部、西北农业大学、河北省唐山市考察团、石油公司北京客人、各县市学校研学团队、各地旅行社等</w:t>
      </w:r>
      <w:r>
        <w:rPr>
          <w:rFonts w:hint="default" w:ascii="仿宋_GB2312" w:eastAsia="仿宋_GB2312"/>
          <w:b w:val="0"/>
          <w:sz w:val="32"/>
          <w:szCs w:val="32"/>
        </w:rPr>
        <w:t>参观</w:t>
      </w:r>
      <w:r>
        <w:rPr>
          <w:rFonts w:hint="default" w:ascii="仿宋_GB2312" w:eastAsia="仿宋_GB2312"/>
          <w:b w:val="0"/>
          <w:sz w:val="32"/>
          <w:szCs w:val="32"/>
          <w:lang w:eastAsia="zh-CN"/>
        </w:rPr>
        <w:t>团队</w:t>
      </w:r>
      <w:r>
        <w:rPr>
          <w:rFonts w:hint="default" w:ascii="仿宋_GB2312" w:eastAsia="仿宋_GB2312"/>
          <w:b w:val="0"/>
          <w:sz w:val="32"/>
          <w:szCs w:val="32"/>
          <w:lang w:val="en-US" w:eastAsia="zh-CN"/>
        </w:rPr>
        <w:t>339场，参观团体10777</w:t>
      </w:r>
      <w:r>
        <w:rPr>
          <w:rFonts w:hint="default" w:ascii="仿宋_GB2312" w:eastAsia="仿宋_GB2312"/>
          <w:b w:val="0"/>
          <w:sz w:val="32"/>
          <w:szCs w:val="32"/>
        </w:rPr>
        <w:t>人</w:t>
      </w:r>
      <w:r>
        <w:rPr>
          <w:rFonts w:hint="default" w:ascii="仿宋_GB2312" w:eastAsia="仿宋_GB2312"/>
          <w:b w:val="0"/>
          <w:sz w:val="32"/>
          <w:szCs w:val="32"/>
          <w:lang w:val="en-US" w:eastAsia="zh-CN"/>
        </w:rPr>
        <w:t>次</w:t>
      </w:r>
      <w:r>
        <w:rPr>
          <w:rFonts w:hint="default" w:ascii="仿宋_GB2312" w:eastAsia="仿宋_GB2312"/>
          <w:b w:val="0"/>
          <w:sz w:val="32"/>
          <w:szCs w:val="32"/>
        </w:rPr>
        <w:t>，</w:t>
      </w:r>
      <w:r>
        <w:rPr>
          <w:rFonts w:hint="default" w:ascii="仿宋_GB2312" w:eastAsia="仿宋_GB2312"/>
          <w:b w:val="0"/>
          <w:sz w:val="32"/>
          <w:szCs w:val="32"/>
          <w:lang w:val="en-US" w:eastAsia="zh-CN"/>
        </w:rPr>
        <w:t>各地散客参观群众21599人次，共计32376人次，很好的完成了讲解接待任务。</w:t>
      </w:r>
      <w:r>
        <w:rPr>
          <w:rFonts w:ascii="仿宋_GB2312" w:eastAsia="仿宋_GB2312"/>
          <w:b w:val="0"/>
          <w:sz w:val="32"/>
          <w:szCs w:val="32"/>
        </w:rPr>
        <w:t>。发现的问题及原因：</w:t>
      </w:r>
      <w:r>
        <w:rPr>
          <w:rFonts w:hint="default" w:ascii="仿宋_GB2312" w:eastAsia="仿宋_GB2312"/>
          <w:b w:val="0"/>
          <w:sz w:val="32"/>
          <w:szCs w:val="32"/>
          <w:lang w:val="en-US" w:eastAsia="zh-CN"/>
        </w:rPr>
        <w:t>一是场馆运行经费短缺；二是场馆设备老化，部分设备资金不足无法更换；三是展览内容的创新度还需进一步提高，与公众的互动还不够深入等</w:t>
      </w:r>
      <w:r>
        <w:rPr>
          <w:rFonts w:ascii="仿宋_GB2312" w:eastAsia="仿宋_GB2312"/>
          <w:b w:val="0"/>
          <w:sz w:val="32"/>
          <w:szCs w:val="32"/>
        </w:rPr>
        <w:t>。下一步改进措施：</w:t>
      </w:r>
      <w:r>
        <w:rPr>
          <w:rFonts w:hint="default" w:ascii="仿宋_GB2312" w:eastAsia="仿宋_GB2312"/>
          <w:b w:val="0"/>
          <w:sz w:val="32"/>
          <w:szCs w:val="32"/>
          <w:lang w:eastAsia="zh-CN"/>
        </w:rPr>
        <w:t>（</w:t>
      </w:r>
      <w:r>
        <w:rPr>
          <w:rFonts w:hint="default" w:ascii="仿宋_GB2312" w:eastAsia="仿宋_GB2312"/>
          <w:b w:val="0"/>
          <w:sz w:val="32"/>
          <w:szCs w:val="32"/>
          <w:lang w:val="en-US" w:eastAsia="zh-CN"/>
        </w:rPr>
        <w:t>一</w:t>
      </w:r>
      <w:r>
        <w:rPr>
          <w:rFonts w:hint="default" w:ascii="仿宋_GB2312" w:eastAsia="仿宋_GB2312"/>
          <w:b w:val="0"/>
          <w:sz w:val="32"/>
          <w:szCs w:val="32"/>
          <w:lang w:eastAsia="zh-CN"/>
        </w:rPr>
        <w:t>）</w:t>
      </w:r>
      <w:r>
        <w:rPr>
          <w:rFonts w:hint="default" w:ascii="仿宋_GB2312" w:eastAsia="仿宋_GB2312"/>
          <w:b w:val="0"/>
          <w:sz w:val="32"/>
          <w:szCs w:val="32"/>
        </w:rPr>
        <w:t>抓好思想政治建设。库尔勒市规划展示馆将持续深入贯彻党的</w:t>
      </w:r>
      <w:r>
        <w:rPr>
          <w:rFonts w:hint="default" w:ascii="仿宋_GB2312" w:eastAsia="仿宋_GB2312"/>
          <w:b w:val="0"/>
          <w:sz w:val="32"/>
          <w:szCs w:val="32"/>
          <w:lang w:val="en-US" w:eastAsia="zh-CN"/>
        </w:rPr>
        <w:t>二十大精神</w:t>
      </w:r>
      <w:r>
        <w:rPr>
          <w:rFonts w:hint="eastAsia" w:ascii="仿宋_GB2312" w:eastAsia="仿宋_GB2312"/>
          <w:b w:val="0"/>
          <w:sz w:val="32"/>
          <w:szCs w:val="32"/>
          <w:lang w:val="en-US" w:eastAsia="zh-CN"/>
        </w:rPr>
        <w:t>和党的二十届三中全会精神</w:t>
      </w:r>
      <w:r>
        <w:rPr>
          <w:rFonts w:hint="default" w:ascii="仿宋_GB2312" w:eastAsia="仿宋_GB2312"/>
          <w:b w:val="0"/>
          <w:sz w:val="32"/>
          <w:szCs w:val="32"/>
          <w:lang w:val="en-US" w:eastAsia="zh-CN"/>
        </w:rPr>
        <w:t>、习近平新时代中国特色社会主义思想、</w:t>
      </w:r>
      <w:r>
        <w:rPr>
          <w:rFonts w:hint="default" w:ascii="仿宋_GB2312" w:eastAsia="仿宋_GB2312"/>
          <w:b w:val="0"/>
          <w:sz w:val="32"/>
          <w:szCs w:val="32"/>
        </w:rPr>
        <w:t>自治州党委十一届九次全会、自治州支持库尔勒市经济社会高质量发展专题会议精神和市委九届九次、十次全会部署情况以及市委各项工作要求</w:t>
      </w:r>
      <w:r>
        <w:rPr>
          <w:rFonts w:hint="default" w:ascii="仿宋_GB2312" w:eastAsia="仿宋_GB2312"/>
          <w:b w:val="0"/>
          <w:sz w:val="32"/>
          <w:szCs w:val="32"/>
          <w:lang w:eastAsia="zh-CN"/>
        </w:rPr>
        <w:t>等，</w:t>
      </w:r>
      <w:r>
        <w:rPr>
          <w:rFonts w:hint="default" w:ascii="仿宋_GB2312" w:eastAsia="仿宋_GB2312"/>
          <w:b w:val="0"/>
          <w:sz w:val="32"/>
          <w:szCs w:val="32"/>
          <w:lang w:val="en-US" w:eastAsia="zh-CN"/>
        </w:rPr>
        <w:t>认真学习习近平同志在庆祝中华人民共和国成立75周年招待会上的讲话精神，</w:t>
      </w:r>
      <w:r>
        <w:rPr>
          <w:rFonts w:hint="default" w:ascii="仿宋_GB2312" w:eastAsia="仿宋_GB2312"/>
          <w:b w:val="0"/>
          <w:sz w:val="32"/>
          <w:szCs w:val="32"/>
        </w:rPr>
        <w:t>进一步统一思想，坚定信心，聚焦重点，积极推进，全面做好党建工作及 “两学一做”学习教育</w:t>
      </w:r>
      <w:bookmarkStart w:id="0" w:name="_GoBack"/>
      <w:bookmarkEnd w:id="0"/>
      <w:r>
        <w:rPr>
          <w:rFonts w:hint="default" w:ascii="仿宋_GB2312" w:eastAsia="仿宋_GB2312"/>
          <w:b w:val="0"/>
          <w:sz w:val="32"/>
          <w:szCs w:val="32"/>
        </w:rPr>
        <w:t>，大力推进党的思想、组织、作风、制度和反腐倡廉建设，进一步完善相关资料，按时报送信息。</w:t>
      </w:r>
    </w:p>
    <w:p>
      <w:pPr>
        <w:pStyle w:val="2"/>
        <w:keepNext w:val="0"/>
        <w:keepLines w:val="0"/>
        <w:pageBreakBefore w:val="0"/>
        <w:numPr>
          <w:ilvl w:val="0"/>
          <w:numId w:val="0"/>
        </w:numPr>
        <w:kinsoku/>
        <w:wordWrap/>
        <w:overflowPunct/>
        <w:topLinePunct w:val="0"/>
        <w:autoSpaceDE/>
        <w:autoSpaceDN/>
        <w:bidi w:val="0"/>
        <w:spacing w:after="0" w:line="560" w:lineRule="exact"/>
        <w:textAlignment w:val="auto"/>
        <w:rPr>
          <w:rFonts w:hint="default" w:ascii="仿宋_GB2312" w:eastAsia="仿宋_GB2312"/>
          <w:b w:val="0"/>
          <w:sz w:val="32"/>
          <w:szCs w:val="32"/>
        </w:rPr>
      </w:pPr>
      <w:r>
        <w:rPr>
          <w:rFonts w:hint="default" w:ascii="仿宋_GB2312" w:eastAsia="仿宋_GB2312"/>
          <w:b w:val="0"/>
          <w:sz w:val="32"/>
          <w:szCs w:val="32"/>
          <w:lang w:eastAsia="zh-CN"/>
        </w:rPr>
        <w:t>（</w:t>
      </w:r>
      <w:r>
        <w:rPr>
          <w:rFonts w:hint="default" w:ascii="仿宋_GB2312" w:eastAsia="仿宋_GB2312"/>
          <w:b w:val="0"/>
          <w:sz w:val="32"/>
          <w:szCs w:val="32"/>
          <w:lang w:val="en-US" w:eastAsia="zh-CN"/>
        </w:rPr>
        <w:t>二</w:t>
      </w:r>
      <w:r>
        <w:rPr>
          <w:rFonts w:hint="default" w:ascii="仿宋_GB2312" w:eastAsia="仿宋_GB2312"/>
          <w:b w:val="0"/>
          <w:sz w:val="32"/>
          <w:szCs w:val="32"/>
          <w:lang w:eastAsia="zh-CN"/>
        </w:rPr>
        <w:t>）</w:t>
      </w:r>
      <w:r>
        <w:rPr>
          <w:rFonts w:hint="default" w:ascii="仿宋_GB2312" w:eastAsia="仿宋_GB2312"/>
          <w:b w:val="0"/>
          <w:sz w:val="32"/>
          <w:szCs w:val="32"/>
        </w:rPr>
        <w:t>认真组织开展民族团结联谊活动。按照民族团结</w:t>
      </w:r>
      <w:r>
        <w:rPr>
          <w:rFonts w:hint="default" w:ascii="仿宋_GB2312" w:eastAsia="仿宋_GB2312"/>
          <w:b w:val="0"/>
          <w:sz w:val="32"/>
          <w:szCs w:val="32"/>
          <w:lang w:val="en-US" w:eastAsia="zh-CN"/>
        </w:rPr>
        <w:t>工作</w:t>
      </w:r>
      <w:r>
        <w:rPr>
          <w:rFonts w:hint="default" w:ascii="仿宋_GB2312" w:eastAsia="仿宋_GB2312"/>
          <w:b w:val="0"/>
          <w:sz w:val="32"/>
          <w:szCs w:val="32"/>
        </w:rPr>
        <w:t>活动计划，坚持每月至少走访慰问一次，了解结亲</w:t>
      </w:r>
      <w:r>
        <w:rPr>
          <w:rFonts w:hint="default" w:ascii="仿宋_GB2312" w:eastAsia="仿宋_GB2312"/>
          <w:b w:val="0"/>
          <w:sz w:val="32"/>
          <w:szCs w:val="32"/>
          <w:lang w:val="en-US" w:eastAsia="zh-CN"/>
        </w:rPr>
        <w:t>亲戚</w:t>
      </w:r>
      <w:r>
        <w:rPr>
          <w:rFonts w:hint="default" w:ascii="仿宋_GB2312" w:eastAsia="仿宋_GB2312"/>
          <w:b w:val="0"/>
          <w:sz w:val="32"/>
          <w:szCs w:val="32"/>
        </w:rPr>
        <w:t>的思想动态，</w:t>
      </w:r>
      <w:r>
        <w:rPr>
          <w:rFonts w:hint="default" w:ascii="仿宋_GB2312" w:eastAsia="仿宋_GB2312"/>
          <w:b w:val="0"/>
          <w:sz w:val="32"/>
          <w:szCs w:val="32"/>
          <w:lang w:val="en-US" w:eastAsia="zh-CN"/>
        </w:rPr>
        <w:t>增强</w:t>
      </w:r>
      <w:r>
        <w:rPr>
          <w:rFonts w:hint="default" w:ascii="仿宋_GB2312" w:eastAsia="仿宋_GB2312"/>
          <w:b w:val="0"/>
          <w:sz w:val="32"/>
          <w:szCs w:val="32"/>
        </w:rPr>
        <w:t>交流，</w:t>
      </w:r>
      <w:r>
        <w:rPr>
          <w:rFonts w:hint="default" w:ascii="仿宋_GB2312" w:eastAsia="仿宋_GB2312"/>
          <w:b w:val="0"/>
          <w:sz w:val="32"/>
          <w:szCs w:val="32"/>
          <w:lang w:eastAsia="zh-CN"/>
        </w:rPr>
        <w:t>积极开展“我为群众办实事”等工作，</w:t>
      </w:r>
      <w:r>
        <w:rPr>
          <w:rFonts w:hint="default" w:ascii="仿宋_GB2312" w:eastAsia="仿宋_GB2312"/>
          <w:b w:val="0"/>
          <w:sz w:val="32"/>
          <w:szCs w:val="32"/>
        </w:rPr>
        <w:t>不断增强各族群众的向心力和凝聚力。</w:t>
      </w:r>
    </w:p>
    <w:p>
      <w:pPr>
        <w:pStyle w:val="2"/>
        <w:keepNext w:val="0"/>
        <w:keepLines w:val="0"/>
        <w:pageBreakBefore w:val="0"/>
        <w:numPr>
          <w:ilvl w:val="0"/>
          <w:numId w:val="0"/>
        </w:numPr>
        <w:kinsoku/>
        <w:wordWrap/>
        <w:overflowPunct/>
        <w:topLinePunct w:val="0"/>
        <w:autoSpaceDE/>
        <w:autoSpaceDN/>
        <w:bidi w:val="0"/>
        <w:spacing w:after="0" w:line="560" w:lineRule="exact"/>
        <w:ind w:firstLine="640" w:firstLineChars="200"/>
        <w:textAlignment w:val="auto"/>
        <w:rPr>
          <w:rFonts w:hint="default" w:ascii="仿宋_GB2312" w:eastAsia="仿宋_GB2312"/>
          <w:b w:val="0"/>
          <w:sz w:val="32"/>
          <w:szCs w:val="32"/>
        </w:rPr>
      </w:pPr>
      <w:r>
        <w:rPr>
          <w:rFonts w:hint="default" w:ascii="仿宋_GB2312" w:eastAsia="仿宋_GB2312"/>
          <w:b w:val="0"/>
          <w:sz w:val="32"/>
          <w:szCs w:val="32"/>
          <w:lang w:eastAsia="zh-CN"/>
        </w:rPr>
        <w:t>（</w:t>
      </w:r>
      <w:r>
        <w:rPr>
          <w:rFonts w:hint="default" w:ascii="仿宋_GB2312" w:eastAsia="仿宋_GB2312"/>
          <w:b w:val="0"/>
          <w:sz w:val="32"/>
          <w:szCs w:val="32"/>
          <w:lang w:val="en-US" w:eastAsia="zh-CN"/>
        </w:rPr>
        <w:t>三</w:t>
      </w:r>
      <w:r>
        <w:rPr>
          <w:rFonts w:hint="default" w:ascii="仿宋_GB2312" w:eastAsia="仿宋_GB2312"/>
          <w:b w:val="0"/>
          <w:sz w:val="32"/>
          <w:szCs w:val="32"/>
          <w:lang w:eastAsia="zh-CN"/>
        </w:rPr>
        <w:t>）</w:t>
      </w:r>
      <w:r>
        <w:rPr>
          <w:rFonts w:hint="default" w:ascii="仿宋_GB2312" w:eastAsia="仿宋_GB2312"/>
          <w:b w:val="0"/>
          <w:sz w:val="32"/>
          <w:szCs w:val="32"/>
        </w:rPr>
        <w:t>加强做好维护社会稳定的工作。全体干部职工要加强防护意识，不折不扣落实好带班值班工作，严格落实安保措施。提高应急处突能力，全面落实安全生产、综合治理等工作。</w:t>
      </w:r>
    </w:p>
    <w:p>
      <w:pPr>
        <w:pStyle w:val="2"/>
        <w:keepNext w:val="0"/>
        <w:keepLines w:val="0"/>
        <w:pageBreakBefore w:val="0"/>
        <w:numPr>
          <w:ilvl w:val="0"/>
          <w:numId w:val="0"/>
        </w:numPr>
        <w:kinsoku/>
        <w:wordWrap/>
        <w:overflowPunct/>
        <w:topLinePunct w:val="0"/>
        <w:autoSpaceDE/>
        <w:autoSpaceDN/>
        <w:bidi w:val="0"/>
        <w:spacing w:after="0" w:line="560" w:lineRule="exact"/>
        <w:ind w:firstLine="640" w:firstLineChars="200"/>
        <w:textAlignment w:val="auto"/>
        <w:rPr>
          <w:rFonts w:hint="default" w:ascii="仿宋_GB2312" w:eastAsia="仿宋_GB2312"/>
          <w:b w:val="0"/>
          <w:sz w:val="32"/>
          <w:szCs w:val="32"/>
          <w:lang w:val="en-US" w:eastAsia="zh-CN"/>
        </w:rPr>
      </w:pPr>
      <w:r>
        <w:rPr>
          <w:rFonts w:hint="default" w:ascii="仿宋_GB2312" w:eastAsia="仿宋_GB2312"/>
          <w:b w:val="0"/>
          <w:sz w:val="32"/>
          <w:szCs w:val="32"/>
          <w:lang w:eastAsia="zh-CN"/>
        </w:rPr>
        <w:t>（</w:t>
      </w:r>
      <w:r>
        <w:rPr>
          <w:rFonts w:hint="default" w:ascii="仿宋_GB2312" w:eastAsia="仿宋_GB2312"/>
          <w:b w:val="0"/>
          <w:sz w:val="32"/>
          <w:szCs w:val="32"/>
          <w:lang w:val="en-US" w:eastAsia="zh-CN"/>
        </w:rPr>
        <w:t>四</w:t>
      </w:r>
      <w:r>
        <w:rPr>
          <w:rFonts w:hint="default" w:ascii="仿宋_GB2312" w:eastAsia="仿宋_GB2312"/>
          <w:b w:val="0"/>
          <w:sz w:val="32"/>
          <w:szCs w:val="32"/>
          <w:lang w:eastAsia="zh-CN"/>
        </w:rPr>
        <w:t>）</w:t>
      </w:r>
      <w:r>
        <w:rPr>
          <w:rFonts w:hint="default" w:ascii="仿宋_GB2312" w:eastAsia="仿宋_GB2312"/>
          <w:b w:val="0"/>
          <w:sz w:val="32"/>
          <w:szCs w:val="32"/>
        </w:rPr>
        <w:t>加强业务理论学习，提高业务水平素养。全体干部职工在原有的基础上，要进一步拓宽知识面，学习</w:t>
      </w:r>
      <w:r>
        <w:rPr>
          <w:rFonts w:hint="default" w:ascii="仿宋_GB2312" w:eastAsia="仿宋_GB2312"/>
          <w:b w:val="0"/>
          <w:sz w:val="32"/>
          <w:szCs w:val="32"/>
          <w:lang w:val="en-US" w:eastAsia="zh-CN"/>
        </w:rPr>
        <w:t>更多专业</w:t>
      </w:r>
      <w:r>
        <w:rPr>
          <w:rFonts w:hint="default" w:ascii="仿宋_GB2312" w:eastAsia="仿宋_GB2312"/>
          <w:b w:val="0"/>
          <w:sz w:val="32"/>
          <w:szCs w:val="32"/>
        </w:rPr>
        <w:t>知识，深刻领悟融会贯通，丰富讲解内容。提高标准，严格要求自身。要加强和相关单位的学习与交流，取长补短，全方位的提高讲解水平</w:t>
      </w:r>
      <w:r>
        <w:rPr>
          <w:rFonts w:hint="default" w:ascii="仿宋_GB2312" w:eastAsia="仿宋_GB2312"/>
          <w:b w:val="0"/>
          <w:sz w:val="32"/>
          <w:szCs w:val="32"/>
          <w:lang w:val="en-US" w:eastAsia="zh-CN"/>
        </w:rPr>
        <w:t>。</w:t>
      </w:r>
    </w:p>
    <w:p>
      <w:pPr>
        <w:pStyle w:val="2"/>
        <w:keepNext w:val="0"/>
        <w:keepLines w:val="0"/>
        <w:pageBreakBefore w:val="0"/>
        <w:numPr>
          <w:ilvl w:val="0"/>
          <w:numId w:val="0"/>
        </w:numPr>
        <w:kinsoku/>
        <w:wordWrap/>
        <w:overflowPunct/>
        <w:topLinePunct w:val="0"/>
        <w:autoSpaceDE/>
        <w:autoSpaceDN/>
        <w:bidi w:val="0"/>
        <w:spacing w:after="0" w:line="560" w:lineRule="exact"/>
        <w:ind w:firstLine="640" w:firstLineChars="200"/>
        <w:textAlignment w:val="auto"/>
        <w:rPr>
          <w:rFonts w:hint="default" w:ascii="仿宋_GB2312" w:eastAsia="仿宋_GB2312"/>
          <w:b w:val="0"/>
          <w:sz w:val="32"/>
          <w:szCs w:val="32"/>
        </w:rPr>
      </w:pPr>
      <w:r>
        <w:rPr>
          <w:rFonts w:hint="default" w:ascii="仿宋_GB2312" w:eastAsia="仿宋_GB2312"/>
          <w:b w:val="0"/>
          <w:sz w:val="32"/>
          <w:szCs w:val="32"/>
          <w:lang w:eastAsia="zh-CN"/>
        </w:rPr>
        <w:t>（</w:t>
      </w:r>
      <w:r>
        <w:rPr>
          <w:rFonts w:hint="default" w:ascii="仿宋_GB2312" w:eastAsia="仿宋_GB2312"/>
          <w:b w:val="0"/>
          <w:sz w:val="32"/>
          <w:szCs w:val="32"/>
          <w:lang w:val="en-US" w:eastAsia="zh-CN"/>
        </w:rPr>
        <w:t>五</w:t>
      </w:r>
      <w:r>
        <w:rPr>
          <w:rFonts w:hint="default" w:ascii="仿宋_GB2312" w:eastAsia="仿宋_GB2312"/>
          <w:b w:val="0"/>
          <w:sz w:val="32"/>
          <w:szCs w:val="32"/>
          <w:lang w:eastAsia="zh-CN"/>
        </w:rPr>
        <w:t>）</w:t>
      </w:r>
      <w:r>
        <w:rPr>
          <w:rFonts w:hint="default" w:ascii="仿宋_GB2312" w:eastAsia="仿宋_GB2312"/>
          <w:b w:val="0"/>
          <w:sz w:val="32"/>
          <w:szCs w:val="32"/>
        </w:rPr>
        <w:t>做好接待服务工作。馆内要以提高接待服务水平为目标，自觉增强责任意识，坚持热情周到、优质服务的原则，高标准、严要求，履行好规划馆的接待职能作用，为市党委、市政府顺利开展工作、扩大对外交流、推动经济社会快速发展做出积极贡献。</w:t>
      </w:r>
    </w:p>
    <w:p>
      <w:pPr>
        <w:pStyle w:val="2"/>
        <w:keepNext w:val="0"/>
        <w:keepLines w:val="0"/>
        <w:pageBreakBefore w:val="0"/>
        <w:numPr>
          <w:ilvl w:val="0"/>
          <w:numId w:val="0"/>
        </w:numPr>
        <w:kinsoku/>
        <w:wordWrap/>
        <w:overflowPunct/>
        <w:topLinePunct w:val="0"/>
        <w:autoSpaceDE/>
        <w:autoSpaceDN/>
        <w:bidi w:val="0"/>
        <w:spacing w:after="0" w:line="560" w:lineRule="exact"/>
        <w:ind w:firstLine="640" w:firstLineChars="200"/>
        <w:textAlignment w:val="auto"/>
        <w:rPr>
          <w:rFonts w:hint="default" w:ascii="仿宋_GB2312" w:eastAsia="仿宋_GB2312"/>
          <w:b w:val="0"/>
          <w:sz w:val="32"/>
          <w:szCs w:val="32"/>
        </w:rPr>
      </w:pPr>
      <w:r>
        <w:rPr>
          <w:rFonts w:hint="default" w:ascii="仿宋_GB2312" w:eastAsia="仿宋_GB2312"/>
          <w:b w:val="0"/>
          <w:sz w:val="32"/>
          <w:szCs w:val="32"/>
          <w:lang w:eastAsia="zh-CN"/>
        </w:rPr>
        <w:t>（</w:t>
      </w:r>
      <w:r>
        <w:rPr>
          <w:rFonts w:hint="default" w:ascii="仿宋_GB2312" w:eastAsia="仿宋_GB2312"/>
          <w:b w:val="0"/>
          <w:sz w:val="32"/>
          <w:szCs w:val="32"/>
          <w:lang w:val="en-US" w:eastAsia="zh-CN"/>
        </w:rPr>
        <w:t>六</w:t>
      </w:r>
      <w:r>
        <w:rPr>
          <w:rFonts w:hint="default" w:ascii="仿宋_GB2312" w:eastAsia="仿宋_GB2312"/>
          <w:b w:val="0"/>
          <w:sz w:val="32"/>
          <w:szCs w:val="32"/>
          <w:lang w:eastAsia="zh-CN"/>
        </w:rPr>
        <w:t>）</w:t>
      </w:r>
      <w:r>
        <w:rPr>
          <w:rFonts w:hint="default" w:ascii="仿宋_GB2312" w:eastAsia="仿宋_GB2312"/>
          <w:b w:val="0"/>
          <w:sz w:val="32"/>
          <w:szCs w:val="32"/>
        </w:rPr>
        <w:t>认真开展设备维护保养工作。加强对馆内各类设备维护保养的管理力度，</w:t>
      </w:r>
      <w:r>
        <w:rPr>
          <w:rFonts w:hint="default" w:ascii="仿宋_GB2312" w:eastAsia="仿宋_GB2312"/>
          <w:b w:val="0"/>
          <w:sz w:val="32"/>
          <w:szCs w:val="32"/>
          <w:lang w:val="en-US" w:eastAsia="zh-CN"/>
        </w:rPr>
        <w:t xml:space="preserve">要 </w:t>
      </w:r>
      <w:r>
        <w:rPr>
          <w:rFonts w:hint="default" w:ascii="仿宋_GB2312" w:eastAsia="仿宋_GB2312"/>
          <w:b w:val="0"/>
          <w:sz w:val="32"/>
          <w:szCs w:val="32"/>
        </w:rPr>
        <w:t>经常检查和了解各重点设备的运行情况，做好检查记录。发现问题及时处理，使设备维护保养真正落到实处。</w:t>
      </w:r>
    </w:p>
    <w:p>
      <w:pPr>
        <w:pStyle w:val="2"/>
        <w:keepNext w:val="0"/>
        <w:keepLines w:val="0"/>
        <w:pageBreakBefore w:val="0"/>
        <w:numPr>
          <w:ilvl w:val="0"/>
          <w:numId w:val="0"/>
        </w:numPr>
        <w:kinsoku/>
        <w:wordWrap/>
        <w:overflowPunct/>
        <w:topLinePunct w:val="0"/>
        <w:autoSpaceDE/>
        <w:autoSpaceDN/>
        <w:bidi w:val="0"/>
        <w:spacing w:after="0" w:line="560" w:lineRule="exact"/>
        <w:ind w:firstLine="640" w:firstLineChars="200"/>
        <w:textAlignment w:val="auto"/>
        <w:rPr>
          <w:rFonts w:hint="default" w:ascii="仿宋_GB2312" w:eastAsia="仿宋_GB2312"/>
          <w:b w:val="0"/>
          <w:sz w:val="32"/>
          <w:szCs w:val="32"/>
        </w:rPr>
      </w:pPr>
      <w:r>
        <w:rPr>
          <w:rFonts w:hint="default" w:ascii="仿宋_GB2312" w:eastAsia="仿宋_GB2312"/>
          <w:b w:val="0"/>
          <w:sz w:val="32"/>
          <w:szCs w:val="32"/>
          <w:lang w:eastAsia="zh-CN"/>
        </w:rPr>
        <w:t>（</w:t>
      </w:r>
      <w:r>
        <w:rPr>
          <w:rFonts w:hint="default" w:ascii="仿宋_GB2312" w:eastAsia="仿宋_GB2312"/>
          <w:b w:val="0"/>
          <w:sz w:val="32"/>
          <w:szCs w:val="32"/>
          <w:lang w:val="en-US" w:eastAsia="zh-CN"/>
        </w:rPr>
        <w:t>七</w:t>
      </w:r>
      <w:r>
        <w:rPr>
          <w:rFonts w:hint="default" w:ascii="仿宋_GB2312" w:eastAsia="仿宋_GB2312"/>
          <w:b w:val="0"/>
          <w:sz w:val="32"/>
          <w:szCs w:val="32"/>
          <w:lang w:eastAsia="zh-CN"/>
        </w:rPr>
        <w:t>）</w:t>
      </w:r>
      <w:r>
        <w:rPr>
          <w:rFonts w:hint="default" w:ascii="仿宋_GB2312" w:eastAsia="仿宋_GB2312"/>
          <w:b w:val="0"/>
          <w:sz w:val="32"/>
          <w:szCs w:val="32"/>
        </w:rPr>
        <w:t>继续做好上级交办的各项工作任务。</w:t>
      </w:r>
    </w:p>
    <w:p>
      <w:pPr>
        <w:pStyle w:val="2"/>
        <w:keepNext w:val="0"/>
        <w:keepLines w:val="0"/>
        <w:pageBreakBefore w:val="0"/>
        <w:numPr>
          <w:ilvl w:val="0"/>
          <w:numId w:val="0"/>
        </w:numPr>
        <w:kinsoku/>
        <w:wordWrap/>
        <w:overflowPunct/>
        <w:topLinePunct w:val="0"/>
        <w:autoSpaceDE/>
        <w:autoSpaceDN/>
        <w:bidi w:val="0"/>
        <w:spacing w:after="0" w:line="560" w:lineRule="exact"/>
        <w:ind w:firstLine="640" w:firstLineChars="200"/>
        <w:textAlignment w:val="auto"/>
        <w:rPr>
          <w:rFonts w:hint="default" w:ascii="仿宋_GB2312" w:eastAsia="仿宋_GB2312"/>
          <w:b w:val="0"/>
          <w:sz w:val="32"/>
          <w:szCs w:val="32"/>
          <w:lang w:eastAsia="zh-CN"/>
        </w:rPr>
      </w:pPr>
      <w:r>
        <w:rPr>
          <w:rFonts w:hint="default" w:ascii="仿宋_GB2312" w:eastAsia="仿宋_GB2312"/>
          <w:b w:val="0"/>
          <w:sz w:val="32"/>
          <w:szCs w:val="32"/>
          <w:lang w:eastAsia="zh-CN"/>
        </w:rPr>
        <w:t>（八）积极做好场馆改造工作</w:t>
      </w:r>
      <w:r>
        <w:rPr>
          <w:rFonts w:hint="default" w:ascii="仿宋_GB2312" w:eastAsia="仿宋_GB2312"/>
          <w:b w:val="0"/>
          <w:sz w:val="32"/>
          <w:szCs w:val="32"/>
        </w:rPr>
        <w:t>。</w:t>
      </w:r>
    </w:p>
    <w:p>
      <w:pPr>
        <w:pStyle w:val="2"/>
        <w:keepNext w:val="0"/>
        <w:keepLines w:val="0"/>
        <w:pageBreakBefore w:val="0"/>
        <w:numPr>
          <w:ilvl w:val="0"/>
          <w:numId w:val="0"/>
        </w:numPr>
        <w:kinsoku/>
        <w:wordWrap/>
        <w:overflowPunct/>
        <w:topLinePunct w:val="0"/>
        <w:autoSpaceDE/>
        <w:autoSpaceDN/>
        <w:bidi w:val="0"/>
        <w:spacing w:after="0" w:line="560" w:lineRule="exact"/>
        <w:ind w:firstLine="640" w:firstLineChars="200"/>
        <w:textAlignment w:val="auto"/>
        <w:rPr>
          <w:rFonts w:ascii="仿宋_GB2312" w:eastAsia="仿宋_GB2312"/>
          <w:sz w:val="32"/>
          <w:szCs w:val="32"/>
        </w:rPr>
      </w:pPr>
      <w:r>
        <w:rPr>
          <w:rFonts w:hint="default" w:ascii="仿宋_GB2312" w:eastAsia="仿宋_GB2312"/>
          <w:b w:val="0"/>
          <w:sz w:val="32"/>
          <w:szCs w:val="32"/>
        </w:rPr>
        <w:t>今后，我馆将不断加强自身建设，提高管理水平，团结一致，开拓进取，扎实工作，全力推进规划展示馆各项工作更好更快的完成</w:t>
      </w:r>
      <w:r>
        <w:rPr>
          <w:rFonts w:ascii="仿宋_GB2312" w:eastAsia="仿宋_GB2312"/>
          <w:b w:val="0"/>
          <w:sz w:val="32"/>
          <w:szCs w:val="32"/>
        </w:rPr>
        <w:t>。具体附部门整体支出绩效自评表，项目支出绩效自评表和部门评价报告。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r>
        <w:drawing>
          <wp:anchor distT="0" distB="0" distL="114300" distR="114300" simplePos="0" relativeHeight="251659264" behindDoc="0" locked="0" layoutInCell="1" allowOverlap="1">
            <wp:simplePos x="0" y="0"/>
            <wp:positionH relativeFrom="column">
              <wp:posOffset>3175</wp:posOffset>
            </wp:positionH>
            <wp:positionV relativeFrom="paragraph">
              <wp:posOffset>609600</wp:posOffset>
            </wp:positionV>
            <wp:extent cx="5485130" cy="6138545"/>
            <wp:effectExtent l="0" t="0" r="1270" b="14605"/>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4"/>
                    <a:stretch>
                      <a:fillRect/>
                    </a:stretch>
                  </pic:blipFill>
                  <pic:spPr>
                    <a:xfrm>
                      <a:off x="0" y="0"/>
                      <a:ext cx="5485130" cy="6138545"/>
                    </a:xfrm>
                    <a:prstGeom prst="rect">
                      <a:avLst/>
                    </a:prstGeom>
                    <a:noFill/>
                    <a:ln>
                      <a:noFill/>
                    </a:ln>
                  </pic:spPr>
                </pic:pic>
              </a:graphicData>
            </a:graphic>
          </wp:anchor>
        </w:drawing>
      </w:r>
    </w:p>
    <w:p>
      <w:pPr>
        <w:pStyle w:val="2"/>
        <w:rPr>
          <w:rFonts w:ascii="仿宋_GB2312" w:eastAsia="仿宋_GB2312"/>
          <w:b w:val="0"/>
          <w:sz w:val="32"/>
          <w:szCs w:val="32"/>
        </w:rPr>
      </w:pPr>
    </w:p>
    <w:p>
      <w:pPr>
        <w:pStyle w:val="2"/>
        <w:rPr>
          <w:rFonts w:ascii="仿宋_GB2312" w:eastAsia="仿宋_GB2312"/>
          <w:b w:val="0"/>
          <w:sz w:val="32"/>
          <w:szCs w:val="32"/>
        </w:rPr>
      </w:pPr>
    </w:p>
    <w:p>
      <w:pPr>
        <w:pStyle w:val="2"/>
        <w:ind w:left="0" w:leftChars="0" w:firstLine="0" w:firstLineChars="0"/>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r>
        <w:drawing>
          <wp:anchor distT="0" distB="0" distL="114300" distR="114300" simplePos="0" relativeHeight="251660288" behindDoc="0" locked="0" layoutInCell="1" allowOverlap="1">
            <wp:simplePos x="0" y="0"/>
            <wp:positionH relativeFrom="column">
              <wp:posOffset>79375</wp:posOffset>
            </wp:positionH>
            <wp:positionV relativeFrom="paragraph">
              <wp:posOffset>244475</wp:posOffset>
            </wp:positionV>
            <wp:extent cx="5429250" cy="6602730"/>
            <wp:effectExtent l="0" t="0" r="0" b="7620"/>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a:stretch>
                      <a:fillRect/>
                    </a:stretch>
                  </pic:blipFill>
                  <pic:spPr>
                    <a:xfrm>
                      <a:off x="0" y="0"/>
                      <a:ext cx="5429250" cy="6602730"/>
                    </a:xfrm>
                    <a:prstGeom prst="rect">
                      <a:avLst/>
                    </a:prstGeom>
                    <a:noFill/>
                    <a:ln>
                      <a:noFill/>
                    </a:ln>
                  </pic:spPr>
                </pic:pic>
              </a:graphicData>
            </a:graphic>
          </wp:anchor>
        </w:drawing>
      </w:r>
    </w:p>
    <w:p>
      <w:pPr>
        <w:pStyle w:val="2"/>
        <w:rPr>
          <w:rFonts w:ascii="仿宋_GB2312" w:eastAsia="仿宋_GB2312"/>
          <w:b w:val="0"/>
          <w:sz w:val="32"/>
          <w:szCs w:val="32"/>
        </w:rPr>
      </w:pPr>
    </w:p>
    <w:p>
      <w:pPr>
        <w:pStyle w:val="2"/>
        <w:ind w:left="0" w:leftChars="0" w:firstLine="0" w:firstLineChars="0"/>
        <w:rPr>
          <w:rFonts w:ascii="仿宋_GB2312" w:eastAsia="仿宋_GB2312"/>
          <w:b w:val="0"/>
          <w:sz w:val="32"/>
          <w:szCs w:val="32"/>
        </w:rPr>
      </w:pPr>
    </w:p>
    <w:p>
      <w:pPr>
        <w:pStyle w:val="2"/>
        <w:rPr>
          <w:rFonts w:ascii="仿宋_GB2312" w:eastAsia="仿宋_GB2312"/>
          <w:b w:val="0"/>
          <w:sz w:val="32"/>
          <w:szCs w:val="32"/>
        </w:rPr>
      </w:pPr>
      <w:r>
        <w:drawing>
          <wp:anchor distT="0" distB="0" distL="114300" distR="114300" simplePos="0" relativeHeight="251661312" behindDoc="0" locked="0" layoutInCell="1" allowOverlap="1">
            <wp:simplePos x="0" y="0"/>
            <wp:positionH relativeFrom="column">
              <wp:posOffset>41275</wp:posOffset>
            </wp:positionH>
            <wp:positionV relativeFrom="paragraph">
              <wp:posOffset>263525</wp:posOffset>
            </wp:positionV>
            <wp:extent cx="5482590" cy="8158480"/>
            <wp:effectExtent l="0" t="0" r="3810" b="1397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6"/>
                    <a:stretch>
                      <a:fillRect/>
                    </a:stretch>
                  </pic:blipFill>
                  <pic:spPr>
                    <a:xfrm>
                      <a:off x="0" y="0"/>
                      <a:ext cx="5482590" cy="8158480"/>
                    </a:xfrm>
                    <a:prstGeom prst="rect">
                      <a:avLst/>
                    </a:prstGeom>
                    <a:noFill/>
                    <a:ln>
                      <a:noFill/>
                    </a:ln>
                  </pic:spPr>
                </pic:pic>
              </a:graphicData>
            </a:graphic>
          </wp:anchor>
        </w:drawing>
      </w:r>
    </w:p>
    <w:p>
      <w:pPr>
        <w:pStyle w:val="2"/>
        <w:rPr>
          <w:rFonts w:ascii="仿宋_GB2312" w:eastAsia="仿宋_GB2312"/>
          <w:b w:val="0"/>
          <w:sz w:val="32"/>
          <w:szCs w:val="32"/>
        </w:rPr>
      </w:pPr>
      <w:r>
        <w:drawing>
          <wp:anchor distT="0" distB="0" distL="114300" distR="114300" simplePos="0" relativeHeight="251662336" behindDoc="0" locked="0" layoutInCell="1" allowOverlap="1">
            <wp:simplePos x="0" y="0"/>
            <wp:positionH relativeFrom="column">
              <wp:posOffset>41275</wp:posOffset>
            </wp:positionH>
            <wp:positionV relativeFrom="paragraph">
              <wp:posOffset>171450</wp:posOffset>
            </wp:positionV>
            <wp:extent cx="5481320" cy="7526655"/>
            <wp:effectExtent l="0" t="0" r="5080" b="17145"/>
            <wp:wrapSquare wrapText="bothSides"/>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7"/>
                    <a:stretch>
                      <a:fillRect/>
                    </a:stretch>
                  </pic:blipFill>
                  <pic:spPr>
                    <a:xfrm>
                      <a:off x="0" y="0"/>
                      <a:ext cx="5481320" cy="7526655"/>
                    </a:xfrm>
                    <a:prstGeom prst="rect">
                      <a:avLst/>
                    </a:prstGeom>
                    <a:noFill/>
                    <a:ln>
                      <a:noFill/>
                    </a:ln>
                  </pic:spPr>
                </pic:pic>
              </a:graphicData>
            </a:graphic>
          </wp:anchor>
        </w:drawing>
      </w: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r>
        <w:drawing>
          <wp:anchor distT="0" distB="0" distL="114300" distR="114300" simplePos="0" relativeHeight="251663360" behindDoc="0" locked="0" layoutInCell="1" allowOverlap="1">
            <wp:simplePos x="0" y="0"/>
            <wp:positionH relativeFrom="column">
              <wp:posOffset>174625</wp:posOffset>
            </wp:positionH>
            <wp:positionV relativeFrom="paragraph">
              <wp:posOffset>-6037580</wp:posOffset>
            </wp:positionV>
            <wp:extent cx="5481955" cy="5549265"/>
            <wp:effectExtent l="0" t="0" r="4445" b="13335"/>
            <wp:wrapSquare wrapText="bothSides"/>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8"/>
                    <a:stretch>
                      <a:fillRect/>
                    </a:stretch>
                  </pic:blipFill>
                  <pic:spPr>
                    <a:xfrm>
                      <a:off x="0" y="0"/>
                      <a:ext cx="5481955" cy="5549265"/>
                    </a:xfrm>
                    <a:prstGeom prst="rect">
                      <a:avLst/>
                    </a:prstGeom>
                    <a:noFill/>
                    <a:ln>
                      <a:noFill/>
                    </a:ln>
                  </pic:spPr>
                </pic:pic>
              </a:graphicData>
            </a:graphic>
          </wp:anchor>
        </w:drawing>
      </w: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r>
        <w:drawing>
          <wp:anchor distT="0" distB="0" distL="114300" distR="114300" simplePos="0" relativeHeight="251664384" behindDoc="0" locked="0" layoutInCell="1" allowOverlap="1">
            <wp:simplePos x="0" y="0"/>
            <wp:positionH relativeFrom="column">
              <wp:posOffset>31750</wp:posOffset>
            </wp:positionH>
            <wp:positionV relativeFrom="paragraph">
              <wp:posOffset>285750</wp:posOffset>
            </wp:positionV>
            <wp:extent cx="5485130" cy="6595110"/>
            <wp:effectExtent l="0" t="0" r="1270" b="15240"/>
            <wp:wrapSquare wrapText="bothSides"/>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9"/>
                    <a:stretch>
                      <a:fillRect/>
                    </a:stretch>
                  </pic:blipFill>
                  <pic:spPr>
                    <a:xfrm>
                      <a:off x="0" y="0"/>
                      <a:ext cx="5485130" cy="6595110"/>
                    </a:xfrm>
                    <a:prstGeom prst="rect">
                      <a:avLst/>
                    </a:prstGeom>
                    <a:noFill/>
                    <a:ln>
                      <a:noFill/>
                    </a:ln>
                  </pic:spPr>
                </pic:pic>
              </a:graphicData>
            </a:graphic>
          </wp:anchor>
        </w:drawing>
      </w: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r>
        <w:drawing>
          <wp:anchor distT="0" distB="0" distL="114300" distR="114300" simplePos="0" relativeHeight="251665408" behindDoc="0" locked="0" layoutInCell="1" allowOverlap="1">
            <wp:simplePos x="0" y="0"/>
            <wp:positionH relativeFrom="column">
              <wp:posOffset>-6350</wp:posOffset>
            </wp:positionH>
            <wp:positionV relativeFrom="paragraph">
              <wp:posOffset>245745</wp:posOffset>
            </wp:positionV>
            <wp:extent cx="5477510" cy="4255135"/>
            <wp:effectExtent l="0" t="0" r="8890" b="12065"/>
            <wp:wrapSquare wrapText="bothSides"/>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0"/>
                    <a:stretch>
                      <a:fillRect/>
                    </a:stretch>
                  </pic:blipFill>
                  <pic:spPr>
                    <a:xfrm>
                      <a:off x="0" y="0"/>
                      <a:ext cx="5477510" cy="4255135"/>
                    </a:xfrm>
                    <a:prstGeom prst="rect">
                      <a:avLst/>
                    </a:prstGeom>
                    <a:noFill/>
                    <a:ln>
                      <a:noFill/>
                    </a:ln>
                  </pic:spPr>
                </pic:pic>
              </a:graphicData>
            </a:graphic>
          </wp:anchor>
        </w:drawing>
      </w: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r>
        <w:drawing>
          <wp:anchor distT="0" distB="0" distL="114300" distR="114300" simplePos="0" relativeHeight="251667456" behindDoc="0" locked="0" layoutInCell="1" allowOverlap="1">
            <wp:simplePos x="0" y="0"/>
            <wp:positionH relativeFrom="column">
              <wp:posOffset>22225</wp:posOffset>
            </wp:positionH>
            <wp:positionV relativeFrom="paragraph">
              <wp:posOffset>58420</wp:posOffset>
            </wp:positionV>
            <wp:extent cx="5482590" cy="3589020"/>
            <wp:effectExtent l="0" t="0" r="3810" b="1143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482590" cy="3589020"/>
                    </a:xfrm>
                    <a:prstGeom prst="rect">
                      <a:avLst/>
                    </a:prstGeom>
                    <a:noFill/>
                    <a:ln>
                      <a:noFill/>
                    </a:ln>
                  </pic:spPr>
                </pic:pic>
              </a:graphicData>
            </a:graphic>
          </wp:anchor>
        </w:drawing>
      </w: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r>
        <w:drawing>
          <wp:anchor distT="0" distB="0" distL="114300" distR="114300" simplePos="0" relativeHeight="251666432" behindDoc="0" locked="0" layoutInCell="1" allowOverlap="1">
            <wp:simplePos x="0" y="0"/>
            <wp:positionH relativeFrom="column">
              <wp:posOffset>0</wp:posOffset>
            </wp:positionH>
            <wp:positionV relativeFrom="paragraph">
              <wp:posOffset>245745</wp:posOffset>
            </wp:positionV>
            <wp:extent cx="5478780" cy="3800475"/>
            <wp:effectExtent l="0" t="0" r="7620" b="9525"/>
            <wp:wrapSquare wrapText="bothSides"/>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2"/>
                    <a:stretch>
                      <a:fillRect/>
                    </a:stretch>
                  </pic:blipFill>
                  <pic:spPr>
                    <a:xfrm>
                      <a:off x="0" y="0"/>
                      <a:ext cx="5478780" cy="3800475"/>
                    </a:xfrm>
                    <a:prstGeom prst="rect">
                      <a:avLst/>
                    </a:prstGeom>
                    <a:noFill/>
                    <a:ln>
                      <a:noFill/>
                    </a:ln>
                  </pic:spPr>
                </pic:pic>
              </a:graphicData>
            </a:graphic>
          </wp:anchor>
        </w:drawing>
      </w:r>
    </w:p>
    <w:p>
      <w:pPr>
        <w:pStyle w:val="2"/>
        <w:rPr>
          <w:rFonts w:ascii="仿宋_GB2312" w:eastAsia="仿宋_GB2312"/>
          <w:b w:val="0"/>
          <w:sz w:val="32"/>
          <w:szCs w:val="32"/>
        </w:rPr>
      </w:pPr>
    </w:p>
    <w:p>
      <w:pPr>
        <w:pStyle w:val="2"/>
        <w:rPr>
          <w:rFonts w:ascii="仿宋_GB2312" w:eastAsia="仿宋_GB2312"/>
          <w:b w:val="0"/>
          <w:sz w:val="32"/>
          <w:szCs w:val="32"/>
        </w:rPr>
      </w:pPr>
    </w:p>
    <w:p>
      <w:pPr>
        <w:pStyle w:val="2"/>
        <w:rPr>
          <w:rFonts w:ascii="仿宋_GB2312" w:eastAsia="仿宋_GB2312"/>
          <w:b w:val="0"/>
          <w:sz w:val="32"/>
          <w:szCs w:val="32"/>
        </w:rPr>
      </w:pPr>
    </w:p>
    <w:p>
      <w:pPr>
        <w:pStyle w:val="2"/>
        <w:ind w:left="0" w:leftChars="0" w:firstLine="0" w:firstLineChars="0"/>
        <w:rPr>
          <w:rFonts w:ascii="仿宋_GB2312" w:eastAsia="仿宋_GB2312"/>
          <w:b w:val="0"/>
          <w:sz w:val="32"/>
          <w:szCs w:val="32"/>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Times New Roman"/>
    <w:panose1 w:val="00000000000000000000"/>
    <w:charset w:val="00"/>
    <w:family w:val="auto"/>
    <w:pitch w:val="default"/>
    <w:sig w:usb0="00000000" w:usb1="00000000" w:usb2="00000000" w:usb3="00000000" w:csb0="0000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compat>
    <w:useFELayout/>
    <w:splitPgBreakAndParaMark/>
    <w:compatSetting w:name="compatibilityMode" w:uri="http://schemas.microsoft.com/office/word" w:val="12"/>
  </w:compat>
  <w:rsids>
    <w:rsidRoot w:val="00000000"/>
    <w:rsid w:val="075278EC"/>
    <w:rsid w:val="0C505B84"/>
    <w:rsid w:val="1A8373F0"/>
    <w:rsid w:val="2A7408B7"/>
    <w:rsid w:val="2CB04999"/>
    <w:rsid w:val="2FDD538E"/>
    <w:rsid w:val="3A215613"/>
    <w:rsid w:val="3C9D4CEB"/>
    <w:rsid w:val="3F4D4D22"/>
    <w:rsid w:val="4A9D2ECE"/>
    <w:rsid w:val="4FD67827"/>
    <w:rsid w:val="64D66487"/>
    <w:rsid w:val="6A5E0680"/>
    <w:rsid w:val="73C9658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726"/>
      </w:tabs>
      <w:spacing w:after="0" w:line="440" w:lineRule="exact"/>
      <w:ind w:left="0" w:leftChars="0" w:firstLine="420" w:firstLineChars="200"/>
    </w:pPr>
    <w:rPr>
      <w:rFonts w:ascii="??_GB2312" w:hAnsi="??_GB2312" w:eastAsia="宋体" w:cs="??_GB2312"/>
      <w:kern w:val="1"/>
      <w:sz w:val="28"/>
      <w:szCs w:val="28"/>
    </w:rPr>
  </w:style>
  <w:style w:type="paragraph" w:styleId="3">
    <w:name w:val="Body Text Indent"/>
    <w:basedOn w:val="1"/>
    <w:unhideWhenUsed/>
    <w:qFormat/>
    <w:uiPriority w:val="99"/>
    <w:pPr>
      <w:spacing w:after="120"/>
      <w:ind w:left="420" w:leftChars="200"/>
    </w:pPr>
    <w:rPr>
      <w:rFonts w:ascii="Calibri" w:hAnsi="Calibri" w:eastAsia="宋体" w:cs="Times New Roman"/>
      <w:szCs w:val="22"/>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2025-08-13T03:24:00Z</dcterms:created>
  <dc:creator>Administrator</dc:creator>
  <cp:lastModifiedBy>lenovo</cp:lastModifiedBy>
  <dcterms:modified xsi:type="dcterms:W3CDTF">2025-09-02T03:02:06Z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B99CEDD56EDA41919757A16079829EE7</vt:lpwstr>
  </property>
</Properties>
</file>