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库尔勒市建设工程服务中心</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(一）贯彻落实国家、自治区、自治州关于住房和城乡建设与人民防空的法律、法规、方针、政策，承担库尔勒市住房和城乡建设与人民防空工作的政策咨询、技术支持和调研服务。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二）依法对全市辖区内建设工程、人防工程的工程质量、施工安全、竣工验收及勘察、设计、建设、施工、监理等五方责任主体实行监督；监督管理人防工程防护（化）设备生产安装企业、质量检测机构等单位的工程质量行为；参与工程质量事故的调查处理。</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（三）负责市政公用事业发展规划的政策咨询、技术服务等相关工作，指导园林绿化、城镇供排水、供暖、燃气、污水处理、市容环境治理和市政公用设施运行维护等相关工作。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（四）负责房屋建筑和市政基础设施工程勘察、设计、施工、监理以及与工程建设有关的重要设备、材料采购招标投标等相关服务工作。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（五）负责建筑节能政策、发展规划、建筑业的新技术、新科技的运用推广。</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六）参与住房和城乡建设系统突发公共事件应急处置、应急预案体系建设；组织震后工程震害调查及评估；负责建设工程抗震设防综合管理及抗震防灾工作；参与城乡重要建（构）筑物抗震加固、震后重建、抗震应急知识普及和宣传等工作；指导城市地下空间的开发利用。</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七）负责人民防空组织指挥、通信、警报、信息化建设；负责编制库尔勒市防空袭预案并参与实施专项演习（练）；监督并落实城市总体规划中人民防空要求及人民防空建设情况；负责全市重要经济目标防护和人民防空平战结合工作；负责住房和城乡建设行业与人民防空宣传教育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（八）负责中心规范性文件的合法性审核工作；负责中心普法、“放管服”工作、群众举报、信访投诉等案件并跟踪督办和中心决策部署执行情况督查等工作。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（九）负责建设工程消防验收；参与消防事故调查。</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（十）负责城建档案工作的规范化、标准化、科学化管理及信息交流；组织召开城建档案工作会议等。</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（十一）参与城镇保障性住房工程建设；负责农村安居工程和农村安全住房建设的技术指导和政策咨询；监督管理物业行业服务、维修资金的使用；指导成立业主委员会和物业公司招投标工作。</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rPr>
      </w:pPr>
      <w:r>
        <w:rPr>
          <w:rFonts w:hint="eastAsia" w:ascii="仿宋_GB2312" w:eastAsia="仿宋_GB2312"/>
          <w:b w:val="0"/>
          <w:sz w:val="32"/>
          <w:szCs w:val="32"/>
          <w:highlight w:val="none"/>
        </w:rPr>
        <w:t>（十二）承担中心党的建设、党风廉政建设和反腐败、精神文明、政风行风建设、纪律检查、“访惠聚”、综合治理、民族团结、“两个全覆盖”、安全生产、扶贫等工作。</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hint="eastAsia" w:ascii="仿宋_GB2312" w:eastAsia="仿宋_GB2312"/>
          <w:b w:val="0"/>
          <w:sz w:val="32"/>
          <w:szCs w:val="32"/>
          <w:highlight w:val="none"/>
        </w:rPr>
        <w:t>完成市委、市人民政府和市住房和城乡建设局交办的其他任务。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库尔勒市建设工程服务中心2024年度，实有人数61人，其中：在职人员43人，减少6人；离休人员0人，较上年无变化；退休人员18人，增加6人。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库尔勒市建设工程服务中心无下属预算单位，</w:t>
      </w:r>
      <w:r>
        <w:rPr>
          <w:rFonts w:hint="eastAsia" w:ascii="仿宋_GB2312" w:eastAsia="仿宋_GB2312"/>
          <w:b w:val="0"/>
          <w:sz w:val="32"/>
          <w:szCs w:val="32"/>
          <w:highlight w:val="none"/>
        </w:rPr>
        <w:t>下设12个科室，分别是：办公室、公用事业管理科、城乡住房保障发展科、建设工程质量安全科、建设工程招标投标科、科技节能科、抗震应急科、人防指挥信息保障科、信访法规科、消防科、档案科、物业管理科。</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2024年度收入总计986.11万元，其中：本年收入合计986.11万元，使用非财政拨款结余（含专用结余）0.00万元，年初结转和结余0.00万元。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2024年度支出总计986.11万元，其中：本年支出合计986.11万元，结余分配0.00万元，年末结转和结余0.00万元。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收入支出总体与上年相比，增加2.74万元，增长0.28%，主要原因是：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本年收入986.11万元，其中：财政拨款收入986.11万元,占100.00%；上级补助收入0.00万元,占0.00%；事业收入0.00万元，占0.00%；经营收入0.00万元,占0.00%；附属单位上缴收入0.00万元，占0.00%；其他收入0.00万元，占0.00%。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本年支出986.11万元，其中：基本支出986.11万元，占100.00%；项目支出0.00万元，占0.00%；上缴上级支出0.00万元，占0.00%；经营支出0.00万元，占0.00%；对附属单位补助支出0.00万元，占0.00%。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2024年度财政拨款收入总计986.11万元，其中：年初财政拨款结转和结余0.00万元，本年财政拨款收入986.11万元。财政拨款支出总计986.11万元，其中：年末财政拨款结转和结余0.00万元，本年财政拨款支出986.11万元。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财政拨款收入支出总体与上年相比，增加2.74万元，增长0.28%，主要原因是：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。与年初预算相比，年初预算数1,135.16万元，决算数986.11万元，预决算差异率-13.13%，主要原因是：</w:t>
      </w:r>
      <w:r>
        <w:rPr>
          <w:rFonts w:hint="eastAsia" w:ascii="仿宋_GB2312" w:eastAsia="仿宋_GB2312"/>
          <w:b w:val="0"/>
          <w:sz w:val="32"/>
          <w:szCs w:val="32"/>
          <w:highlight w:val="none"/>
          <w:lang w:eastAsia="zh-CN"/>
        </w:rPr>
        <w:t>在职人员减少</w:t>
      </w:r>
      <w:r>
        <w:rPr>
          <w:rFonts w:hint="eastAsia" w:ascii="仿宋_GB2312" w:eastAsia="仿宋_GB2312"/>
          <w:b w:val="0"/>
          <w:sz w:val="32"/>
          <w:szCs w:val="32"/>
          <w:highlight w:val="none"/>
          <w:lang w:val="en-US" w:eastAsia="zh-CN"/>
        </w:rPr>
        <w:t>7人，退休人员增加6人，辞退1人，导致工资、津贴补贴、社保、公积金减少；劳务派遣人员减少1人，导致工资、津贴补贴、社保、公积金减少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2024年度一般公共预算财政拨款支出986.11万元，占本年支出合计的100.00%。与上年相比，增加2.74万元，增长0.28%，主要原因是：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r>
        <w:rPr>
          <w:rFonts w:ascii="仿宋_GB2312" w:eastAsia="仿宋_GB2312"/>
          <w:b w:val="0"/>
          <w:sz w:val="32"/>
          <w:szCs w:val="32"/>
          <w:highlight w:val="none"/>
        </w:rPr>
        <w:t>。与年初预算相比，年初预算数1,135.16万元，决算数986.11万元，预决算差异率-13.13%，主要原因是：</w:t>
      </w:r>
      <w:r>
        <w:rPr>
          <w:rFonts w:hint="eastAsia" w:ascii="仿宋_GB2312" w:eastAsia="仿宋_GB2312"/>
          <w:b w:val="0"/>
          <w:sz w:val="32"/>
          <w:szCs w:val="32"/>
          <w:highlight w:val="none"/>
          <w:lang w:eastAsia="zh-CN"/>
        </w:rPr>
        <w:t>在职人员减少</w:t>
      </w:r>
      <w:r>
        <w:rPr>
          <w:rFonts w:hint="eastAsia" w:ascii="仿宋_GB2312" w:eastAsia="仿宋_GB2312"/>
          <w:b w:val="0"/>
          <w:sz w:val="32"/>
          <w:szCs w:val="32"/>
          <w:highlight w:val="none"/>
          <w:lang w:val="en-US" w:eastAsia="zh-CN"/>
        </w:rPr>
        <w:t>7人，退休人员增加6人，辞退1人，导致工资、津贴补贴、社保、公积金减少；劳务派遣人员减少1人，导致工资、津贴补贴、社保、公积金减少</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教育支出（类）4.05万元，占0.41%。</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社会保障和就业支出（类）148.87万元，占15.10%。</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卫生健康支出（类）46.98万元，占4.76%。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城乡社区支出（类）708.73万元，占71.87%。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住房保障支出（类）67.48万元，占6.84%。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其他支出（类）10.00万元，占1.01%。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教育支出（类）进修及培训（款）培训支出（项）：支出决算数为4.05万元，比上年决算增加2.94万元，增长264.86%，主要原因是：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社会保障和就业支出（类）行政事业单位养老支出（款）事业单位离退休（项）：支出决算数为10.98万元，比上年决算增加3.28万元，增长42.60%，主要原因是：</w:t>
      </w:r>
      <w:r>
        <w:rPr>
          <w:rFonts w:hint="eastAsia" w:ascii="仿宋_GB2312" w:hAnsi="仿宋" w:eastAsia="仿宋_GB2312"/>
          <w:sz w:val="32"/>
          <w:szCs w:val="32"/>
          <w:highlight w:val="none"/>
          <w:lang w:eastAsia="zh-CN"/>
        </w:rPr>
        <w:t>退休人员</w:t>
      </w:r>
      <w:r>
        <w:rPr>
          <w:rFonts w:hint="eastAsia" w:ascii="仿宋_GB2312" w:hAnsi="仿宋" w:eastAsia="仿宋_GB2312"/>
          <w:sz w:val="32"/>
          <w:szCs w:val="32"/>
          <w:highlight w:val="none"/>
          <w:lang w:val="en-US" w:eastAsia="zh-CN"/>
        </w:rPr>
        <w:t>增加6人。</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社会保障和就业支出（类）行政事业单位养老支出（款）机关事业单位基本养老保险缴费支出（项）：支出决算数为94.43万元，比上年决算增加11.58万元，增长13.98%，主要原因是：</w:t>
      </w:r>
      <w:r>
        <w:rPr>
          <w:rFonts w:hint="eastAsia" w:ascii="Times New Roman" w:hAnsi="Times New Roman" w:eastAsia="仿宋_GB2312" w:cs="Times New Roman"/>
          <w:color w:val="auto"/>
          <w:kern w:val="2"/>
          <w:sz w:val="32"/>
          <w:szCs w:val="32"/>
          <w:highlight w:val="none"/>
          <w:lang w:val="en-US" w:eastAsia="zh-CN" w:bidi="ar-SA"/>
        </w:rPr>
        <w:t>养老基数调高</w:t>
      </w:r>
      <w:r>
        <w:rPr>
          <w:rFonts w:hint="eastAsia" w:ascii="仿宋_GB2312" w:eastAsia="仿宋_GB2312"/>
          <w:b w:val="0"/>
          <w:sz w:val="32"/>
          <w:szCs w:val="32"/>
          <w:highlight w:val="none"/>
          <w:lang w:eastAsia="zh-CN"/>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社会保障和就业支出（类）行政事业单位养老支出（款）机关事业单位职业年金缴费支出（项）：支出决算数为43.46万元，比上年决算增加37.16万元，增长589.84%，主要原因是：</w:t>
      </w:r>
      <w:r>
        <w:rPr>
          <w:rFonts w:hint="eastAsia" w:ascii="仿宋_GB2312" w:eastAsia="仿宋_GB2312"/>
          <w:b w:val="0"/>
          <w:sz w:val="32"/>
          <w:szCs w:val="32"/>
          <w:highlight w:val="none"/>
          <w:lang w:val="zh-CN" w:eastAsia="zh-CN"/>
        </w:rPr>
        <w:t>增加</w:t>
      </w:r>
      <w:r>
        <w:rPr>
          <w:rFonts w:hint="eastAsia" w:ascii="仿宋_GB2312" w:eastAsia="仿宋_GB2312"/>
          <w:b w:val="0"/>
          <w:sz w:val="32"/>
          <w:szCs w:val="32"/>
          <w:highlight w:val="none"/>
          <w:lang w:val="en-US" w:eastAsia="zh-CN"/>
        </w:rPr>
        <w:t>6名退休人员，并为其缴纳职业年</w:t>
      </w:r>
      <w:r>
        <w:rPr>
          <w:rFonts w:hint="eastAsia" w:eastAsia="仿宋_GB2312" w:cs="Times New Roman"/>
          <w:color w:val="auto"/>
          <w:kern w:val="2"/>
          <w:sz w:val="32"/>
          <w:szCs w:val="32"/>
          <w:highlight w:val="none"/>
          <w:lang w:val="en-US" w:eastAsia="zh-CN" w:bidi="ar-SA"/>
        </w:rPr>
        <w:t>金</w:t>
      </w:r>
      <w:r>
        <w:rPr>
          <w:rFonts w:hint="eastAsia" w:ascii="Times New Roman" w:hAnsi="Times New Roman" w:eastAsia="仿宋_GB2312" w:cs="Times New Roman"/>
          <w:color w:val="auto"/>
          <w:kern w:val="2"/>
          <w:sz w:val="32"/>
          <w:szCs w:val="32"/>
          <w:highlight w:val="none"/>
          <w:lang w:val="en-US" w:eastAsia="zh-CN" w:bidi="ar-SA"/>
        </w:rPr>
        <w:t>。</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社会保障和就业支出（类）就业补助（款）公益性岗位补贴（项）：支出决算数为0.00万元，比上年决算减少0.85万元，下降100.00%，主要原因是：</w:t>
      </w:r>
      <w:r>
        <w:rPr>
          <w:rFonts w:hint="eastAsia" w:ascii="仿宋_GB2312" w:eastAsia="仿宋_GB2312"/>
          <w:b w:val="0"/>
          <w:sz w:val="32"/>
          <w:szCs w:val="32"/>
          <w:highlight w:val="none"/>
          <w:lang w:val="en-US" w:eastAsia="zh-CN"/>
        </w:rPr>
        <w:t>2023年5月公益性岗位工作人员辞职导致2023年有此项支出，2024年我单位未使用公益性岗位。</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卫生健康支出（类）行政事业单位医疗（款）事业单位医疗（项）：支出决算数为46.98万元，比上年决算减少2.13万元，下降4.34%，主要原因是：</w:t>
      </w:r>
      <w:r>
        <w:rPr>
          <w:rFonts w:hint="eastAsia" w:ascii="仿宋_GB2312" w:eastAsia="仿宋_GB2312"/>
          <w:b w:val="0"/>
          <w:sz w:val="32"/>
          <w:szCs w:val="32"/>
          <w:highlight w:val="none"/>
          <w:lang w:val="en-US" w:eastAsia="zh-CN"/>
        </w:rPr>
        <w:t>有6名在编人员退休。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城乡社区支出（类）城乡社区管理事务（款）其他城乡社区管理事务支出（项）：支出决算数为706.54万元，比上年决算减少64.09万元，下降8.32%，主要原因是：</w:t>
      </w:r>
      <w:r>
        <w:rPr>
          <w:rFonts w:hint="eastAsia" w:ascii="仿宋_GB2312" w:eastAsia="仿宋_GB2312"/>
          <w:b w:val="0"/>
          <w:sz w:val="32"/>
          <w:szCs w:val="32"/>
          <w:highlight w:val="none"/>
          <w:lang w:val="en-US" w:eastAsia="zh-CN"/>
        </w:rPr>
        <w:t>6名在职人员转退休。</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城乡社区支出（类）其他城乡社区支出（款）其他城乡社区支出（项）：支出决算数为2.19万元，比上年决算增加2.19万元，增长100.00%，主要原因是：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业技术人员的培训支出增加，工资及社保基数调整。</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住房保障支出（类）住房改革支出（款）住房公积金（项）：支出决算数为67.48万元，比上年决算增加2.65万元，增长4.09%，主要原因是：</w:t>
      </w:r>
      <w:r>
        <w:rPr>
          <w:rFonts w:hint="eastAsia" w:ascii="仿宋_GB2312" w:eastAsia="仿宋_GB2312"/>
          <w:b w:val="0"/>
          <w:sz w:val="32"/>
          <w:szCs w:val="32"/>
          <w:highlight w:val="none"/>
          <w:lang w:val="en-US" w:eastAsia="zh-CN"/>
        </w:rPr>
        <w:t>公积金基数调整。</w:t>
      </w:r>
    </w:p>
    <w:p>
      <w:pPr>
        <w:widowControl/>
        <w:numPr>
          <w:ilvl w:val="0"/>
          <w:numId w:val="1"/>
        </w:numPr>
        <w:spacing w:before="0" w:beforeLines="0" w:beforeAutospacing="0" w:after="0" w:afterLines="0" w:afterAutospacing="0" w:line="240" w:lineRule="auto"/>
        <w:ind w:firstLine="640" w:firstLineChars="200"/>
        <w:rPr>
          <w:rFonts w:ascii="仿宋_GB2312" w:eastAsia="仿宋_GB2312"/>
          <w:b w:val="0"/>
          <w:sz w:val="32"/>
          <w:szCs w:val="32"/>
          <w:highlight w:val="none"/>
        </w:rPr>
      </w:pPr>
      <w:r>
        <w:rPr>
          <w:rFonts w:ascii="仿宋_GB2312" w:eastAsia="仿宋_GB2312"/>
          <w:b w:val="0"/>
          <w:sz w:val="32"/>
          <w:szCs w:val="32"/>
          <w:highlight w:val="none"/>
        </w:rPr>
        <w:t>其他支出（类）其他支出（款）其他支出（项）：支出决算数为10.00万元，比上年决算增加10.00万元，增长100.00%，主要原因是：</w:t>
      </w:r>
      <w:r>
        <w:rPr>
          <w:rFonts w:hint="eastAsia" w:ascii="仿宋_GB2312" w:eastAsia="仿宋_GB2312"/>
          <w:b w:val="0"/>
          <w:sz w:val="32"/>
          <w:szCs w:val="32"/>
          <w:highlight w:val="none"/>
          <w:lang w:val="en-US" w:eastAsia="zh-CN"/>
        </w:rPr>
        <w:t>支付阿瓦提乡吾夏克铁热克村访惠聚工作队专项资金。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986.11万元，其中：人员经费842.78万元，包括：基本工资、津贴补贴、奖金、机关事业单位基本养老保险缴费、职业年金缴费、职工基本医疗保险缴费、公务员医疗补助缴费、其他社会保障缴费、住房公积金、其他工资福利支出、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公用经费143.32万元，包括：办公费、水费、电费、邮电费、取暖费、差旅费、培训费、劳务费、工会经费、福利费和公务用车运行维护费。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2024年度财政拨款“三公”经费支出5.30万元，比上年减少2.08万元，下降28.18%，主要原因是：</w:t>
      </w:r>
      <w:r>
        <w:rPr>
          <w:rFonts w:hint="eastAsia" w:ascii="仿宋_GB2312" w:eastAsia="仿宋_GB2312"/>
          <w:b w:val="0"/>
          <w:sz w:val="32"/>
          <w:szCs w:val="32"/>
          <w:highlight w:val="none"/>
          <w:lang w:val="en-US" w:eastAsia="zh-CN"/>
        </w:rPr>
        <w:t>未支付本年度车辆维修经费</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lang w:val="zh-CN" w:eastAsia="zh-CN"/>
        </w:rPr>
        <w:t>我单位无因公出国（境）支出</w:t>
      </w:r>
      <w:r>
        <w:rPr>
          <w:rFonts w:ascii="仿宋_GB2312" w:eastAsia="仿宋_GB2312"/>
          <w:b w:val="0"/>
          <w:sz w:val="32"/>
          <w:szCs w:val="32"/>
          <w:highlight w:val="none"/>
        </w:rPr>
        <w:t>；公务用车购置及运行维护费支出5.30万元，占100.00%，比上年减少2.08万元，下降28.18%，主要原因是：</w:t>
      </w:r>
      <w:r>
        <w:rPr>
          <w:rFonts w:hint="eastAsia" w:ascii="仿宋_GB2312" w:eastAsia="仿宋_GB2312"/>
          <w:b w:val="0"/>
          <w:sz w:val="32"/>
          <w:szCs w:val="32"/>
          <w:highlight w:val="none"/>
          <w:lang w:val="en-US" w:eastAsia="zh-CN"/>
        </w:rPr>
        <w:t>未支付本年度车辆维修经费</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b w:val="0"/>
          <w:sz w:val="32"/>
          <w:szCs w:val="32"/>
          <w:highlight w:val="none"/>
          <w:lang w:val="zh-CN" w:eastAsia="zh-CN"/>
        </w:rPr>
        <w:t>我单位无公务接待支出</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因公出国（境）费支出0.00万元，开支内容包括</w:t>
      </w:r>
      <w:r>
        <w:rPr>
          <w:rFonts w:hint="eastAsia" w:ascii="仿宋_GB2312" w:eastAsia="仿宋_GB2312"/>
          <w:b w:val="0"/>
          <w:sz w:val="32"/>
          <w:szCs w:val="32"/>
          <w:highlight w:val="none"/>
          <w:lang w:val="zh-CN" w:eastAsia="zh-CN"/>
        </w:rPr>
        <w:t>我单位无因公出国（境）费支出</w:t>
      </w:r>
      <w:r>
        <w:rPr>
          <w:rFonts w:ascii="仿宋_GB2312" w:eastAsia="仿宋_GB2312"/>
          <w:b w:val="0"/>
          <w:sz w:val="32"/>
          <w:szCs w:val="32"/>
          <w:highlight w:val="none"/>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val="zh-CN" w:eastAsia="zh-CN"/>
        </w:rPr>
      </w:pPr>
      <w:r>
        <w:rPr>
          <w:rFonts w:ascii="仿宋_GB2312" w:eastAsia="仿宋_GB2312"/>
          <w:b w:val="0"/>
          <w:sz w:val="32"/>
          <w:szCs w:val="32"/>
          <w:highlight w:val="none"/>
        </w:rPr>
        <w:t>公务用车购置及运行维护费5.30万元，其中：公务用车购置费0.00万元，公务用车运行维护费5.30万元。公务用车运行维护费开支内容包括</w:t>
      </w:r>
      <w:r>
        <w:rPr>
          <w:rFonts w:hint="eastAsia" w:ascii="仿宋_GB2312" w:eastAsia="仿宋_GB2312"/>
          <w:b w:val="0"/>
          <w:sz w:val="32"/>
          <w:szCs w:val="32"/>
          <w:highlight w:val="none"/>
          <w:lang w:val="zh-CN" w:eastAsia="zh-CN"/>
        </w:rPr>
        <w:t>车辆维护、燃油费用、车辆保险费</w:t>
      </w:r>
      <w:r>
        <w:rPr>
          <w:rFonts w:ascii="仿宋_GB2312" w:eastAsia="仿宋_GB2312"/>
          <w:b w:val="0"/>
          <w:sz w:val="32"/>
          <w:szCs w:val="32"/>
          <w:highlight w:val="none"/>
        </w:rPr>
        <w:t>。公务用车购置数0辆，公务用车保有量4辆。国有资产占用情况中固</w:t>
      </w:r>
      <w:r>
        <w:rPr>
          <w:rFonts w:hint="eastAsia" w:ascii="仿宋_GB2312" w:eastAsia="仿宋_GB2312"/>
          <w:b w:val="0"/>
          <w:sz w:val="32"/>
          <w:szCs w:val="32"/>
          <w:highlight w:val="none"/>
          <w:lang w:val="zh-CN" w:eastAsia="zh-CN"/>
        </w:rPr>
        <w:t>定资产车辆4辆，与公务用车保有量差异原因是：固定资产车辆与公务用车保有量无差异。</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val="zh-CN" w:eastAsia="zh-CN"/>
        </w:rPr>
      </w:pPr>
      <w:r>
        <w:rPr>
          <w:rFonts w:hint="eastAsia" w:ascii="仿宋_GB2312" w:eastAsia="仿宋_GB2312"/>
          <w:b w:val="0"/>
          <w:sz w:val="32"/>
          <w:szCs w:val="32"/>
          <w:highlight w:val="none"/>
          <w:lang w:val="zh-CN" w:eastAsia="zh-CN"/>
        </w:rPr>
        <w:t>公务接待费0.00万元，开支内容包括我单位无公务接待。单位全年安排的国内公务接待0批次，0人次。</w:t>
      </w:r>
    </w:p>
    <w:p>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lang w:val="zh-CN" w:eastAsia="zh-CN"/>
        </w:rPr>
      </w:pPr>
      <w:r>
        <w:rPr>
          <w:rFonts w:hint="eastAsia" w:ascii="仿宋_GB2312" w:eastAsia="仿宋_GB2312"/>
          <w:b w:val="0"/>
          <w:sz w:val="32"/>
          <w:szCs w:val="32"/>
          <w:highlight w:val="none"/>
          <w:lang w:val="zh-CN" w:eastAsia="zh-CN"/>
        </w:rPr>
        <w:t>与全年预算相比，财政拨款“三公”经费支出全年预算数5.30万元，决算数5.30万元，预决算差异率0.00%，主要原因是：预决算一致无差异。其中：因公出国（境）费全年预算数0.00万元，决算数0.00万元，预决算差异率0.00%，主要原因是：我单位无因公出国（境）费。公务用车购置费全年预算数0.00万元，决算数0.00万元，预决算差异率0.00%，主要原因是：我单位无公务用车购置。公务用车运行维护费全年预算数5.30万元，决算数5.30万元，预决算差异率0.00%，主要原因是：预决算一致无差异。公务接待费全年预算数0.00万元，决算数0.00万元，预决算差异率0.00%，主要原因是：我单位无公务接待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2024年度库尔勒市建设工程服务中心单位机关运行经费支出143.32万元，比上年增加4.82万元，增长3.48%，主要原因是：</w:t>
      </w:r>
      <w:r>
        <w:rPr>
          <w:rFonts w:hint="eastAsia" w:ascii="仿宋_GB2312" w:eastAsia="仿宋_GB2312"/>
          <w:b w:val="0"/>
          <w:sz w:val="32"/>
          <w:szCs w:val="32"/>
          <w:highlight w:val="none"/>
          <w:lang w:val="en-US" w:eastAsia="zh-CN"/>
        </w:rPr>
        <w:t>对专</w:t>
      </w:r>
      <w:r>
        <w:rPr>
          <w:rFonts w:hint="eastAsia" w:ascii="仿宋_GB2312" w:eastAsia="仿宋_GB2312"/>
          <w:b w:val="0"/>
          <w:sz w:val="32"/>
          <w:szCs w:val="32"/>
          <w:highlight w:val="none"/>
          <w:lang w:eastAsia="zh-CN"/>
        </w:rPr>
        <w:t>业技术人员的培训支出增加；</w:t>
      </w:r>
      <w:r>
        <w:rPr>
          <w:rFonts w:hint="eastAsia" w:ascii="仿宋_GB2312" w:eastAsia="仿宋_GB2312"/>
          <w:b w:val="0"/>
          <w:sz w:val="32"/>
          <w:szCs w:val="32"/>
          <w:highlight w:val="none"/>
          <w:lang w:val="en-US" w:eastAsia="zh-CN"/>
        </w:rPr>
        <w:t>2024年缴纳2023年度水费；2023年开始交电费当年只缴纳了5个月电费，2024年缴纳了全年电费</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2024年度政府采购支出总额16.73万元，其中：政府采购货物支出11.75万元、政府采购工程支出1.00万元、政府采购服务支出3.99万元。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授予中小企业合同金额16.73万元，占政府采购支出总额的100.00%，其中：授予小微企业合同金额16.24万元，占政府采购支出总额的97.07%。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120.00平方米，价值35.00万元。车辆4辆，价值42.91万元，其中：副部（省）级及以上领导用车0辆、主要负责人用车0辆、机要通信用车0辆、应急保障用车0辆、执法执勤用车0辆、特种专业技术用车0辆、离退休干部服务用车0辆、其他用车4辆，其他用车主要是：</w:t>
      </w:r>
      <w:r>
        <w:rPr>
          <w:rFonts w:hint="eastAsia" w:ascii="仿宋_GB2312" w:eastAsia="仿宋_GB2312"/>
          <w:b w:val="0"/>
          <w:sz w:val="32"/>
          <w:szCs w:val="32"/>
          <w:highlight w:val="none"/>
          <w:lang w:val="en-US" w:eastAsia="zh-CN"/>
        </w:rPr>
        <w:t>公务用车4辆</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w:t>
      </w:r>
      <w:r>
        <w:rPr>
          <w:rFonts w:hint="eastAsia" w:ascii="仿宋_GB2312" w:eastAsia="仿宋_GB2312"/>
          <w:b w:val="0"/>
          <w:sz w:val="32"/>
          <w:szCs w:val="32"/>
          <w:highlight w:val="none"/>
        </w:rPr>
        <w:t>986.11</w:t>
      </w:r>
      <w:r>
        <w:rPr>
          <w:rFonts w:ascii="仿宋_GB2312" w:eastAsia="仿宋_GB2312"/>
          <w:b w:val="0"/>
          <w:sz w:val="32"/>
          <w:szCs w:val="32"/>
          <w:highlight w:val="none"/>
        </w:rPr>
        <w:t>万元，实际执行总额</w:t>
      </w:r>
      <w:r>
        <w:rPr>
          <w:rFonts w:hint="eastAsia" w:ascii="仿宋_GB2312" w:eastAsia="仿宋_GB2312"/>
          <w:b w:val="0"/>
          <w:sz w:val="32"/>
          <w:szCs w:val="32"/>
          <w:highlight w:val="none"/>
        </w:rPr>
        <w:t>986.11</w:t>
      </w:r>
      <w:r>
        <w:rPr>
          <w:rFonts w:ascii="仿宋_GB2312" w:eastAsia="仿宋_GB2312"/>
          <w:b w:val="0"/>
          <w:sz w:val="32"/>
          <w:szCs w:val="32"/>
          <w:highlight w:val="none"/>
        </w:rPr>
        <w:t>万元；预算绩效评价项目</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个，全年预算数</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万元，全年执行数</w:t>
      </w:r>
      <w:r>
        <w:rPr>
          <w:rFonts w:hint="eastAsia" w:ascii="仿宋_GB2312" w:eastAsia="仿宋_GB2312"/>
          <w:b w:val="0"/>
          <w:sz w:val="32"/>
          <w:szCs w:val="32"/>
          <w:highlight w:val="none"/>
          <w:lang w:val="en-US" w:eastAsia="zh-CN"/>
        </w:rPr>
        <w:t>0</w:t>
      </w:r>
      <w:r>
        <w:rPr>
          <w:rFonts w:ascii="仿宋_GB2312" w:eastAsia="仿宋_GB2312"/>
          <w:b w:val="0"/>
          <w:sz w:val="32"/>
          <w:szCs w:val="32"/>
          <w:highlight w:val="none"/>
        </w:rPr>
        <w:t>万元。预算绩效管理取得的成效：</w:t>
      </w:r>
      <w:r>
        <w:rPr>
          <w:rFonts w:hint="eastAsia" w:ascii="仿宋_GB2312" w:eastAsia="仿宋_GB2312"/>
          <w:b w:val="0"/>
          <w:sz w:val="32"/>
          <w:szCs w:val="32"/>
          <w:highlight w:val="none"/>
          <w:lang w:val="en-US" w:eastAsia="zh-CN"/>
        </w:rPr>
        <w:t>一是严格落实安全生产责任，坚决筑牢安全生产底线将安全生产工作扛在肩上、抓在手上、落实到行动上。二是狠抓重点工序、重要部位安全生产管理，确保人民群众生命财产安全。三是扎实开展安全生产隐患排查整治工作，多措并举防范和消除安全隐患。四是压实招投标主体责任，持续推进招投标工作高质量发展</w:t>
      </w:r>
      <w:r>
        <w:rPr>
          <w:rFonts w:ascii="仿宋_GB2312" w:eastAsia="仿宋_GB2312"/>
          <w:b w:val="0"/>
          <w:sz w:val="32"/>
          <w:szCs w:val="32"/>
          <w:highlight w:val="none"/>
        </w:rPr>
        <w:t>。发现的问题及原因：</w:t>
      </w:r>
      <w:r>
        <w:rPr>
          <w:rFonts w:hint="eastAsia" w:ascii="仿宋_GB2312" w:eastAsia="仿宋_GB2312"/>
          <w:b w:val="0"/>
          <w:sz w:val="32"/>
          <w:szCs w:val="32"/>
          <w:highlight w:val="none"/>
          <w:lang w:val="en-US" w:eastAsia="zh-CN"/>
        </w:rPr>
        <w:t>一是在工作产出完成及时率上由于前期计划工作数制定有所偏差，同时部门在工作完成及时率上也有所延迟，所以导致工作</w:t>
      </w:r>
      <w:r>
        <w:rPr>
          <w:rFonts w:hint="eastAsia" w:ascii="仿宋_GB2312" w:hAnsi="仿宋_GB2312" w:eastAsia="仿宋_GB2312" w:cs="仿宋_GB2312"/>
          <w:color w:val="auto"/>
          <w:kern w:val="0"/>
          <w:sz w:val="32"/>
          <w:szCs w:val="32"/>
          <w:highlight w:val="none"/>
          <w:lang w:val="en-US" w:eastAsia="zh-CN"/>
        </w:rPr>
        <w:t>产出完成没有达到100%。二是重点工作办结率也存在加强与上升空间，需要加强工作效率</w:t>
      </w:r>
      <w:r>
        <w:rPr>
          <w:rFonts w:ascii="仿宋_GB2312" w:eastAsia="仿宋_GB2312"/>
          <w:b w:val="0"/>
          <w:sz w:val="32"/>
          <w:szCs w:val="32"/>
          <w:highlight w:val="none"/>
        </w:rPr>
        <w:t>。下一步改进措施：</w:t>
      </w:r>
      <w:r>
        <w:rPr>
          <w:rFonts w:hint="eastAsia" w:ascii="仿宋_GB2312" w:hAnsi="仿宋_GB2312" w:eastAsia="仿宋_GB2312" w:cs="仿宋_GB2312"/>
          <w:color w:val="auto"/>
          <w:kern w:val="0"/>
          <w:sz w:val="32"/>
          <w:szCs w:val="32"/>
          <w:highlight w:val="none"/>
          <w:lang w:val="en-US" w:eastAsia="zh-CN"/>
        </w:rPr>
        <w:t>一是细化项目绩效指标，项目绩效指标要紧紧围绕项目实施内容，制定出能全面反映项目产出、效果及效率的指标；二是全面提升专业化、规范化和精细化管理水平，提高财政资金使用效益</w:t>
      </w:r>
      <w:r>
        <w:rPr>
          <w:rFonts w:ascii="仿宋_GB2312" w:eastAsia="仿宋_GB2312"/>
          <w:b w:val="0"/>
          <w:sz w:val="32"/>
          <w:szCs w:val="32"/>
          <w:highlight w:val="none"/>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bidi w:val="0"/>
      </w:pPr>
    </w:p>
    <w:p>
      <w:pPr>
        <w:pStyle w:val="2"/>
      </w:pPr>
    </w:p>
    <w:p>
      <w:pPr>
        <w:pStyle w:val="2"/>
      </w:pPr>
    </w:p>
    <w:p>
      <w:r>
        <w:drawing>
          <wp:inline distT="0" distB="0" distL="114300" distR="114300">
            <wp:extent cx="5479415" cy="47917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79415" cy="4791710"/>
                    </a:xfrm>
                    <a:prstGeom prst="rect">
                      <a:avLst/>
                    </a:prstGeom>
                    <a:noFill/>
                    <a:ln>
                      <a:noFill/>
                    </a:ln>
                  </pic:spPr>
                </pic:pic>
              </a:graphicData>
            </a:graphic>
          </wp:inline>
        </w:drawing>
      </w:r>
    </w:p>
    <w:p>
      <w:pPr>
        <w:pStyle w:val="2"/>
      </w:pPr>
    </w:p>
    <w:p/>
    <w:p>
      <w:pPr>
        <w:pStyle w:val="2"/>
      </w:pPr>
      <w:r>
        <w:drawing>
          <wp:inline distT="0" distB="0" distL="114300" distR="114300">
            <wp:extent cx="5480050" cy="3504565"/>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80050" cy="3504565"/>
                    </a:xfrm>
                    <a:prstGeom prst="rect">
                      <a:avLst/>
                    </a:prstGeom>
                    <a:noFill/>
                    <a:ln>
                      <a:noFill/>
                    </a:ln>
                  </pic:spPr>
                </pic:pic>
              </a:graphicData>
            </a:graphic>
          </wp:inline>
        </w:drawing>
      </w:r>
    </w:p>
    <w:p/>
    <w:p>
      <w:pPr>
        <w:pStyle w:val="2"/>
      </w:pPr>
      <w:r>
        <w:drawing>
          <wp:inline distT="0" distB="0" distL="114300" distR="114300">
            <wp:extent cx="5477510" cy="4275455"/>
            <wp:effectExtent l="0" t="0" r="889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77510" cy="4275455"/>
                    </a:xfrm>
                    <a:prstGeom prst="rect">
                      <a:avLst/>
                    </a:prstGeom>
                    <a:noFill/>
                    <a:ln>
                      <a:noFill/>
                    </a:ln>
                  </pic:spPr>
                </pic:pic>
              </a:graphicData>
            </a:graphic>
          </wp:inline>
        </w:drawing>
      </w:r>
    </w:p>
    <w:p/>
    <w:p>
      <w:r>
        <w:drawing>
          <wp:inline distT="0" distB="0" distL="114300" distR="114300">
            <wp:extent cx="5485130" cy="3762375"/>
            <wp:effectExtent l="0" t="0" r="127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85130" cy="3762375"/>
                    </a:xfrm>
                    <a:prstGeom prst="rect">
                      <a:avLst/>
                    </a:prstGeom>
                    <a:noFill/>
                    <a:ln>
                      <a:noFill/>
                    </a:ln>
                  </pic:spPr>
                </pic:pic>
              </a:graphicData>
            </a:graphic>
          </wp:inline>
        </w:drawing>
      </w:r>
    </w:p>
    <w:p>
      <w:pPr>
        <w:pStyle w:val="2"/>
      </w:pPr>
    </w:p>
    <w:p/>
    <w:p>
      <w:pPr>
        <w:pStyle w:val="2"/>
      </w:pPr>
    </w:p>
    <w:p>
      <w:r>
        <w:drawing>
          <wp:inline distT="0" distB="0" distL="114300" distR="114300">
            <wp:extent cx="5479415" cy="5438140"/>
            <wp:effectExtent l="0" t="0" r="6985"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79415" cy="5438140"/>
                    </a:xfrm>
                    <a:prstGeom prst="rect">
                      <a:avLst/>
                    </a:prstGeom>
                    <a:noFill/>
                    <a:ln>
                      <a:noFill/>
                    </a:ln>
                  </pic:spPr>
                </pic:pic>
              </a:graphicData>
            </a:graphic>
          </wp:inline>
        </w:drawing>
      </w:r>
    </w:p>
    <w:p>
      <w:pPr>
        <w:pStyle w:val="2"/>
      </w:pPr>
    </w:p>
    <w:p>
      <w:r>
        <w:drawing>
          <wp:inline distT="0" distB="0" distL="114300" distR="114300">
            <wp:extent cx="5481955" cy="469963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81955" cy="4699635"/>
                    </a:xfrm>
                    <a:prstGeom prst="rect">
                      <a:avLst/>
                    </a:prstGeom>
                    <a:noFill/>
                    <a:ln>
                      <a:noFill/>
                    </a:ln>
                  </pic:spPr>
                </pic:pic>
              </a:graphicData>
            </a:graphic>
          </wp:inline>
        </w:drawing>
      </w:r>
    </w:p>
    <w:p>
      <w:pPr>
        <w:pStyle w:val="2"/>
      </w:pPr>
    </w:p>
    <w:p/>
    <w:p>
      <w:r>
        <w:drawing>
          <wp:inline distT="0" distB="0" distL="114300" distR="114300">
            <wp:extent cx="5483860" cy="2135505"/>
            <wp:effectExtent l="0" t="0" r="2540" b="171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483860" cy="213550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r>
        <w:drawing>
          <wp:inline distT="0" distB="0" distL="114300" distR="114300">
            <wp:extent cx="5482590" cy="2439035"/>
            <wp:effectExtent l="0" t="0" r="3810"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482590" cy="2439035"/>
                    </a:xfrm>
                    <a:prstGeom prst="rect">
                      <a:avLst/>
                    </a:prstGeom>
                    <a:noFill/>
                    <a:ln>
                      <a:noFill/>
                    </a:ln>
                  </pic:spPr>
                </pic:pic>
              </a:graphicData>
            </a:graphic>
          </wp:inline>
        </w:drawing>
      </w:r>
    </w:p>
    <w:p/>
    <w:p>
      <w:pPr>
        <w:pStyle w:val="2"/>
      </w:pPr>
    </w:p>
    <w:p/>
    <w:p>
      <w:pPr>
        <w:pStyle w:val="2"/>
      </w:pPr>
    </w:p>
    <w:p/>
    <w:p>
      <w:pPr>
        <w:pStyle w:val="2"/>
      </w:pPr>
    </w:p>
    <w:p/>
    <w:p>
      <w:pPr>
        <w:pStyle w:val="2"/>
      </w:pPr>
    </w:p>
    <w:p>
      <w:bookmarkStart w:id="0" w:name="_GoBack"/>
      <w:bookmarkEnd w:id="0"/>
    </w:p>
    <w:p>
      <w:pPr>
        <w:pStyle w:val="2"/>
      </w:pPr>
      <w:r>
        <w:drawing>
          <wp:inline distT="0" distB="0" distL="114300" distR="114300">
            <wp:extent cx="5476240" cy="872490"/>
            <wp:effectExtent l="0" t="0" r="1016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76240" cy="87249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2"/>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
  <w:rsids>
    <w:rsidRoot w:val="00000000"/>
    <w:rsid w:val="00F23F5F"/>
    <w:rsid w:val="05055E6B"/>
    <w:rsid w:val="076F66B6"/>
    <w:rsid w:val="10522556"/>
    <w:rsid w:val="12386EF3"/>
    <w:rsid w:val="12673EBC"/>
    <w:rsid w:val="168E458F"/>
    <w:rsid w:val="1A155C76"/>
    <w:rsid w:val="219E0135"/>
    <w:rsid w:val="21CF3DA1"/>
    <w:rsid w:val="229220F8"/>
    <w:rsid w:val="22E27404"/>
    <w:rsid w:val="237422B9"/>
    <w:rsid w:val="244E2598"/>
    <w:rsid w:val="26567DF3"/>
    <w:rsid w:val="295F3E38"/>
    <w:rsid w:val="2A047E20"/>
    <w:rsid w:val="308C6234"/>
    <w:rsid w:val="316076A4"/>
    <w:rsid w:val="36412360"/>
    <w:rsid w:val="37F5325E"/>
    <w:rsid w:val="387F632A"/>
    <w:rsid w:val="3936386A"/>
    <w:rsid w:val="3BA55262"/>
    <w:rsid w:val="3C6F6075"/>
    <w:rsid w:val="43F30C30"/>
    <w:rsid w:val="48053939"/>
    <w:rsid w:val="49235EEE"/>
    <w:rsid w:val="4B3F0159"/>
    <w:rsid w:val="4E324158"/>
    <w:rsid w:val="50B72DA4"/>
    <w:rsid w:val="538C361F"/>
    <w:rsid w:val="54DE5722"/>
    <w:rsid w:val="56966899"/>
    <w:rsid w:val="57990E0C"/>
    <w:rsid w:val="5C636521"/>
    <w:rsid w:val="6B0D712F"/>
    <w:rsid w:val="6CEF570F"/>
    <w:rsid w:val="76511C14"/>
    <w:rsid w:val="771B0FB7"/>
    <w:rsid w:val="772E3E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23">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13</TotalTime>
  <ScaleCrop>false</ScaleCrop>
  <LinksUpToDate>false</LinksUpToDate>
  <Application>WPS Office_11.8.2.12118_F1E327BC-269C-435d-A152-05C5408002CA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2025-08-13T03:26:00Z</dcterms:created>
  <dc:creator>Lenovo</dc:creator>
  <cp:lastModifiedBy>Lenovo</cp:lastModifiedBy>
  <dcterms:modified xsi:type="dcterms:W3CDTF">2025-08-15T09:32:51Z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74483266F6234A2FB7F7F2883ADF9D85</vt:lpwstr>
  </property>
</Properties>
</file>