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eastAsia="宋体"/>
          <w:color w:val="auto"/>
          <w:sz w:val="32"/>
          <w:szCs w:val="32"/>
        </w:rPr>
      </w:pPr>
    </w:p>
    <w:p>
      <w:pPr>
        <w:widowControl/>
        <w:jc w:val="left"/>
        <w:rPr>
          <w:rFonts w:ascii="宋体" w:eastAsia="宋体"/>
          <w:color w:val="auto"/>
          <w:sz w:val="44"/>
          <w:szCs w:val="44"/>
        </w:rPr>
      </w:pPr>
    </w:p>
    <w:p>
      <w:pPr>
        <w:widowControl/>
        <w:jc w:val="left"/>
        <w:rPr>
          <w:rFonts w:ascii="宋体" w:eastAsia="宋体"/>
          <w:color w:val="auto"/>
          <w:sz w:val="44"/>
          <w:szCs w:val="44"/>
        </w:rPr>
      </w:pPr>
    </w:p>
    <w:p>
      <w:pPr>
        <w:widowControl/>
        <w:jc w:val="left"/>
        <w:rPr>
          <w:rFonts w:ascii="宋体" w:eastAsia="宋体"/>
          <w:color w:val="auto"/>
          <w:sz w:val="44"/>
          <w:szCs w:val="44"/>
        </w:rPr>
      </w:pPr>
    </w:p>
    <w:p>
      <w:pPr>
        <w:widowControl/>
        <w:jc w:val="center"/>
        <w:outlineLvl w:val="0"/>
        <w:rPr>
          <w:rFonts w:ascii="宋体" w:eastAsia="黑体"/>
          <w:color w:val="auto"/>
          <w:sz w:val="44"/>
          <w:szCs w:val="44"/>
        </w:rPr>
      </w:pPr>
      <w:r>
        <w:rPr>
          <w:rFonts w:ascii="宋体" w:eastAsia="黑体"/>
          <w:color w:val="auto"/>
          <w:sz w:val="44"/>
          <w:szCs w:val="44"/>
        </w:rPr>
        <w:t>库尔勒市园林绿化事务中心</w:t>
      </w:r>
    </w:p>
    <w:p>
      <w:pPr>
        <w:widowControl/>
        <w:jc w:val="center"/>
        <w:outlineLvl w:val="0"/>
        <w:rPr>
          <w:rFonts w:ascii="黑体" w:eastAsia="黑体"/>
          <w:color w:val="auto"/>
          <w:sz w:val="44"/>
          <w:szCs w:val="44"/>
        </w:rPr>
      </w:pPr>
      <w:r>
        <w:rPr>
          <w:rFonts w:ascii="黑体" w:eastAsia="黑体"/>
          <w:color w:val="auto"/>
          <w:sz w:val="44"/>
          <w:szCs w:val="44"/>
        </w:rPr>
        <w:t>2024年度部门决算公开说明</w:t>
      </w:r>
    </w:p>
    <w:p>
      <w:pPr>
        <w:widowControl/>
        <w:rPr>
          <w:color w:val="auto"/>
        </w:rPr>
      </w:pPr>
      <w:r>
        <w:rPr>
          <w:color w:val="auto"/>
          <w:sz w:val="0"/>
          <w:szCs w:val="0"/>
        </w:rPr>
        <w:br w:type="page"/>
      </w:r>
    </w:p>
    <w:p>
      <w:pPr>
        <w:widowControl/>
        <w:jc w:val="center"/>
        <w:rPr>
          <w:rFonts w:ascii="黑体" w:eastAsia="黑体"/>
          <w:color w:val="auto"/>
          <w:sz w:val="32"/>
          <w:szCs w:val="32"/>
        </w:rPr>
      </w:pPr>
      <w:r>
        <w:rPr>
          <w:rFonts w:ascii="黑体" w:eastAsia="黑体"/>
          <w:b/>
          <w:color w:val="auto"/>
          <w:sz w:val="32"/>
          <w:szCs w:val="32"/>
        </w:rPr>
        <w:t>目录</w:t>
      </w:r>
    </w:p>
    <w:p>
      <w:pPr>
        <w:widowControl/>
        <w:jc w:val="left"/>
        <w:rPr>
          <w:rFonts w:ascii="仿宋_GB2312" w:eastAsia="仿宋_GB2312"/>
          <w:color w:val="auto"/>
          <w:sz w:val="32"/>
          <w:szCs w:val="32"/>
        </w:rPr>
      </w:pPr>
      <w:r>
        <w:rPr>
          <w:rFonts w:ascii="仿宋_GB2312" w:eastAsia="仿宋_GB2312"/>
          <w:b/>
          <w:color w:val="auto"/>
          <w:sz w:val="32"/>
          <w:szCs w:val="32"/>
        </w:rPr>
        <w:t>第一部分单位概况</w:t>
      </w:r>
    </w:p>
    <w:p>
      <w:pPr>
        <w:widowControl/>
        <w:jc w:val="left"/>
        <w:rPr>
          <w:rFonts w:ascii="仿宋_GB2312" w:eastAsia="仿宋_GB2312"/>
          <w:color w:val="auto"/>
          <w:sz w:val="32"/>
          <w:szCs w:val="32"/>
        </w:rPr>
      </w:pPr>
      <w:r>
        <w:rPr>
          <w:rFonts w:ascii="仿宋_GB2312" w:eastAsia="仿宋_GB2312"/>
          <w:color w:val="auto"/>
          <w:sz w:val="32"/>
          <w:szCs w:val="32"/>
        </w:rPr>
        <w:t>一、主要职能</w:t>
      </w:r>
    </w:p>
    <w:p>
      <w:pPr>
        <w:widowControl/>
        <w:jc w:val="left"/>
        <w:rPr>
          <w:rFonts w:ascii="仿宋_GB2312" w:eastAsia="仿宋_GB2312"/>
          <w:color w:val="auto"/>
          <w:sz w:val="32"/>
          <w:szCs w:val="32"/>
        </w:rPr>
      </w:pPr>
      <w:r>
        <w:rPr>
          <w:rFonts w:ascii="仿宋_GB2312" w:eastAsia="仿宋_GB2312"/>
          <w:color w:val="auto"/>
          <w:sz w:val="32"/>
          <w:szCs w:val="32"/>
        </w:rPr>
        <w:t>二、机构设置及人员情况</w:t>
      </w:r>
    </w:p>
    <w:p>
      <w:pPr>
        <w:widowControl/>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jc w:val="left"/>
        <w:rPr>
          <w:rFonts w:ascii="仿宋_GB2312" w:eastAsia="仿宋_GB2312"/>
          <w:color w:val="auto"/>
          <w:sz w:val="32"/>
          <w:szCs w:val="32"/>
        </w:rPr>
      </w:pPr>
      <w:r>
        <w:rPr>
          <w:rFonts w:ascii="仿宋_GB2312" w:eastAsia="仿宋_GB2312"/>
          <w:color w:val="auto"/>
          <w:sz w:val="32"/>
          <w:szCs w:val="32"/>
        </w:rPr>
        <w:t>一、收入支出决算总体情况说明</w:t>
      </w:r>
    </w:p>
    <w:p>
      <w:pPr>
        <w:widowControl/>
        <w:jc w:val="left"/>
        <w:rPr>
          <w:rFonts w:ascii="仿宋_GB2312" w:eastAsia="仿宋_GB2312"/>
          <w:color w:val="auto"/>
          <w:sz w:val="32"/>
          <w:szCs w:val="32"/>
        </w:rPr>
      </w:pPr>
      <w:r>
        <w:rPr>
          <w:rFonts w:ascii="仿宋_GB2312" w:eastAsia="仿宋_GB2312"/>
          <w:color w:val="auto"/>
          <w:sz w:val="32"/>
          <w:szCs w:val="32"/>
        </w:rPr>
        <w:t>二、收入决算情况说明</w:t>
      </w:r>
    </w:p>
    <w:p>
      <w:pPr>
        <w:widowControl/>
        <w:jc w:val="left"/>
        <w:rPr>
          <w:rFonts w:ascii="仿宋_GB2312" w:eastAsia="仿宋_GB2312"/>
          <w:color w:val="auto"/>
          <w:sz w:val="32"/>
          <w:szCs w:val="32"/>
        </w:rPr>
      </w:pPr>
      <w:r>
        <w:rPr>
          <w:rFonts w:ascii="仿宋_GB2312" w:eastAsia="仿宋_GB2312"/>
          <w:color w:val="auto"/>
          <w:sz w:val="32"/>
          <w:szCs w:val="32"/>
        </w:rPr>
        <w:t>三、支出决算情况说明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四、财政拨款收入支出决算总体情况说明</w:t>
      </w:r>
    </w:p>
    <w:p>
      <w:pPr>
        <w:widowControl/>
        <w:jc w:val="left"/>
        <w:rPr>
          <w:rFonts w:ascii="仿宋_GB2312" w:eastAsia="仿宋_GB2312"/>
          <w:color w:val="auto"/>
          <w:sz w:val="32"/>
          <w:szCs w:val="32"/>
        </w:rPr>
      </w:pPr>
      <w:r>
        <w:rPr>
          <w:rFonts w:ascii="仿宋_GB2312" w:eastAsia="仿宋_GB2312"/>
          <w:color w:val="auto"/>
          <w:sz w:val="32"/>
          <w:szCs w:val="32"/>
        </w:rPr>
        <w:t>五、一般公共预算财政拨款支出决算情况说明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（一）一般公共预算财政拨款支出决算总体情况</w:t>
      </w:r>
    </w:p>
    <w:p>
      <w:pPr>
        <w:widowControl/>
        <w:jc w:val="left"/>
        <w:rPr>
          <w:rFonts w:ascii="仿宋_GB2312" w:eastAsia="仿宋_GB2312"/>
          <w:color w:val="auto"/>
          <w:sz w:val="32"/>
          <w:szCs w:val="32"/>
        </w:rPr>
      </w:pPr>
      <w:r>
        <w:rPr>
          <w:rFonts w:ascii="仿宋_GB2312" w:eastAsia="仿宋_GB2312"/>
          <w:color w:val="auto"/>
          <w:sz w:val="32"/>
          <w:szCs w:val="32"/>
        </w:rPr>
        <w:t>（二）一般公共预算财政拨款支出决算结构情况</w:t>
      </w:r>
    </w:p>
    <w:p>
      <w:pPr>
        <w:widowControl/>
        <w:jc w:val="left"/>
        <w:rPr>
          <w:rFonts w:ascii="仿宋_GB2312" w:eastAsia="仿宋_GB2312"/>
          <w:color w:val="auto"/>
          <w:sz w:val="32"/>
          <w:szCs w:val="32"/>
        </w:rPr>
      </w:pPr>
      <w:r>
        <w:rPr>
          <w:rFonts w:ascii="仿宋_GB2312" w:eastAsia="仿宋_GB2312"/>
          <w:color w:val="auto"/>
          <w:sz w:val="32"/>
          <w:szCs w:val="32"/>
        </w:rPr>
        <w:t>（三）一般公共预算财政拨款支出决算具体情况</w:t>
      </w:r>
    </w:p>
    <w:p>
      <w:pPr>
        <w:widowControl/>
        <w:jc w:val="left"/>
        <w:rPr>
          <w:rFonts w:ascii="仿宋_GB2312" w:eastAsia="仿宋_GB2312"/>
          <w:color w:val="auto"/>
          <w:sz w:val="32"/>
          <w:szCs w:val="32"/>
        </w:rPr>
      </w:pPr>
      <w:r>
        <w:rPr>
          <w:rFonts w:ascii="仿宋_GB2312" w:eastAsia="仿宋_GB2312"/>
          <w:color w:val="auto"/>
          <w:sz w:val="32"/>
          <w:szCs w:val="32"/>
        </w:rPr>
        <w:t>六、一般公共预算财政拨款基本支出决算情况说明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七、政府性基金预算财政拨款收入支出决算情况说明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八、国有资本经营预算财政拨款收入支出决算情况说明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九、财政拨款“三公”经费支出决算情况说明</w:t>
      </w:r>
    </w:p>
    <w:p>
      <w:pPr>
        <w:widowControl/>
        <w:jc w:val="left"/>
        <w:rPr>
          <w:rFonts w:ascii="仿宋_GB2312" w:eastAsia="仿宋_GB2312"/>
          <w:color w:val="auto"/>
          <w:sz w:val="32"/>
          <w:szCs w:val="32"/>
        </w:rPr>
      </w:pPr>
      <w:r>
        <w:rPr>
          <w:rFonts w:ascii="仿宋_GB2312" w:eastAsia="仿宋_GB2312"/>
          <w:color w:val="auto"/>
          <w:sz w:val="32"/>
          <w:szCs w:val="32"/>
        </w:rPr>
        <w:t>十、其他重要事项的情况说明</w:t>
      </w:r>
    </w:p>
    <w:p>
      <w:pPr>
        <w:widowControl/>
        <w:jc w:val="left"/>
        <w:rPr>
          <w:rFonts w:ascii="仿宋_GB2312" w:eastAsia="仿宋_GB2312"/>
          <w:color w:val="auto"/>
          <w:sz w:val="32"/>
          <w:szCs w:val="32"/>
        </w:rPr>
      </w:pPr>
      <w:r>
        <w:rPr>
          <w:rFonts w:ascii="仿宋_GB2312" w:eastAsia="仿宋_GB2312"/>
          <w:color w:val="auto"/>
          <w:sz w:val="32"/>
          <w:szCs w:val="32"/>
        </w:rPr>
        <w:t>（一）机关运行经费及公用经费支出情况</w:t>
      </w:r>
    </w:p>
    <w:p>
      <w:pPr>
        <w:widowControl/>
        <w:jc w:val="left"/>
        <w:rPr>
          <w:rFonts w:ascii="仿宋_GB2312" w:eastAsia="仿宋_GB2312"/>
          <w:color w:val="auto"/>
          <w:sz w:val="32"/>
          <w:szCs w:val="32"/>
        </w:rPr>
      </w:pPr>
      <w:r>
        <w:rPr>
          <w:rFonts w:ascii="仿宋_GB2312" w:eastAsia="仿宋_GB2312"/>
          <w:color w:val="auto"/>
          <w:sz w:val="32"/>
          <w:szCs w:val="32"/>
        </w:rPr>
        <w:t>（二）政府采购情况</w:t>
      </w:r>
    </w:p>
    <w:p>
      <w:pPr>
        <w:widowControl/>
        <w:jc w:val="left"/>
        <w:rPr>
          <w:rFonts w:ascii="仿宋_GB2312" w:eastAsia="仿宋_GB2312"/>
          <w:color w:val="auto"/>
          <w:sz w:val="32"/>
          <w:szCs w:val="32"/>
        </w:rPr>
      </w:pPr>
      <w:r>
        <w:rPr>
          <w:rFonts w:ascii="仿宋_GB2312" w:eastAsia="仿宋_GB2312"/>
          <w:color w:val="auto"/>
          <w:sz w:val="32"/>
          <w:szCs w:val="32"/>
        </w:rPr>
        <w:t>（三）国有资产占用情况说明</w:t>
      </w:r>
    </w:p>
    <w:p>
      <w:pPr>
        <w:widowControl/>
        <w:jc w:val="left"/>
        <w:rPr>
          <w:rFonts w:ascii="仿宋_GB2312" w:eastAsia="仿宋_GB2312"/>
          <w:color w:val="auto"/>
          <w:sz w:val="32"/>
          <w:szCs w:val="32"/>
        </w:rPr>
      </w:pPr>
      <w:r>
        <w:rPr>
          <w:rFonts w:ascii="仿宋_GB2312" w:eastAsia="仿宋_GB2312"/>
          <w:color w:val="auto"/>
          <w:sz w:val="32"/>
          <w:szCs w:val="32"/>
        </w:rPr>
        <w:t>十一、预算绩效的情况说明</w:t>
      </w:r>
    </w:p>
    <w:p>
      <w:pPr>
        <w:widowControl/>
        <w:jc w:val="left"/>
        <w:rPr>
          <w:rFonts w:ascii="仿宋_GB2312" w:eastAsia="仿宋_GB2312"/>
          <w:color w:val="auto"/>
          <w:sz w:val="32"/>
          <w:szCs w:val="32"/>
        </w:rPr>
      </w:pPr>
      <w:r>
        <w:rPr>
          <w:rFonts w:ascii="仿宋_GB2312" w:eastAsia="仿宋_GB2312"/>
          <w:color w:val="auto"/>
          <w:sz w:val="32"/>
          <w:szCs w:val="32"/>
        </w:rPr>
        <w:t>十二、其他需说明的事项</w:t>
      </w:r>
    </w:p>
    <w:p>
      <w:pPr>
        <w:widowControl/>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jc w:val="left"/>
        <w:rPr>
          <w:rFonts w:ascii="仿宋_GB2312" w:eastAsia="仿宋_GB2312"/>
          <w:color w:val="auto"/>
          <w:sz w:val="32"/>
          <w:szCs w:val="32"/>
        </w:rPr>
      </w:pPr>
      <w:r>
        <w:rPr>
          <w:rFonts w:ascii="仿宋_GB2312" w:eastAsia="仿宋_GB2312"/>
          <w:color w:val="auto"/>
          <w:sz w:val="32"/>
          <w:szCs w:val="32"/>
        </w:rPr>
        <w:t>一、《收入支出决算总表》</w:t>
      </w:r>
    </w:p>
    <w:p>
      <w:pPr>
        <w:widowControl/>
        <w:jc w:val="left"/>
        <w:rPr>
          <w:rFonts w:ascii="仿宋_GB2312" w:eastAsia="仿宋_GB2312"/>
          <w:color w:val="auto"/>
          <w:sz w:val="32"/>
          <w:szCs w:val="32"/>
        </w:rPr>
      </w:pPr>
      <w:r>
        <w:rPr>
          <w:rFonts w:ascii="仿宋_GB2312" w:eastAsia="仿宋_GB2312"/>
          <w:color w:val="auto"/>
          <w:sz w:val="32"/>
          <w:szCs w:val="32"/>
        </w:rPr>
        <w:t>二、《收入决算表》</w:t>
      </w:r>
    </w:p>
    <w:p>
      <w:pPr>
        <w:widowControl/>
        <w:jc w:val="left"/>
        <w:rPr>
          <w:rFonts w:ascii="仿宋_GB2312" w:eastAsia="仿宋_GB2312"/>
          <w:color w:val="auto"/>
          <w:sz w:val="32"/>
          <w:szCs w:val="32"/>
        </w:rPr>
      </w:pPr>
      <w:r>
        <w:rPr>
          <w:rFonts w:ascii="仿宋_GB2312" w:eastAsia="仿宋_GB2312"/>
          <w:color w:val="auto"/>
          <w:sz w:val="32"/>
          <w:szCs w:val="32"/>
        </w:rPr>
        <w:t>三、《支出决算表》</w:t>
      </w:r>
    </w:p>
    <w:p>
      <w:pPr>
        <w:widowControl/>
        <w:jc w:val="left"/>
        <w:rPr>
          <w:rFonts w:ascii="仿宋_GB2312" w:eastAsia="仿宋_GB2312"/>
          <w:color w:val="auto"/>
          <w:sz w:val="32"/>
          <w:szCs w:val="32"/>
        </w:rPr>
      </w:pPr>
      <w:r>
        <w:rPr>
          <w:rFonts w:ascii="仿宋_GB2312" w:eastAsia="仿宋_GB2312"/>
          <w:color w:val="auto"/>
          <w:sz w:val="32"/>
          <w:szCs w:val="32"/>
        </w:rPr>
        <w:t>四、《财政拨款收入支出决算总表》</w:t>
      </w:r>
    </w:p>
    <w:p>
      <w:pPr>
        <w:widowControl/>
        <w:jc w:val="left"/>
        <w:rPr>
          <w:rFonts w:ascii="仿宋_GB2312" w:eastAsia="仿宋_GB2312"/>
          <w:color w:val="auto"/>
          <w:sz w:val="32"/>
          <w:szCs w:val="32"/>
        </w:rPr>
      </w:pPr>
      <w:r>
        <w:rPr>
          <w:rFonts w:ascii="仿宋_GB2312" w:eastAsia="仿宋_GB2312"/>
          <w:color w:val="auto"/>
          <w:sz w:val="32"/>
          <w:szCs w:val="32"/>
        </w:rPr>
        <w:t>五、《一般公共预算财政拨款支出决算表》</w:t>
      </w:r>
    </w:p>
    <w:p>
      <w:pPr>
        <w:widowControl/>
        <w:jc w:val="left"/>
        <w:rPr>
          <w:rFonts w:ascii="仿宋_GB2312" w:eastAsia="仿宋_GB2312"/>
          <w:color w:val="auto"/>
          <w:sz w:val="32"/>
          <w:szCs w:val="32"/>
        </w:rPr>
      </w:pPr>
      <w:r>
        <w:rPr>
          <w:rFonts w:ascii="仿宋_GB2312" w:eastAsia="仿宋_GB2312"/>
          <w:color w:val="auto"/>
          <w:sz w:val="32"/>
          <w:szCs w:val="32"/>
        </w:rPr>
        <w:t>六、《一般公共预算财政拨款基本支出决算表》</w:t>
      </w:r>
    </w:p>
    <w:p>
      <w:pPr>
        <w:widowControl/>
        <w:jc w:val="left"/>
        <w:rPr>
          <w:rFonts w:ascii="仿宋_GB2312" w:eastAsia="仿宋_GB2312"/>
          <w:color w:val="auto"/>
          <w:sz w:val="32"/>
          <w:szCs w:val="32"/>
        </w:rPr>
      </w:pPr>
      <w:r>
        <w:rPr>
          <w:rFonts w:ascii="仿宋_GB2312" w:eastAsia="仿宋_GB2312"/>
          <w:color w:val="auto"/>
          <w:sz w:val="32"/>
          <w:szCs w:val="32"/>
        </w:rPr>
        <w:t>七、《政府性基金预算财政拨款收入支出决算表》</w:t>
      </w:r>
    </w:p>
    <w:p>
      <w:pPr>
        <w:widowControl/>
        <w:jc w:val="left"/>
        <w:rPr>
          <w:rFonts w:ascii="仿宋_GB2312" w:eastAsia="仿宋_GB2312"/>
          <w:color w:val="auto"/>
          <w:sz w:val="32"/>
          <w:szCs w:val="32"/>
        </w:rPr>
      </w:pPr>
      <w:r>
        <w:rPr>
          <w:rFonts w:ascii="仿宋_GB2312" w:eastAsia="仿宋_GB2312"/>
          <w:color w:val="auto"/>
          <w:sz w:val="32"/>
          <w:szCs w:val="32"/>
        </w:rPr>
        <w:t>八、《国有资本经营预算财政拨款收入支出决算表》</w:t>
      </w:r>
    </w:p>
    <w:p>
      <w:pPr>
        <w:widowControl/>
        <w:jc w:val="left"/>
        <w:rPr>
          <w:rFonts w:ascii="仿宋_GB2312" w:eastAsia="仿宋_GB2312"/>
          <w:color w:val="auto"/>
          <w:sz w:val="32"/>
          <w:szCs w:val="32"/>
        </w:rPr>
      </w:pPr>
      <w:r>
        <w:rPr>
          <w:rFonts w:ascii="仿宋_GB2312" w:eastAsia="仿宋_GB2312"/>
          <w:color w:val="auto"/>
          <w:sz w:val="32"/>
          <w:szCs w:val="32"/>
        </w:rPr>
        <w:t>九、《财政拨款“三公”经费支出决算表》</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第一部分单位概况</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一、主要职能</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管理园林绿地，美化城市环境。城市园林绿地系统规划、城市园林绿地建设、城市园林绿地管理与维护、城市园林绿化工程设计,提高库尔勒市园林绿化管理水平和巩固绿化成果，在先绿后美的基础上进一步提高绿化档次，保证我市生态环境良好，大风扬沙天气减少3-5天，让市民满意度达到85%以上。</w:t>
      </w:r>
    </w:p>
    <w:p>
      <w:pPr>
        <w:widowControl/>
        <w:ind w:firstLine="640" w:firstLineChars="200"/>
        <w:rPr>
          <w:rFonts w:ascii="仿宋_GB2312" w:eastAsia="仿宋_GB2312"/>
          <w:color w:val="auto"/>
          <w:sz w:val="32"/>
          <w:szCs w:val="32"/>
        </w:rPr>
      </w:pP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二、机构设置及人员情况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库尔勒市园林绿化事务中心2024年度，实有人数356人，其中：在职人员210人，减少6人；离休人员0人，较上年无变化；退休人员146人，增加5人。</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库尔勒市园林绿化事务中心无下属预算单位，下设</w:t>
      </w:r>
      <w:r>
        <w:rPr>
          <w:rFonts w:hint="eastAsia" w:ascii="仿宋_GB2312" w:eastAsia="仿宋_GB2312"/>
          <w:color w:val="auto"/>
          <w:sz w:val="32"/>
          <w:szCs w:val="32"/>
        </w:rPr>
        <w:t>3 5</w:t>
      </w:r>
      <w:r>
        <w:rPr>
          <w:rFonts w:ascii="仿宋_GB2312" w:eastAsia="仿宋_GB2312"/>
          <w:color w:val="auto"/>
          <w:sz w:val="32"/>
          <w:szCs w:val="32"/>
        </w:rPr>
        <w:t>个</w:t>
      </w:r>
      <w:r>
        <w:rPr>
          <w:rFonts w:hint="eastAsia" w:ascii="仿宋_GB2312" w:hAnsi="黑体" w:eastAsia="仿宋_GB2312" w:cs="宋体"/>
          <w:bCs/>
          <w:color w:val="auto"/>
          <w:sz w:val="32"/>
          <w:szCs w:val="32"/>
        </w:rPr>
        <w:t>处室</w:t>
      </w:r>
      <w:r>
        <w:rPr>
          <w:rFonts w:ascii="仿宋_GB2312" w:eastAsia="仿宋_GB2312"/>
          <w:color w:val="auto"/>
          <w:sz w:val="32"/>
          <w:szCs w:val="32"/>
        </w:rPr>
        <w:t>，分别是：</w:t>
      </w:r>
      <w:r>
        <w:rPr>
          <w:rFonts w:hint="eastAsia" w:ascii="仿宋_GB2312" w:hAnsi="宋体" w:eastAsia="仿宋_GB2312" w:cs="宋体"/>
          <w:color w:val="auto"/>
          <w:sz w:val="32"/>
          <w:szCs w:val="32"/>
        </w:rPr>
        <w:t>行办、工会、财务科、劳资科、纪检监察室、督导组、技术科、监察队、庭院科、维修队、设计室、植保站、项目办、绿化一队、绿化二队一片区、绿化二队二片区、绿化三队、绿化四队、绿化五队、绿化六队、绿化七队、绿化八队、天鹅河绿化队、鸿雁河绿化队、民生广场、石化广场、拥军广场、人民广场、龙山公园、孔雀公园、杜鹃河湿地公园、200亩苗圃、机场路花圃、天鹅河景区、上库工业园区。</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第二部分部门决算情况说明</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一、收入支出决算总体情况说明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2024年度收入总计12,624.12万元，其中：本年收入合计12,624.12万元，使用非财政拨款结余（含专用结余）0.00万元，年初结转和结余0.00万元。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2024年度支出总计12,624.12万元，其中：本年支出合计12,624.12万元，结余分配0.00万元，年末结转和结余0.00万元。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收入支出总体与上年相比，减少1,502.65万元，下降10.64%，主要原因是：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二、收入决算情况说明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年收入12,624.12万元，其中：财政拨款收入12,489.32万元,占98.93%；上级补助收入0.00万元,占0.00%；事业收入0.00万元，占0.00%；经营收入0.00万元,占0.00%；附属单位上缴收入0.00万元，占0.00%；其他收入134.80万元，占1.07%。</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三、支出决算情况说明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本年支出12,624.12万元，其中：基本支出3,575.38万元，占28.32%；项目支出9,048.74万元，占71.68%；上缴上级支出0.00万元，占0.00%；经营支出0.00万元，占0.00%；对附属单位补助支出0.00万元，占0.00%。</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四、财政拨款收入支出决算总体情况说明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财政拨款收入总计12,489.32万元，其中：年初财政拨款结转和结余0.00万元，本年财政拨款收入12,489.32万元。财政拨款支出总计12,489.32万元，其中：年末财政拨款结转和结余0.00万元，本年财政拨款支出12,489.32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财政拨款收入支出总体与上年相比，减少1,540.75万元，下降10.98%，主要原因是：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。与年初预算相比，年初预算数14,564.58万元，决算数12,489.32万元，预决算差异率-14.25%，主要原因是：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五、一般公共预算财政拨款支出决算情况说明</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2024年度一般公共预算财政拨款支出6,694.45万元，占本年支出合计的53.03%。与上年相比，减少859.21万元，下降11.37%，主要原因是：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。与年初预算相比，年初预算数4,605.30万元，决算数6,694.45万元，预决算差异率45.36%，主要原因是：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年我单位部分工程项目因手续不全，未完成支付</w:t>
      </w:r>
      <w:r>
        <w:rPr>
          <w:rFonts w:hint="eastAsia" w:ascii="仿宋_GB2312" w:eastAsia="仿宋_GB2312"/>
          <w:color w:val="auto"/>
          <w:sz w:val="32"/>
          <w:szCs w:val="32"/>
          <w:lang w:val="en-US" w:eastAsia="zh-CN"/>
        </w:rPr>
        <w:t>；</w:t>
      </w:r>
      <w:r>
        <w:rPr>
          <w:rFonts w:ascii="仿宋_GB2312" w:eastAsia="仿宋_GB2312"/>
          <w:color w:val="auto"/>
          <w:sz w:val="32"/>
          <w:szCs w:val="32"/>
        </w:rPr>
        <w:t>在职人员</w:t>
      </w:r>
      <w:r>
        <w:rPr>
          <w:rFonts w:hint="eastAsia" w:ascii="仿宋_GB2312" w:eastAsia="仿宋_GB2312"/>
          <w:color w:val="auto"/>
          <w:sz w:val="32"/>
          <w:szCs w:val="32"/>
          <w:lang w:eastAsia="zh-CN"/>
        </w:rPr>
        <w:t>转退休</w:t>
      </w:r>
      <w:r>
        <w:rPr>
          <w:rFonts w:ascii="仿宋_GB2312" w:eastAsia="仿宋_GB2312"/>
          <w:color w:val="auto"/>
          <w:sz w:val="32"/>
          <w:szCs w:val="32"/>
        </w:rPr>
        <w:t>6人</w:t>
      </w:r>
      <w:r>
        <w:rPr>
          <w:rFonts w:hint="eastAsia" w:ascii="仿宋_GB2312" w:eastAsia="仿宋_GB2312"/>
          <w:color w:val="auto"/>
          <w:sz w:val="32"/>
          <w:szCs w:val="32"/>
          <w:lang w:eastAsia="zh-CN"/>
        </w:rPr>
        <w:t>，</w:t>
      </w:r>
      <w:r>
        <w:rPr>
          <w:rFonts w:hint="eastAsia" w:ascii="仿宋_GB2312" w:eastAsia="仿宋_GB2312"/>
          <w:color w:val="auto"/>
          <w:sz w:val="32"/>
          <w:szCs w:val="32"/>
        </w:rPr>
        <w:t>因此导致较上年减少</w:t>
      </w:r>
      <w:r>
        <w:rPr>
          <w:rFonts w:ascii="仿宋_GB2312" w:eastAsia="仿宋_GB2312"/>
          <w:color w:val="auto"/>
          <w:sz w:val="32"/>
          <w:szCs w:val="32"/>
        </w:rPr>
        <w:t>。</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一般公共服务支出（类）16.77万元，占0.25%。</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教育支出（类）8.34万元，占0.12%。</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社会保障和就业支出（类）520.38万元，占7.77%。</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卫生健康支出（类）169.91万元，占2.54%。</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城乡社区支出（类）5,701.48万元，占85.17%。</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住房保障支出（类）277.57万元，占4.15%。</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一般公共服务支出（类）纪检监察事务（款）其他纪检监察事务支出（项）：支出决算数为1.00万元，比上年决算增加1.00万元，增长100.00%，主要原因是：</w:t>
      </w:r>
      <w:r>
        <w:rPr>
          <w:rFonts w:hint="eastAsia" w:ascii="仿宋_GB2312" w:eastAsia="仿宋_GB2312"/>
          <w:color w:val="auto"/>
          <w:sz w:val="32"/>
          <w:szCs w:val="32"/>
          <w:lang w:val="en-US" w:eastAsia="zh-CN"/>
        </w:rPr>
        <w:t>2024年根据上级纪委专项资金安排，用于劳动公园河北红色润疆工程改造提升，因此</w:t>
      </w:r>
      <w:r>
        <w:rPr>
          <w:rFonts w:ascii="仿宋_GB2312" w:eastAsia="仿宋_GB2312"/>
          <w:color w:val="auto"/>
          <w:sz w:val="32"/>
          <w:szCs w:val="32"/>
        </w:rPr>
        <w:t>其他纪检监察事务支出</w:t>
      </w:r>
      <w:r>
        <w:rPr>
          <w:rFonts w:hint="eastAsia" w:ascii="仿宋_GB2312" w:eastAsia="仿宋_GB2312"/>
          <w:color w:val="auto"/>
          <w:sz w:val="32"/>
          <w:szCs w:val="32"/>
          <w:lang w:eastAsia="zh-CN"/>
        </w:rPr>
        <w:t>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一般公共服务支出（类）组织事务（款）其他组织事务支出（项）：支出决算数为15.77万元，比上年决算增加15.77万元，增长100.00%，主要原因是：</w:t>
      </w:r>
      <w:r>
        <w:rPr>
          <w:rFonts w:hint="eastAsia" w:ascii="仿宋_GB2312" w:eastAsia="仿宋_GB2312"/>
          <w:color w:val="auto"/>
          <w:sz w:val="32"/>
          <w:szCs w:val="32"/>
          <w:lang w:eastAsia="zh-CN"/>
        </w:rPr>
        <w:t>工作队开展各类为民服务活动手续齐全、支付力度大。</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教育支出（类）进修及培训（款）培训支出（项）：支出决算数为8.34万元，比上年决算增加7.56万元，增长969.23%，主要原因是：</w:t>
      </w:r>
      <w:r>
        <w:rPr>
          <w:rFonts w:hint="eastAsia" w:ascii="仿宋_GB2312" w:eastAsia="仿宋_GB2312"/>
          <w:color w:val="auto"/>
          <w:sz w:val="32"/>
          <w:szCs w:val="32"/>
          <w:lang w:eastAsia="zh-CN"/>
        </w:rPr>
        <w:t>年终做科目调剂将培训支出用于办公费支出。</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社会保障和就业支出（类）行政事业单位养老支出（款）事业单位离退休（项）：支出决算数为102.22万元，比上年决算减少6.93万元，下降6.35%，主要原因是：</w:t>
      </w:r>
      <w:r>
        <w:rPr>
          <w:rFonts w:hint="eastAsia" w:ascii="仿宋_GB2312" w:eastAsia="仿宋_GB2312"/>
          <w:color w:val="auto"/>
          <w:sz w:val="32"/>
          <w:szCs w:val="32"/>
          <w:lang w:val="en-US" w:eastAsia="zh-CN"/>
        </w:rPr>
        <w:t>1名退休干部因违纪违法按上级要求暂停工资发放。</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社会保障和就业支出（类）行政事业单位养老支出（款）机关事业单位基本养老保险缴费支出（项）：支出决算数为366.12万元，比上年决算增加1.27万元，增长0.35%，主要原因是：</w:t>
      </w:r>
      <w:r>
        <w:rPr>
          <w:rFonts w:hint="eastAsia" w:ascii="仿宋_GB2312" w:eastAsia="仿宋_GB2312"/>
          <w:color w:val="auto"/>
          <w:sz w:val="32"/>
          <w:szCs w:val="32"/>
          <w:lang w:eastAsia="zh-CN"/>
        </w:rPr>
        <w:t>人员工资基数上调，因此</w:t>
      </w:r>
      <w:r>
        <w:rPr>
          <w:rFonts w:ascii="仿宋_GB2312" w:eastAsia="仿宋_GB2312"/>
          <w:color w:val="auto"/>
          <w:sz w:val="32"/>
          <w:szCs w:val="32"/>
        </w:rPr>
        <w:t>机关事业单位基本养老保险缴费支出</w:t>
      </w:r>
      <w:r>
        <w:rPr>
          <w:rFonts w:hint="eastAsia" w:ascii="仿宋_GB2312" w:eastAsia="仿宋_GB2312"/>
          <w:color w:val="auto"/>
          <w:sz w:val="32"/>
          <w:szCs w:val="32"/>
          <w:lang w:eastAsia="zh-CN"/>
        </w:rPr>
        <w:t>较上年增加。</w:t>
      </w:r>
    </w:p>
    <w:p>
      <w:pPr>
        <w:widowControl/>
        <w:ind w:firstLine="640" w:firstLineChars="200"/>
        <w:rPr>
          <w:rFonts w:hint="default" w:ascii="仿宋_GB2312" w:eastAsia="仿宋_GB2312"/>
          <w:color w:val="auto"/>
          <w:sz w:val="32"/>
          <w:szCs w:val="32"/>
          <w:lang w:val="en-US"/>
        </w:rPr>
      </w:pPr>
      <w:r>
        <w:rPr>
          <w:rFonts w:ascii="仿宋_GB2312" w:eastAsia="仿宋_GB2312"/>
          <w:color w:val="auto"/>
          <w:sz w:val="32"/>
          <w:szCs w:val="32"/>
        </w:rPr>
        <w:t>社会保障和就业支出（类）行政事业单位养老支出（款）机关事业单位职业年金缴费支出（项）：支出决算数为52.04万元，比上年决算增加20.19万元，增长63.39%，主要原因是：</w:t>
      </w:r>
      <w:r>
        <w:rPr>
          <w:rFonts w:hint="eastAsia" w:ascii="仿宋_GB2312" w:eastAsia="仿宋_GB2312"/>
          <w:color w:val="auto"/>
          <w:sz w:val="32"/>
          <w:szCs w:val="32"/>
          <w:lang w:eastAsia="zh-CN"/>
        </w:rPr>
        <w:t>在职转退休</w:t>
      </w:r>
      <w:r>
        <w:rPr>
          <w:rFonts w:hint="eastAsia" w:ascii="仿宋_GB2312" w:eastAsia="仿宋_GB2312"/>
          <w:color w:val="auto"/>
          <w:sz w:val="32"/>
          <w:szCs w:val="32"/>
          <w:lang w:val="en-US" w:eastAsia="zh-CN"/>
        </w:rPr>
        <w:t>6人，因此</w:t>
      </w:r>
      <w:r>
        <w:rPr>
          <w:rFonts w:ascii="仿宋_GB2312" w:eastAsia="仿宋_GB2312"/>
          <w:color w:val="auto"/>
          <w:sz w:val="32"/>
          <w:szCs w:val="32"/>
        </w:rPr>
        <w:t>机关事业单位职业年金缴费支出</w:t>
      </w:r>
      <w:r>
        <w:rPr>
          <w:rFonts w:hint="eastAsia" w:ascii="仿宋_GB2312" w:eastAsia="仿宋_GB2312"/>
          <w:color w:val="auto"/>
          <w:sz w:val="32"/>
          <w:szCs w:val="32"/>
          <w:lang w:val="en-US" w:eastAsia="zh-CN"/>
        </w:rPr>
        <w:t>增加。</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社会保障和就业支出（类）就业补助（款）公益性岗位补贴（项）：支出决算数为0.00万元，比上年决算减少1,533.90万元，下降100.00%，主要原因是：</w:t>
      </w:r>
      <w:r>
        <w:rPr>
          <w:rFonts w:hint="eastAsia" w:ascii="仿宋_GB2312" w:eastAsia="仿宋_GB2312"/>
          <w:color w:val="auto"/>
          <w:sz w:val="32"/>
          <w:szCs w:val="32"/>
          <w:lang w:val="en-US" w:eastAsia="zh-CN"/>
        </w:rPr>
        <w:t>2024年因单位改制，将</w:t>
      </w:r>
      <w:r>
        <w:rPr>
          <w:rFonts w:ascii="仿宋_GB2312" w:eastAsia="仿宋_GB2312"/>
          <w:color w:val="auto"/>
          <w:sz w:val="32"/>
          <w:szCs w:val="32"/>
        </w:rPr>
        <w:t>公益性岗位补贴</w:t>
      </w:r>
      <w:r>
        <w:rPr>
          <w:rFonts w:hint="eastAsia" w:ascii="仿宋_GB2312" w:eastAsia="仿宋_GB2312"/>
          <w:color w:val="auto"/>
          <w:sz w:val="32"/>
          <w:szCs w:val="32"/>
          <w:lang w:eastAsia="zh-CN"/>
        </w:rPr>
        <w:t>项更改为政府购买服务中的劳务费支出。</w:t>
      </w:r>
    </w:p>
    <w:p>
      <w:pPr>
        <w:widowControl/>
        <w:ind w:firstLine="640" w:firstLineChars="200"/>
        <w:rPr>
          <w:rFonts w:hint="default" w:ascii="仿宋_GB2312" w:eastAsia="仿宋_GB2312"/>
          <w:color w:val="auto"/>
          <w:sz w:val="32"/>
          <w:szCs w:val="32"/>
          <w:lang w:val="en-US" w:eastAsia="zh-CN"/>
        </w:rPr>
      </w:pPr>
      <w:r>
        <w:rPr>
          <w:rFonts w:ascii="仿宋_GB2312" w:eastAsia="仿宋_GB2312"/>
          <w:color w:val="auto"/>
          <w:sz w:val="32"/>
          <w:szCs w:val="32"/>
        </w:rPr>
        <w:t>卫生健康支出（类）公共卫生（款）突发公共卫生事件应急处置（项）：支出决算数为0.00万元，比上年决算减少130.12万元，下降100.00%，主要原因是：</w:t>
      </w:r>
      <w:r>
        <w:rPr>
          <w:rFonts w:hint="eastAsia" w:ascii="仿宋_GB2312" w:eastAsia="仿宋_GB2312"/>
          <w:color w:val="auto"/>
          <w:sz w:val="32"/>
          <w:szCs w:val="32"/>
          <w:lang w:val="en-US" w:eastAsia="zh-CN"/>
        </w:rPr>
        <w:t>2024年较上年无疫情期间产生的费用，因此未做支付。</w:t>
      </w:r>
    </w:p>
    <w:p>
      <w:pPr>
        <w:widowControl/>
        <w:ind w:firstLine="640" w:firstLineChars="200"/>
        <w:rPr>
          <w:rFonts w:hint="eastAsia" w:ascii="仿宋_GB2312" w:eastAsia="仿宋_GB2312"/>
          <w:color w:val="auto"/>
          <w:sz w:val="32"/>
          <w:szCs w:val="32"/>
          <w:lang w:val="en-US" w:eastAsia="zh-CN"/>
        </w:rPr>
      </w:pPr>
      <w:r>
        <w:rPr>
          <w:rFonts w:ascii="仿宋_GB2312" w:eastAsia="仿宋_GB2312"/>
          <w:color w:val="auto"/>
          <w:sz w:val="32"/>
          <w:szCs w:val="32"/>
        </w:rPr>
        <w:t>卫生健康支出（类）行政事业单位医疗（款）事业单位医疗（项）：支出决算数为169.91万元，比上年决算减少61.94万元，下降26.72%，主要原因是：</w:t>
      </w:r>
      <w:r>
        <w:rPr>
          <w:rFonts w:hint="eastAsia" w:ascii="仿宋_GB2312" w:eastAsia="仿宋_GB2312"/>
          <w:color w:val="auto"/>
          <w:sz w:val="32"/>
          <w:szCs w:val="32"/>
          <w:lang w:eastAsia="zh-CN"/>
        </w:rPr>
        <w:t>按照上级要求</w:t>
      </w:r>
      <w:r>
        <w:rPr>
          <w:rFonts w:hint="eastAsia" w:ascii="仿宋_GB2312" w:eastAsia="仿宋_GB2312"/>
          <w:color w:val="auto"/>
          <w:sz w:val="32"/>
          <w:szCs w:val="32"/>
          <w:lang w:val="en-US" w:eastAsia="zh-CN"/>
        </w:rPr>
        <w:t>2024年退休人员不再缴纳医疗保险，因此</w:t>
      </w:r>
      <w:r>
        <w:rPr>
          <w:rFonts w:ascii="仿宋_GB2312" w:eastAsia="仿宋_GB2312"/>
          <w:color w:val="auto"/>
          <w:sz w:val="32"/>
          <w:szCs w:val="32"/>
        </w:rPr>
        <w:t>事业单位医疗</w:t>
      </w:r>
      <w:r>
        <w:rPr>
          <w:rFonts w:hint="eastAsia" w:ascii="仿宋_GB2312" w:eastAsia="仿宋_GB2312"/>
          <w:color w:val="auto"/>
          <w:sz w:val="32"/>
          <w:szCs w:val="32"/>
          <w:lang w:eastAsia="zh-CN"/>
        </w:rPr>
        <w:t>较上年减少。</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城乡社区支出（类）城乡社区管理事务（款）其他城乡社区管理事务支出（项）：支出决算数为2,659.25万元，比上年决算减少144.84万元，下降5.17%，主要原因是：</w:t>
      </w:r>
      <w:r>
        <w:rPr>
          <w:rFonts w:hint="eastAsia" w:ascii="仿宋_GB2312" w:eastAsia="仿宋_GB2312"/>
          <w:color w:val="auto"/>
          <w:sz w:val="32"/>
          <w:szCs w:val="32"/>
          <w:lang w:eastAsia="zh-CN"/>
        </w:rPr>
        <w:t>在职转退休</w:t>
      </w:r>
      <w:r>
        <w:rPr>
          <w:rFonts w:hint="eastAsia" w:ascii="仿宋_GB2312" w:eastAsia="仿宋_GB2312"/>
          <w:color w:val="auto"/>
          <w:sz w:val="32"/>
          <w:szCs w:val="32"/>
          <w:lang w:val="en-US" w:eastAsia="zh-CN"/>
        </w:rPr>
        <w:t>6人，同时厉行节约压缩办公费开支，因此</w:t>
      </w:r>
      <w:r>
        <w:rPr>
          <w:rFonts w:ascii="仿宋_GB2312" w:eastAsia="仿宋_GB2312"/>
          <w:color w:val="auto"/>
          <w:sz w:val="32"/>
          <w:szCs w:val="32"/>
        </w:rPr>
        <w:t>其他城乡社区管理事务支出</w:t>
      </w:r>
      <w:r>
        <w:rPr>
          <w:rFonts w:hint="eastAsia" w:ascii="仿宋_GB2312" w:eastAsia="仿宋_GB2312"/>
          <w:color w:val="auto"/>
          <w:sz w:val="32"/>
          <w:szCs w:val="32"/>
          <w:lang w:eastAsia="zh-CN"/>
        </w:rPr>
        <w:t>较上年减少。</w:t>
      </w:r>
    </w:p>
    <w:p>
      <w:pPr>
        <w:widowControl/>
        <w:ind w:firstLine="640" w:firstLineChars="200"/>
        <w:rPr>
          <w:rFonts w:hint="eastAsia" w:ascii="仿宋_GB2312" w:eastAsia="仿宋_GB2312"/>
          <w:color w:val="FF0000"/>
          <w:sz w:val="32"/>
          <w:szCs w:val="32"/>
          <w:lang w:val="en-US" w:eastAsia="zh-CN"/>
        </w:rPr>
      </w:pPr>
      <w:r>
        <w:rPr>
          <w:rFonts w:ascii="仿宋_GB2312" w:eastAsia="仿宋_GB2312"/>
          <w:color w:val="auto"/>
          <w:sz w:val="32"/>
          <w:szCs w:val="32"/>
        </w:rPr>
        <w:t>城乡社区支出（类）城乡社区环境卫生（款）城乡社区环境卫生（项）：支出决算数为3,042.23万元，比上年决算增加953.74万元，增长45.67%，主要原因是：</w:t>
      </w:r>
      <w:r>
        <w:rPr>
          <w:rFonts w:hint="eastAsia" w:ascii="仿宋_GB2312" w:eastAsia="仿宋_GB2312"/>
          <w:color w:val="auto"/>
          <w:sz w:val="32"/>
          <w:szCs w:val="32"/>
          <w:lang w:val="en-US" w:eastAsia="zh-CN"/>
        </w:rPr>
        <w:t>2024年以资抵债项目增加，创建国家生态园林城市项目、苗木费等均从</w:t>
      </w:r>
      <w:r>
        <w:rPr>
          <w:rFonts w:ascii="仿宋_GB2312" w:eastAsia="仿宋_GB2312"/>
          <w:color w:val="auto"/>
          <w:sz w:val="32"/>
          <w:szCs w:val="32"/>
        </w:rPr>
        <w:t>城乡社区环境卫生</w:t>
      </w:r>
      <w:r>
        <w:rPr>
          <w:rFonts w:hint="eastAsia" w:ascii="仿宋_GB2312" w:eastAsia="仿宋_GB2312"/>
          <w:color w:val="auto"/>
          <w:sz w:val="32"/>
          <w:szCs w:val="32"/>
          <w:lang w:eastAsia="zh-CN"/>
        </w:rPr>
        <w:t>项支出，因此</w:t>
      </w:r>
      <w:r>
        <w:rPr>
          <w:rFonts w:hint="eastAsia" w:ascii="仿宋_GB2312" w:eastAsia="仿宋_GB2312"/>
          <w:color w:val="auto"/>
          <w:sz w:val="32"/>
          <w:szCs w:val="32"/>
          <w:lang w:val="en-US" w:eastAsia="zh-CN"/>
        </w:rPr>
        <w:t>2024年</w:t>
      </w:r>
      <w:r>
        <w:rPr>
          <w:rFonts w:ascii="仿宋_GB2312" w:eastAsia="仿宋_GB2312"/>
          <w:color w:val="auto"/>
          <w:sz w:val="32"/>
          <w:szCs w:val="32"/>
        </w:rPr>
        <w:t>城乡社区环境卫生</w:t>
      </w:r>
      <w:r>
        <w:rPr>
          <w:rFonts w:hint="eastAsia" w:ascii="仿宋_GB2312" w:eastAsia="仿宋_GB2312"/>
          <w:color w:val="auto"/>
          <w:sz w:val="32"/>
          <w:szCs w:val="32"/>
          <w:lang w:eastAsia="zh-CN"/>
        </w:rPr>
        <w:t>支出较上年增加。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住房保障支出（类）住房改革支出（款）住房公积金（项）：支出决算数为277.57万元，比上年决算增加19.00万元，增长7.35%，主要原因是：</w:t>
      </w:r>
      <w:r>
        <w:rPr>
          <w:rFonts w:hint="eastAsia" w:ascii="仿宋_GB2312" w:eastAsia="仿宋_GB2312"/>
          <w:color w:val="auto"/>
          <w:sz w:val="32"/>
          <w:szCs w:val="32"/>
          <w:lang w:eastAsia="zh-CN"/>
        </w:rPr>
        <w:t>人员工资基数上调，因此</w:t>
      </w:r>
      <w:r>
        <w:rPr>
          <w:rFonts w:ascii="仿宋_GB2312" w:eastAsia="仿宋_GB2312"/>
          <w:color w:val="auto"/>
          <w:sz w:val="32"/>
          <w:szCs w:val="32"/>
        </w:rPr>
        <w:t>住房公积金</w:t>
      </w:r>
      <w:r>
        <w:rPr>
          <w:rFonts w:hint="eastAsia" w:ascii="仿宋_GB2312" w:eastAsia="仿宋_GB2312"/>
          <w:color w:val="auto"/>
          <w:sz w:val="32"/>
          <w:szCs w:val="32"/>
          <w:lang w:eastAsia="zh-CN"/>
        </w:rPr>
        <w:t>较上年增加。</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六、一般公共预算财政拨款基本支出决算情况说明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一般公共预算财政拨款基本支出3,570.25万元，其中：人员经费3,386.96万元，包括：基本工资、津贴补贴、奖金、绩效工资、机关事业单位基本养老保险缴费、职业年金缴费、职工基本医疗保险缴费、其他社会保障缴费、住房公积金、退休费、生活补助和奖励金。</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公用经费183.29万元，包括：办公费、水费、电费、邮电费、取暖费、差旅费、维修（护）费、培训费、专用材料费、劳务费、委托业务费、工会经费、福利费、公务用车运行维护费和其他交通费用。</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七、政府性基金预算财政拨款收入支出决算情况说明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2024年度政府性基金预算财政拨款收入总计5,794.87万元，其中：年初结转和结余0.00万元，本年收入5,794.87万元。政府性基金预算财政拨款支出总计5,794.87万元，其中：年末结转和结余0.00万元，本年支出5,794.87万元。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政府性基金预算财政拨款收入支出总体与上年相比，减少681.54万元，下降10.52%，主要原因是：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w:t>
      </w:r>
      <w:r>
        <w:rPr>
          <w:rFonts w:hint="eastAsia" w:ascii="仿宋_GB2312" w:eastAsia="仿宋_GB2312"/>
          <w:color w:val="auto"/>
          <w:sz w:val="32"/>
          <w:szCs w:val="32"/>
          <w:lang w:eastAsia="zh-CN"/>
        </w:rPr>
        <w:t>、苗木材料、农药、车辆维修等</w:t>
      </w:r>
      <w:r>
        <w:rPr>
          <w:rFonts w:hint="eastAsia" w:ascii="仿宋_GB2312" w:eastAsia="仿宋_GB2312"/>
          <w:color w:val="auto"/>
          <w:sz w:val="32"/>
          <w:szCs w:val="32"/>
        </w:rPr>
        <w:t>因手续不全，未完成支付</w:t>
      </w:r>
      <w:r>
        <w:rPr>
          <w:rFonts w:ascii="仿宋_GB2312" w:eastAsia="仿宋_GB2312"/>
          <w:color w:val="auto"/>
          <w:sz w:val="32"/>
          <w:szCs w:val="32"/>
        </w:rPr>
        <w:t>。与年初预算相比，年初预算数9,959.28万元，决算数5,794.87万元，预决算差异率-41.81%，主要原因是：</w:t>
      </w:r>
      <w:r>
        <w:rPr>
          <w:rFonts w:hint="eastAsia" w:ascii="仿宋_GB2312" w:eastAsia="仿宋_GB2312"/>
          <w:color w:val="auto"/>
          <w:sz w:val="32"/>
          <w:szCs w:val="32"/>
          <w:lang w:val="en-US" w:eastAsia="zh-CN"/>
        </w:rPr>
        <w:t>2024</w:t>
      </w:r>
      <w:r>
        <w:rPr>
          <w:rFonts w:hint="eastAsia" w:ascii="仿宋_GB2312" w:eastAsia="仿宋_GB2312"/>
          <w:color w:val="auto"/>
          <w:sz w:val="32"/>
          <w:szCs w:val="32"/>
        </w:rPr>
        <w:t>年我单位部分工程项目</w:t>
      </w:r>
      <w:r>
        <w:rPr>
          <w:rFonts w:hint="eastAsia" w:ascii="仿宋_GB2312" w:eastAsia="仿宋_GB2312"/>
          <w:color w:val="auto"/>
          <w:sz w:val="32"/>
          <w:szCs w:val="32"/>
          <w:lang w:eastAsia="zh-CN"/>
        </w:rPr>
        <w:t>、苗木材料、农药、车辆维修等</w:t>
      </w:r>
      <w:r>
        <w:rPr>
          <w:rFonts w:hint="eastAsia" w:ascii="仿宋_GB2312" w:eastAsia="仿宋_GB2312"/>
          <w:color w:val="auto"/>
          <w:sz w:val="32"/>
          <w:szCs w:val="32"/>
        </w:rPr>
        <w:t>因手续不全</w:t>
      </w:r>
      <w:r>
        <w:rPr>
          <w:rFonts w:hint="eastAsia" w:ascii="仿宋_GB2312" w:eastAsia="仿宋_GB2312"/>
          <w:color w:val="auto"/>
          <w:sz w:val="32"/>
          <w:szCs w:val="32"/>
          <w:lang w:eastAsia="zh-CN"/>
        </w:rPr>
        <w:t>，</w:t>
      </w:r>
      <w:r>
        <w:rPr>
          <w:rFonts w:hint="eastAsia" w:ascii="仿宋_GB2312" w:eastAsia="仿宋_GB2312"/>
          <w:color w:val="auto"/>
          <w:sz w:val="32"/>
          <w:szCs w:val="32"/>
        </w:rPr>
        <w:t>未完成支付</w:t>
      </w:r>
      <w:r>
        <w:rPr>
          <w:rFonts w:ascii="仿宋_GB2312" w:eastAsia="仿宋_GB2312"/>
          <w:color w:val="auto"/>
          <w:sz w:val="32"/>
          <w:szCs w:val="32"/>
        </w:rPr>
        <w:t>。</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政府性基金预算财政拨款支出5,794.87万元。</w:t>
      </w:r>
    </w:p>
    <w:p>
      <w:pPr>
        <w:widowControl/>
        <w:ind w:firstLine="640" w:firstLineChars="200"/>
        <w:rPr>
          <w:rFonts w:hint="eastAsia" w:ascii="仿宋_GB2312" w:eastAsia="仿宋_GB2312"/>
          <w:color w:val="FF0000"/>
          <w:sz w:val="32"/>
          <w:szCs w:val="32"/>
          <w:lang w:val="en-US" w:eastAsia="zh-CN"/>
        </w:rPr>
      </w:pPr>
      <w:r>
        <w:rPr>
          <w:rFonts w:ascii="仿宋_GB2312" w:eastAsia="仿宋_GB2312"/>
          <w:color w:val="auto"/>
          <w:sz w:val="32"/>
          <w:szCs w:val="32"/>
        </w:rPr>
        <w:t>城乡社区支出（类）国有土地使用权出让收入安排的支出（款）其他国有土地使用权出让收入安排的支出（项）：支出决算数为1,687.50万元，比上年决算增加296.75万元，增长21.34%，主要原因是：</w:t>
      </w:r>
      <w:r>
        <w:rPr>
          <w:rFonts w:hint="eastAsia" w:ascii="仿宋_GB2312" w:eastAsia="仿宋_GB2312"/>
          <w:color w:val="auto"/>
          <w:sz w:val="32"/>
          <w:szCs w:val="32"/>
          <w:lang w:val="en-US" w:eastAsia="zh-CN"/>
        </w:rPr>
        <w:t>2024年支付河北红色润疆项目施工费、苗木费、农药费、材料费、春节前农民工工资力度大，因此</w:t>
      </w:r>
      <w:r>
        <w:rPr>
          <w:rFonts w:ascii="仿宋_GB2312" w:eastAsia="仿宋_GB2312"/>
          <w:color w:val="auto"/>
          <w:sz w:val="32"/>
          <w:szCs w:val="32"/>
        </w:rPr>
        <w:t>其他国有土地使用权出让收入安排的支出</w:t>
      </w:r>
      <w:r>
        <w:rPr>
          <w:rFonts w:hint="eastAsia" w:ascii="仿宋_GB2312" w:eastAsia="仿宋_GB2312"/>
          <w:color w:val="auto"/>
          <w:sz w:val="32"/>
          <w:szCs w:val="32"/>
          <w:lang w:eastAsia="zh-CN"/>
        </w:rPr>
        <w:t>较上年增加。</w:t>
      </w:r>
    </w:p>
    <w:p>
      <w:pPr>
        <w:widowControl/>
        <w:ind w:firstLine="640" w:firstLineChars="200"/>
        <w:rPr>
          <w:rFonts w:hint="eastAsia" w:ascii="仿宋_GB2312" w:eastAsia="仿宋_GB2312"/>
          <w:color w:val="auto"/>
          <w:sz w:val="32"/>
          <w:szCs w:val="32"/>
          <w:lang w:eastAsia="zh-CN"/>
        </w:rPr>
      </w:pPr>
      <w:r>
        <w:rPr>
          <w:rFonts w:ascii="仿宋_GB2312" w:eastAsia="仿宋_GB2312"/>
          <w:color w:val="auto"/>
          <w:sz w:val="32"/>
          <w:szCs w:val="32"/>
        </w:rPr>
        <w:t>城乡社区支出（类）城市基础设施配套费安排的支出（款）城市环境卫生（项）：支出决算数为4,107.37万元，比上年决算减少978.29万元，下降19.24%，主要原因是：</w:t>
      </w:r>
      <w:r>
        <w:rPr>
          <w:rFonts w:hint="eastAsia" w:ascii="仿宋_GB2312" w:eastAsia="仿宋_GB2312"/>
          <w:color w:val="auto"/>
          <w:sz w:val="32"/>
          <w:szCs w:val="32"/>
          <w:lang w:eastAsia="zh-CN"/>
        </w:rPr>
        <w:t>水费、苗木费等专项经费支出在该科目中较上年减少，因此</w:t>
      </w:r>
      <w:r>
        <w:rPr>
          <w:rFonts w:ascii="仿宋_GB2312" w:eastAsia="仿宋_GB2312"/>
          <w:color w:val="auto"/>
          <w:sz w:val="32"/>
          <w:szCs w:val="32"/>
        </w:rPr>
        <w:t>城市环境卫生</w:t>
      </w:r>
      <w:r>
        <w:rPr>
          <w:rFonts w:hint="eastAsia" w:ascii="仿宋_GB2312" w:eastAsia="仿宋_GB2312"/>
          <w:color w:val="auto"/>
          <w:sz w:val="32"/>
          <w:szCs w:val="32"/>
          <w:lang w:eastAsia="zh-CN"/>
        </w:rPr>
        <w:t>支出较上年减少。</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八、国有资本经营预算财政拨款收入支出决算情况说明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本单位本年度无国有资本经营预算财政拨款收入、支出及结转和结余，国有资本经营预算财政拨款收入支出决算表为空表。</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九、财政拨款“三公”经费支出决算情况说明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2024年度财政拨款“三公”经费支出6.38万元，比上年增加3.98万元，增长165.83%，主要原因是：</w:t>
      </w:r>
      <w:r>
        <w:rPr>
          <w:rFonts w:hint="eastAsia" w:ascii="仿宋_GB2312" w:eastAsia="仿宋_GB2312"/>
          <w:color w:val="auto"/>
          <w:sz w:val="32"/>
          <w:szCs w:val="32"/>
          <w:lang w:eastAsia="zh-CN"/>
        </w:rPr>
        <w:t>根据机关事务管理局核定车辆编制数较上年增加，为</w:t>
      </w:r>
      <w:r>
        <w:rPr>
          <w:rFonts w:hint="eastAsia" w:ascii="仿宋_GB2312" w:eastAsia="仿宋_GB2312"/>
          <w:color w:val="auto"/>
          <w:sz w:val="32"/>
          <w:szCs w:val="32"/>
          <w:lang w:val="en-US" w:eastAsia="zh-CN"/>
        </w:rPr>
        <w:t>12辆</w:t>
      </w:r>
      <w:r>
        <w:rPr>
          <w:rFonts w:ascii="仿宋_GB2312" w:eastAsia="仿宋_GB2312"/>
          <w:color w:val="auto"/>
          <w:sz w:val="32"/>
          <w:szCs w:val="32"/>
        </w:rPr>
        <w:t>。其中：因公出国（境）费支出0.00万元,占0.00%，与上年相比无变化，主要原因是：</w:t>
      </w:r>
      <w:r>
        <w:rPr>
          <w:rFonts w:hint="eastAsia" w:ascii="仿宋_GB2312" w:eastAsia="仿宋_GB2312"/>
          <w:color w:val="auto"/>
          <w:sz w:val="32"/>
          <w:szCs w:val="32"/>
          <w:lang w:eastAsia="zh-CN"/>
        </w:rPr>
        <w:t>我单位无因公出国（境）费</w:t>
      </w:r>
      <w:r>
        <w:rPr>
          <w:rFonts w:ascii="仿宋_GB2312" w:eastAsia="仿宋_GB2312"/>
          <w:color w:val="auto"/>
          <w:sz w:val="32"/>
          <w:szCs w:val="32"/>
        </w:rPr>
        <w:t>；公务用车购置及运行维护费支出6.38万元，占100.00%，比上年增加3.98万元，增长165.83%，主要原因是：</w:t>
      </w:r>
      <w:r>
        <w:rPr>
          <w:rFonts w:hint="eastAsia" w:ascii="仿宋_GB2312" w:eastAsia="仿宋_GB2312"/>
          <w:color w:val="auto"/>
          <w:sz w:val="32"/>
          <w:szCs w:val="32"/>
          <w:lang w:eastAsia="zh-CN"/>
        </w:rPr>
        <w:t>根据机关事务管理局核定车辆编制数较上年增加，为</w:t>
      </w:r>
      <w:r>
        <w:rPr>
          <w:rFonts w:hint="eastAsia" w:ascii="仿宋_GB2312" w:eastAsia="仿宋_GB2312"/>
          <w:color w:val="auto"/>
          <w:sz w:val="32"/>
          <w:szCs w:val="32"/>
          <w:lang w:val="en-US" w:eastAsia="zh-CN"/>
        </w:rPr>
        <w:t>12辆</w:t>
      </w:r>
      <w:r>
        <w:rPr>
          <w:rFonts w:ascii="仿宋_GB2312" w:eastAsia="仿宋_GB2312"/>
          <w:color w:val="auto"/>
          <w:sz w:val="32"/>
          <w:szCs w:val="32"/>
        </w:rPr>
        <w:t>；公务接待费支出0.00万元，占0.00%，与上年相比无变化，主要原因是：</w:t>
      </w:r>
      <w:r>
        <w:rPr>
          <w:rFonts w:hint="eastAsia" w:ascii="仿宋_GB2312" w:eastAsia="仿宋_GB2312"/>
          <w:color w:val="auto"/>
          <w:sz w:val="32"/>
          <w:szCs w:val="32"/>
        </w:rPr>
        <w:t>我单位无公务接待</w:t>
      </w:r>
      <w:r>
        <w:rPr>
          <w:rFonts w:ascii="仿宋_GB2312" w:eastAsia="仿宋_GB2312"/>
          <w:color w:val="auto"/>
          <w:sz w:val="32"/>
          <w:szCs w:val="32"/>
        </w:rPr>
        <w:t>。</w:t>
      </w:r>
    </w:p>
    <w:p>
      <w:pPr>
        <w:widowControl/>
        <w:ind w:firstLine="640" w:firstLineChars="200"/>
        <w:jc w:val="left"/>
        <w:rPr>
          <w:rFonts w:ascii="仿宋_GB2312" w:eastAsia="仿宋_GB2312"/>
          <w:color w:val="auto"/>
          <w:sz w:val="32"/>
          <w:szCs w:val="32"/>
        </w:rPr>
      </w:pPr>
      <w:r>
        <w:rPr>
          <w:rFonts w:ascii="仿宋_GB2312" w:eastAsia="仿宋_GB2312"/>
          <w:color w:val="auto"/>
          <w:sz w:val="32"/>
          <w:szCs w:val="32"/>
        </w:rPr>
        <w:t>具体情况如下：</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因公出国（境）费支出0.00万元，</w:t>
      </w:r>
      <w:r>
        <w:rPr>
          <w:rFonts w:hint="eastAsia" w:ascii="仿宋_GB2312" w:eastAsia="仿宋_GB2312"/>
          <w:color w:val="auto"/>
          <w:sz w:val="32"/>
          <w:szCs w:val="32"/>
          <w:lang w:eastAsia="zh-CN"/>
        </w:rPr>
        <w:t>无</w:t>
      </w:r>
      <w:r>
        <w:rPr>
          <w:rFonts w:ascii="仿宋_GB2312" w:eastAsia="仿宋_GB2312"/>
          <w:color w:val="auto"/>
          <w:sz w:val="32"/>
          <w:szCs w:val="32"/>
        </w:rPr>
        <w:t>开支内容。单位全年安排的因公出国（境）团组0个，因公出国（境）0人次。</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公务用车购置及运行维护费6.38万元，其中：公务用车购置费0.00万元，公务用车运行维护费6.38万元。公务用车运行维护费开支内容包括</w:t>
      </w:r>
      <w:r>
        <w:rPr>
          <w:rFonts w:hint="eastAsia" w:ascii="仿宋_GB2312" w:eastAsia="仿宋_GB2312"/>
          <w:color w:val="auto"/>
          <w:sz w:val="32"/>
          <w:szCs w:val="32"/>
          <w:lang w:eastAsia="zh-CN"/>
        </w:rPr>
        <w:t>车辆维修、燃油、保险</w:t>
      </w:r>
      <w:r>
        <w:rPr>
          <w:rFonts w:ascii="仿宋_GB2312" w:eastAsia="仿宋_GB2312"/>
          <w:color w:val="auto"/>
          <w:sz w:val="32"/>
          <w:szCs w:val="32"/>
        </w:rPr>
        <w:t>。公务用车购置数0辆，公务用车保有量7辆。国有资产占用情况中固定资产车辆7辆，与公务用车保有量差异原因是：</w:t>
      </w:r>
      <w:r>
        <w:rPr>
          <w:rFonts w:hint="eastAsia" w:ascii="仿宋_GB2312" w:eastAsia="仿宋_GB2312"/>
          <w:color w:val="auto"/>
          <w:sz w:val="32"/>
          <w:szCs w:val="32"/>
          <w:lang w:val="zh-CN"/>
        </w:rPr>
        <w:t>固定资产车辆与公务用车保有量无差异</w:t>
      </w:r>
      <w:r>
        <w:rPr>
          <w:rFonts w:ascii="仿宋_GB2312" w:eastAsia="仿宋_GB2312"/>
          <w:color w:val="auto"/>
          <w:sz w:val="32"/>
          <w:szCs w:val="32"/>
        </w:rPr>
        <w:t>。</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公务接待费0.00万元，</w:t>
      </w:r>
      <w:r>
        <w:rPr>
          <w:rFonts w:hint="eastAsia" w:ascii="仿宋_GB2312" w:eastAsia="仿宋_GB2312"/>
          <w:color w:val="auto"/>
          <w:sz w:val="32"/>
          <w:szCs w:val="32"/>
          <w:lang w:eastAsia="zh-CN"/>
        </w:rPr>
        <w:t>无</w:t>
      </w:r>
      <w:r>
        <w:rPr>
          <w:rFonts w:ascii="仿宋_GB2312" w:eastAsia="仿宋_GB2312"/>
          <w:color w:val="auto"/>
          <w:sz w:val="32"/>
          <w:szCs w:val="32"/>
        </w:rPr>
        <w:t>开支内容。单位全年安排的国内公务接待0批次，0人次。</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与全年预算相比，财政拨款“三公”经费支出全年预算数6.38万元，决算数6.38万元，预决算差异率0.00%，主要原因是：</w:t>
      </w:r>
      <w:r>
        <w:rPr>
          <w:rFonts w:hint="eastAsia" w:ascii="仿宋_GB2312" w:eastAsia="仿宋_GB2312"/>
          <w:color w:val="auto"/>
          <w:sz w:val="32"/>
          <w:szCs w:val="32"/>
          <w:lang w:eastAsia="zh-CN"/>
        </w:rPr>
        <w:t>根据机关事务管理局核定车辆编制数较上年增加，为</w:t>
      </w:r>
      <w:r>
        <w:rPr>
          <w:rFonts w:hint="eastAsia" w:ascii="仿宋_GB2312" w:eastAsia="仿宋_GB2312"/>
          <w:color w:val="auto"/>
          <w:sz w:val="32"/>
          <w:szCs w:val="32"/>
          <w:lang w:val="en-US" w:eastAsia="zh-CN"/>
        </w:rPr>
        <w:t>12辆</w:t>
      </w:r>
      <w:r>
        <w:rPr>
          <w:rFonts w:ascii="仿宋_GB2312" w:eastAsia="仿宋_GB2312"/>
          <w:color w:val="auto"/>
          <w:sz w:val="32"/>
          <w:szCs w:val="32"/>
        </w:rPr>
        <w:t>。其中：因公出国（境）费全年预算数0.00万元，决算数0.00万元，预决算差异率0.00%，主要原因是：</w:t>
      </w:r>
      <w:r>
        <w:rPr>
          <w:rFonts w:hint="eastAsia" w:ascii="仿宋_GB2312" w:eastAsia="仿宋_GB2312"/>
          <w:color w:val="auto"/>
          <w:sz w:val="32"/>
          <w:szCs w:val="32"/>
          <w:lang w:eastAsia="zh-CN"/>
        </w:rPr>
        <w:t>我单位无因公出国（境）费</w:t>
      </w:r>
      <w:r>
        <w:rPr>
          <w:rFonts w:ascii="仿宋_GB2312" w:eastAsia="仿宋_GB2312"/>
          <w:color w:val="auto"/>
          <w:sz w:val="32"/>
          <w:szCs w:val="32"/>
        </w:rPr>
        <w:t>。公务用车购置费全年预算数0.00万元，决算数0.00万元，预决算差异率0.00%，主要原因是：</w:t>
      </w:r>
      <w:r>
        <w:rPr>
          <w:rFonts w:hint="eastAsia" w:ascii="仿宋_GB2312" w:eastAsia="仿宋_GB2312"/>
          <w:color w:val="auto"/>
          <w:sz w:val="32"/>
          <w:szCs w:val="32"/>
          <w:lang w:val="en-US" w:eastAsia="zh-CN"/>
        </w:rPr>
        <w:t>2024年我单位未购置公务用车</w:t>
      </w:r>
      <w:r>
        <w:rPr>
          <w:rFonts w:ascii="仿宋_GB2312" w:eastAsia="仿宋_GB2312"/>
          <w:color w:val="auto"/>
          <w:sz w:val="32"/>
          <w:szCs w:val="32"/>
        </w:rPr>
        <w:t>。公务用车运行维护费全年预算数6.38万元，决算数6.38万元，预决算差异率0.00%，主要原因是：</w:t>
      </w:r>
      <w:r>
        <w:rPr>
          <w:rFonts w:hint="eastAsia" w:ascii="仿宋_GB2312" w:eastAsia="仿宋_GB2312"/>
          <w:color w:val="auto"/>
          <w:sz w:val="32"/>
          <w:szCs w:val="32"/>
          <w:lang w:eastAsia="zh-CN"/>
        </w:rPr>
        <w:t>根据机关事务管理局核定车辆编制数较上年增加，为</w:t>
      </w:r>
      <w:r>
        <w:rPr>
          <w:rFonts w:hint="eastAsia" w:ascii="仿宋_GB2312" w:eastAsia="仿宋_GB2312"/>
          <w:color w:val="auto"/>
          <w:sz w:val="32"/>
          <w:szCs w:val="32"/>
          <w:lang w:val="en-US" w:eastAsia="zh-CN"/>
        </w:rPr>
        <w:t>12辆</w:t>
      </w:r>
      <w:r>
        <w:rPr>
          <w:rFonts w:ascii="仿宋_GB2312" w:eastAsia="仿宋_GB2312"/>
          <w:color w:val="auto"/>
          <w:sz w:val="32"/>
          <w:szCs w:val="32"/>
        </w:rPr>
        <w:t>。公务接待费全年预算数0.00万元，决算数0.00万元，预决算差异率0.00%，主要原因是：</w:t>
      </w:r>
      <w:r>
        <w:rPr>
          <w:rFonts w:hint="eastAsia" w:ascii="仿宋_GB2312" w:eastAsia="仿宋_GB2312"/>
          <w:color w:val="auto"/>
          <w:sz w:val="32"/>
          <w:szCs w:val="32"/>
        </w:rPr>
        <w:t>我单位无公务接待</w:t>
      </w:r>
      <w:r>
        <w:rPr>
          <w:rFonts w:ascii="仿宋_GB2312" w:eastAsia="仿宋_GB2312"/>
          <w:color w:val="auto"/>
          <w:sz w:val="32"/>
          <w:szCs w:val="32"/>
        </w:rPr>
        <w:t>。</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十、其他重要事项的情况说明</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2024年度公用经费支出183.29万元，比上年</w:t>
      </w:r>
      <w:r>
        <w:rPr>
          <w:rFonts w:hint="eastAsia" w:ascii="仿宋_GB2312" w:eastAsia="仿宋_GB2312"/>
          <w:color w:val="auto"/>
          <w:sz w:val="32"/>
          <w:szCs w:val="32"/>
          <w:lang w:eastAsia="zh-CN"/>
        </w:rPr>
        <w:t>增加</w:t>
      </w:r>
      <w:r>
        <w:rPr>
          <w:rFonts w:hint="eastAsia" w:ascii="仿宋_GB2312" w:eastAsia="仿宋_GB2312"/>
          <w:color w:val="auto"/>
          <w:sz w:val="32"/>
          <w:szCs w:val="32"/>
          <w:lang w:val="en-US" w:eastAsia="zh-CN"/>
        </w:rPr>
        <w:t>59.67</w:t>
      </w:r>
      <w:r>
        <w:rPr>
          <w:rFonts w:ascii="仿宋_GB2312" w:eastAsia="仿宋_GB2312"/>
          <w:color w:val="auto"/>
          <w:sz w:val="32"/>
          <w:szCs w:val="32"/>
        </w:rPr>
        <w:t>万元，</w:t>
      </w:r>
      <w:r>
        <w:rPr>
          <w:rFonts w:hint="eastAsia" w:ascii="仿宋_GB2312" w:eastAsia="仿宋_GB2312"/>
          <w:color w:val="auto"/>
          <w:sz w:val="32"/>
          <w:szCs w:val="32"/>
          <w:lang w:eastAsia="zh-CN"/>
        </w:rPr>
        <w:t>增长</w:t>
      </w:r>
      <w:r>
        <w:rPr>
          <w:rFonts w:hint="eastAsia" w:ascii="仿宋_GB2312" w:eastAsia="仿宋_GB2312"/>
          <w:color w:val="auto"/>
          <w:sz w:val="32"/>
          <w:szCs w:val="32"/>
          <w:lang w:val="en-US" w:eastAsia="zh-CN"/>
        </w:rPr>
        <w:t>32.55</w:t>
      </w:r>
      <w:r>
        <w:rPr>
          <w:rFonts w:ascii="仿宋_GB2312" w:eastAsia="仿宋_GB2312"/>
          <w:color w:val="auto"/>
          <w:sz w:val="32"/>
          <w:szCs w:val="32"/>
        </w:rPr>
        <w:t>%，主要原因是：</w:t>
      </w:r>
      <w:r>
        <w:rPr>
          <w:rFonts w:hint="eastAsia" w:ascii="仿宋_GB2312" w:eastAsia="仿宋_GB2312"/>
          <w:color w:val="auto"/>
          <w:sz w:val="32"/>
          <w:szCs w:val="32"/>
          <w:lang w:val="en-US" w:eastAsia="zh-CN"/>
        </w:rPr>
        <w:t>2024年支付近三年人防异地建设费</w:t>
      </w:r>
      <w:r>
        <w:rPr>
          <w:rFonts w:hint="eastAsia" w:eastAsia="仿宋_GB2312"/>
          <w:color w:val="auto"/>
          <w:sz w:val="32"/>
          <w:szCs w:val="32"/>
          <w:lang w:val="zh-CN"/>
        </w:rPr>
        <w:t>，因此</w:t>
      </w:r>
      <w:r>
        <w:rPr>
          <w:rFonts w:ascii="仿宋_GB2312" w:eastAsia="仿宋_GB2312"/>
          <w:color w:val="auto"/>
          <w:sz w:val="32"/>
          <w:szCs w:val="32"/>
        </w:rPr>
        <w:t>公用经费支出</w:t>
      </w:r>
      <w:r>
        <w:rPr>
          <w:rFonts w:hint="eastAsia" w:ascii="仿宋_GB2312" w:eastAsia="仿宋_GB2312"/>
          <w:color w:val="auto"/>
          <w:sz w:val="32"/>
          <w:szCs w:val="32"/>
          <w:lang w:eastAsia="zh-CN"/>
        </w:rPr>
        <w:t>较上年增加</w:t>
      </w:r>
      <w:r>
        <w:rPr>
          <w:rFonts w:ascii="仿宋_GB2312" w:eastAsia="仿宋_GB2312"/>
          <w:color w:val="auto"/>
          <w:sz w:val="32"/>
          <w:szCs w:val="32"/>
        </w:rPr>
        <w:t>。</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（二）政府采购情况</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2024年度政府采购支出总额761.34万元，其中：政府采购货物支出428.78万元、政府采购工程支出0.00万元、政府采购服务支出332.55万元。</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授予中小企业合同金额761.34万元，占政府采购支出总额的100.00%，其中：授予小微企业合同金额448.45万元，占政府采购支出总额的58.90%。</w:t>
      </w:r>
    </w:p>
    <w:p>
      <w:pPr>
        <w:widowControl/>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截至2024年12月31日，房屋512.90平方米，价值65.89万元。车辆7辆，价值78.44万元，其中：副部（省）级及以上领导用车0辆、主要负责人用车0辆、机要通信用车0辆、应急保障用车0辆、执法执勤用车0辆、特种专业技术用车4辆、离退休干部服务用车0辆、其他用车3辆，其他用车主要是：</w:t>
      </w:r>
      <w:r>
        <w:rPr>
          <w:rFonts w:hint="eastAsia" w:ascii="仿宋_GB2312" w:eastAsia="仿宋_GB2312"/>
          <w:color w:val="auto"/>
          <w:sz w:val="32"/>
          <w:szCs w:val="32"/>
          <w:lang w:eastAsia="zh-CN"/>
        </w:rPr>
        <w:t>绿化生产用皮卡车</w:t>
      </w:r>
      <w:r>
        <w:rPr>
          <w:rFonts w:hint="eastAsia" w:ascii="仿宋_GB2312" w:eastAsia="仿宋_GB2312"/>
          <w:color w:val="auto"/>
          <w:sz w:val="32"/>
          <w:szCs w:val="32"/>
          <w:lang w:val="en-US" w:eastAsia="zh-CN"/>
        </w:rPr>
        <w:t>2辆、公务用小轿车1辆</w:t>
      </w:r>
      <w:r>
        <w:rPr>
          <w:rFonts w:hint="eastAsia" w:ascii="仿宋_GB2312" w:eastAsia="仿宋_GB2312"/>
          <w:color w:val="auto"/>
          <w:sz w:val="32"/>
          <w:szCs w:val="32"/>
          <w:lang w:eastAsia="zh-CN"/>
        </w:rPr>
        <w:t>。</w:t>
      </w:r>
      <w:r>
        <w:rPr>
          <w:rFonts w:ascii="仿宋_GB2312" w:eastAsia="仿宋_GB2312"/>
          <w:color w:val="auto"/>
          <w:sz w:val="32"/>
          <w:szCs w:val="32"/>
        </w:rPr>
        <w:t>单价100万元（含）以上设备（不含车辆）0台（套）。</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十一、预算绩效的情况说明</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根据预算绩效管理要求，本单位2024年度预算绩效管理形成整体支出绩效自评表1个，全年预算总额</w:t>
      </w:r>
      <w:r>
        <w:rPr>
          <w:rFonts w:hint="eastAsia" w:ascii="仿宋_GB2312" w:eastAsia="仿宋_GB2312"/>
          <w:color w:val="auto"/>
          <w:sz w:val="32"/>
          <w:szCs w:val="32"/>
          <w:lang w:val="en-US" w:eastAsia="zh-CN"/>
        </w:rPr>
        <w:t>12624.12</w:t>
      </w:r>
      <w:r>
        <w:rPr>
          <w:rFonts w:ascii="仿宋_GB2312" w:eastAsia="仿宋_GB2312"/>
          <w:color w:val="auto"/>
          <w:sz w:val="32"/>
          <w:szCs w:val="32"/>
        </w:rPr>
        <w:t>万元，实际执行总额</w:t>
      </w:r>
      <w:r>
        <w:rPr>
          <w:rFonts w:hint="eastAsia" w:ascii="仿宋_GB2312" w:eastAsia="仿宋_GB2312"/>
          <w:color w:val="auto"/>
          <w:sz w:val="32"/>
          <w:szCs w:val="32"/>
          <w:lang w:val="en-US" w:eastAsia="zh-CN"/>
        </w:rPr>
        <w:t>12624.12</w:t>
      </w:r>
      <w:r>
        <w:rPr>
          <w:rFonts w:ascii="仿宋_GB2312" w:eastAsia="仿宋_GB2312"/>
          <w:color w:val="auto"/>
          <w:sz w:val="32"/>
          <w:szCs w:val="32"/>
        </w:rPr>
        <w:t>万元；预算绩效评价项目</w:t>
      </w:r>
      <w:r>
        <w:rPr>
          <w:rFonts w:hint="eastAsia" w:ascii="仿宋_GB2312" w:eastAsia="仿宋_GB2312"/>
          <w:color w:val="auto"/>
          <w:sz w:val="32"/>
          <w:szCs w:val="32"/>
          <w:lang w:val="en-US" w:eastAsia="zh-CN"/>
        </w:rPr>
        <w:t>9</w:t>
      </w:r>
      <w:r>
        <w:rPr>
          <w:rFonts w:ascii="仿宋_GB2312" w:eastAsia="仿宋_GB2312"/>
          <w:color w:val="auto"/>
          <w:sz w:val="32"/>
          <w:szCs w:val="32"/>
        </w:rPr>
        <w:t>个，全年预算数</w:t>
      </w:r>
      <w:r>
        <w:rPr>
          <w:rFonts w:hint="eastAsia" w:ascii="仿宋_GB2312" w:eastAsia="仿宋_GB2312"/>
          <w:color w:val="auto"/>
          <w:sz w:val="32"/>
          <w:szCs w:val="32"/>
          <w:lang w:val="en-US" w:eastAsia="zh-CN"/>
        </w:rPr>
        <w:t>9048.74</w:t>
      </w:r>
      <w:r>
        <w:rPr>
          <w:rFonts w:ascii="仿宋_GB2312" w:eastAsia="仿宋_GB2312"/>
          <w:color w:val="auto"/>
          <w:sz w:val="32"/>
          <w:szCs w:val="32"/>
        </w:rPr>
        <w:t>万元，全年执行数</w:t>
      </w:r>
      <w:r>
        <w:rPr>
          <w:rFonts w:hint="eastAsia" w:ascii="仿宋_GB2312" w:eastAsia="仿宋_GB2312"/>
          <w:color w:val="auto"/>
          <w:sz w:val="32"/>
          <w:szCs w:val="32"/>
          <w:lang w:val="en-US" w:eastAsia="zh-CN"/>
        </w:rPr>
        <w:t>9048.74</w:t>
      </w:r>
      <w:r>
        <w:rPr>
          <w:rFonts w:ascii="仿宋_GB2312" w:eastAsia="仿宋_GB2312"/>
          <w:color w:val="auto"/>
          <w:sz w:val="32"/>
          <w:szCs w:val="32"/>
        </w:rPr>
        <w:t>万元。预算绩效管理取得的成效：</w:t>
      </w:r>
      <w:r>
        <w:rPr>
          <w:rFonts w:hint="eastAsia" w:ascii="仿宋_GB2312" w:eastAsia="仿宋_GB2312"/>
          <w:color w:val="auto"/>
          <w:sz w:val="32"/>
          <w:szCs w:val="32"/>
        </w:rPr>
        <w:t>一是树立了预算绩效管理理念；二是营造了预算绩效管理良好的制度环境</w:t>
      </w:r>
      <w:r>
        <w:rPr>
          <w:rFonts w:ascii="仿宋_GB2312" w:eastAsia="仿宋_GB2312"/>
          <w:color w:val="auto"/>
          <w:sz w:val="32"/>
          <w:szCs w:val="32"/>
        </w:rPr>
        <w:t>。发现的问题及原因：</w:t>
      </w:r>
      <w:r>
        <w:rPr>
          <w:rFonts w:hint="eastAsia" w:ascii="仿宋_GB2312" w:eastAsia="仿宋_GB2312"/>
          <w:color w:val="auto"/>
          <w:sz w:val="32"/>
          <w:szCs w:val="32"/>
        </w:rPr>
        <w:t>一是预算理念转化为绩效行动上有差距；二是预算绩效管理法律体系尚未建立健全</w:t>
      </w:r>
      <w:r>
        <w:rPr>
          <w:rFonts w:ascii="仿宋_GB2312" w:eastAsia="仿宋_GB2312"/>
          <w:color w:val="auto"/>
          <w:sz w:val="32"/>
          <w:szCs w:val="32"/>
        </w:rPr>
        <w:t>。下一步改进措施：</w:t>
      </w:r>
      <w:r>
        <w:rPr>
          <w:rFonts w:hint="eastAsia" w:ascii="仿宋_GB2312" w:eastAsia="仿宋_GB2312"/>
          <w:color w:val="auto"/>
          <w:sz w:val="32"/>
          <w:szCs w:val="32"/>
        </w:rPr>
        <w:t>一是深入绩效理念；二是做好培训提高业务能力</w:t>
      </w:r>
      <w:r>
        <w:rPr>
          <w:rFonts w:ascii="仿宋_GB2312" w:eastAsia="仿宋_GB2312"/>
          <w:color w:val="auto"/>
          <w:sz w:val="32"/>
          <w:szCs w:val="32"/>
        </w:rPr>
        <w:t>。具体附部门整体支出绩效自评表，项目支出绩效自评表和部门评价报告。</w:t>
      </w:r>
    </w:p>
    <w:p>
      <w:pPr>
        <w:widowControl/>
        <w:ind w:firstLine="640" w:firstLineChars="200"/>
        <w:jc w:val="left"/>
        <w:outlineLvl w:val="1"/>
        <w:rPr>
          <w:rFonts w:ascii="黑体" w:eastAsia="黑体"/>
          <w:color w:val="auto"/>
          <w:sz w:val="32"/>
          <w:szCs w:val="32"/>
        </w:rPr>
      </w:pPr>
      <w:r>
        <w:rPr>
          <w:rFonts w:ascii="黑体" w:eastAsia="黑体"/>
          <w:color w:val="auto"/>
          <w:sz w:val="32"/>
          <w:szCs w:val="32"/>
        </w:rPr>
        <w:t>十二、其他需说明的事项</w:t>
      </w:r>
    </w:p>
    <w:p>
      <w:pPr>
        <w:widowControl/>
        <w:ind w:firstLine="640" w:firstLineChars="200"/>
        <w:rPr>
          <w:rFonts w:ascii="仿宋_GB2312" w:eastAsia="仿宋_GB2312"/>
          <w:color w:val="auto"/>
          <w:sz w:val="32"/>
          <w:szCs w:val="32"/>
        </w:rPr>
      </w:pPr>
      <w:r>
        <w:rPr>
          <w:rFonts w:ascii="仿宋_GB2312" w:eastAsia="仿宋_GB2312"/>
          <w:color w:val="auto"/>
          <w:sz w:val="32"/>
          <w:szCs w:val="32"/>
        </w:rPr>
        <w:t>本单位无其他需说明事项。</w:t>
      </w:r>
    </w:p>
    <w:p>
      <w:pPr>
        <w:widowControl/>
        <w:ind w:firstLine="640" w:firstLineChars="200"/>
        <w:jc w:val="left"/>
        <w:rPr>
          <w:rFonts w:ascii="仿宋_GB2312" w:eastAsia="仿宋_GB2312"/>
          <w:color w:val="auto"/>
          <w:sz w:val="32"/>
          <w:szCs w:val="32"/>
        </w:rPr>
      </w:pP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第三部分专业名词解释</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color w:val="auto"/>
          <w:sz w:val="32"/>
          <w:szCs w:val="32"/>
        </w:rPr>
        <w:t>指同级财政当年拨付的资金。</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color w:val="auto"/>
          <w:sz w:val="32"/>
          <w:szCs w:val="32"/>
        </w:rPr>
        <w:t>指事业单位从主管部门和上级单位取得的非财政补助收入。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color w:val="auto"/>
          <w:sz w:val="32"/>
          <w:szCs w:val="32"/>
        </w:rPr>
        <w:t>指事业单位开展专业业务活动及其辅助活动所取得的收入。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color w:val="auto"/>
          <w:sz w:val="32"/>
          <w:szCs w:val="32"/>
        </w:rPr>
        <w:t>指事业单位在专业业务活动及其辅助活动之外开展非独立核算经营活动取得的收入。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color w:val="auto"/>
          <w:sz w:val="32"/>
          <w:szCs w:val="32"/>
        </w:rPr>
        <w:t>指事业单位附属的独立核算单位按有关规定上缴的收入。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color w:val="auto"/>
          <w:sz w:val="32"/>
          <w:szCs w:val="32"/>
        </w:rPr>
        <w:t>指除上述“财政拨款收入”、“事业收入”、“经营收入”、“附属单位上缴收入”等之外取得的收入。</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color w:val="auto"/>
          <w:sz w:val="32"/>
          <w:szCs w:val="32"/>
        </w:rPr>
        <w:t>指为保障机构正常运转、完成日常工作任务而发生的人员支出和公用支出。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color w:val="auto"/>
          <w:sz w:val="32"/>
          <w:szCs w:val="32"/>
        </w:rPr>
        <w:t>指在基本支出之外为完成特定行政任务和事业发展目标所发生的支出。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color w:val="auto"/>
          <w:sz w:val="32"/>
          <w:szCs w:val="32"/>
        </w:rPr>
        <w:t>指事业单位在专业业务活动及其辅助活动之外开展非独立核算经营活动发生的支出。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color w:val="auto"/>
          <w:sz w:val="32"/>
          <w:szCs w:val="32"/>
        </w:rPr>
        <w:t>指事业单位发生的用非财政预算资金对附属单位的补助支出。</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color w:val="auto"/>
          <w:sz w:val="32"/>
          <w:szCs w:val="32"/>
        </w:rPr>
        <w:t>行政单位和参照公务员法管理的事业单位财政拨款基本支出中的公用经费支出。</w:t>
      </w:r>
    </w:p>
    <w:p>
      <w:pPr>
        <w:widowControl/>
        <w:rPr>
          <w:color w:val="auto"/>
        </w:rPr>
      </w:pPr>
      <w:r>
        <w:rPr>
          <w:color w:val="auto"/>
          <w:sz w:val="0"/>
          <w:szCs w:val="0"/>
        </w:rPr>
        <w:br w:type="page"/>
      </w:r>
    </w:p>
    <w:p>
      <w:pPr>
        <w:widowControl/>
        <w:jc w:val="center"/>
        <w:outlineLvl w:val="0"/>
        <w:rPr>
          <w:rFonts w:ascii="黑体" w:eastAsia="黑体"/>
          <w:color w:val="auto"/>
          <w:sz w:val="32"/>
          <w:szCs w:val="32"/>
        </w:rPr>
      </w:pPr>
      <w:r>
        <w:rPr>
          <w:rFonts w:ascii="黑体" w:eastAsia="黑体"/>
          <w:color w:val="auto"/>
          <w:sz w:val="32"/>
          <w:szCs w:val="32"/>
        </w:rPr>
        <w:t>第四部分部门决算报表（见附表）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一、《收入支出决算总表》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二、《收入决算表》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三、《支出决算表》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四、《财政拨款收入支出决算总表》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五、《一般公共预算财政拨款支出决算表》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六、《一般公共预算财政拨款基本支出决算表》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七、《政府性基金预算财政拨款收入支出决算表》</w:t>
      </w:r>
    </w:p>
    <w:p>
      <w:pPr>
        <w:widowControl/>
        <w:ind w:firstLine="640" w:firstLineChars="200"/>
        <w:jc w:val="left"/>
        <w:outlineLvl w:val="1"/>
        <w:rPr>
          <w:rFonts w:ascii="仿宋_GB2312" w:eastAsia="仿宋_GB2312"/>
          <w:color w:val="auto"/>
          <w:sz w:val="32"/>
          <w:szCs w:val="32"/>
        </w:rPr>
      </w:pPr>
      <w:r>
        <w:rPr>
          <w:rFonts w:ascii="仿宋_GB2312" w:eastAsia="仿宋_GB2312"/>
          <w:color w:val="auto"/>
          <w:sz w:val="32"/>
          <w:szCs w:val="32"/>
        </w:rPr>
        <w:t>八、《国有资本经营预算财政拨款收入支出决算表》</w:t>
      </w:r>
    </w:p>
    <w:p>
      <w:pPr>
        <w:widowControl/>
        <w:ind w:firstLine="640" w:firstLineChars="200"/>
        <w:jc w:val="left"/>
        <w:outlineLvl w:val="1"/>
        <w:rPr>
          <w:rFonts w:ascii="仿宋_GB2312" w:eastAsia="仿宋_GB2312"/>
          <w:color w:val="auto"/>
          <w:sz w:val="32"/>
          <w:szCs w:val="32"/>
        </w:rPr>
        <w:sectPr>
          <w:pgSz w:w="12240" w:h="15840"/>
          <w:pgMar w:top="1440" w:right="1800" w:bottom="1440" w:left="1800" w:header="720" w:footer="720" w:gutter="0"/>
          <w:cols w:space="720" w:num="1"/>
        </w:sectPr>
      </w:pPr>
      <w:r>
        <w:rPr>
          <w:rFonts w:ascii="仿宋_GB2312" w:eastAsia="仿宋_GB2312"/>
          <w:color w:val="auto"/>
          <w:sz w:val="32"/>
          <w:szCs w:val="32"/>
        </w:rPr>
        <w:t>九、《财政拨款“三公”经费支出决算表》</w:t>
      </w:r>
    </w:p>
    <w:p>
      <w:pPr>
        <w:widowControl/>
        <w:jc w:val="left"/>
        <w:outlineLvl w:val="1"/>
        <w:rPr>
          <w:rFonts w:ascii="仿宋_GB2312" w:eastAsia="仿宋_GB2312"/>
          <w:color w:val="auto"/>
          <w:sz w:val="16"/>
          <w:szCs w:val="16"/>
        </w:rPr>
        <w:sectPr>
          <w:pgSz w:w="12240" w:h="15840"/>
          <w:pgMar w:top="1440" w:right="1800" w:bottom="1440" w:left="1800" w:header="720" w:footer="720" w:gutter="0"/>
          <w:cols w:space="720" w:num="1"/>
        </w:sectPr>
      </w:pPr>
      <w:r>
        <w:drawing>
          <wp:inline distT="0" distB="0" distL="114300" distR="114300">
            <wp:extent cx="5801995" cy="759333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01995" cy="7593330"/>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2590" cy="5177155"/>
            <wp:effectExtent l="0" t="0" r="3810" b="444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5">
                      <a:grayscl/>
                    </a:blip>
                    <a:stretch>
                      <a:fillRect/>
                    </a:stretch>
                  </pic:blipFill>
                  <pic:spPr>
                    <a:xfrm>
                      <a:off x="0" y="0"/>
                      <a:ext cx="5482590" cy="517715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1955" cy="6306185"/>
            <wp:effectExtent l="0" t="0" r="444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1955" cy="630618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721985" cy="3992245"/>
            <wp:effectExtent l="0" t="0" r="825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721985" cy="3992245"/>
                    </a:xfrm>
                    <a:prstGeom prst="rect">
                      <a:avLst/>
                    </a:prstGeom>
                    <a:noFill/>
                    <a:ln>
                      <a:noFill/>
                    </a:ln>
                  </pic:spPr>
                </pic:pic>
              </a:graphicData>
            </a:graphic>
          </wp:inline>
        </w:drawing>
      </w:r>
    </w:p>
    <w:p>
      <w:pPr>
        <w:widowControl/>
        <w:jc w:val="left"/>
        <w:outlineLvl w:val="1"/>
        <w:rPr>
          <w:rFonts w:ascii="仿宋_GB2312" w:eastAsia="仿宋_GB2312"/>
          <w:color w:val="auto"/>
          <w:sz w:val="16"/>
          <w:szCs w:val="16"/>
        </w:rPr>
        <w:sectPr>
          <w:pgSz w:w="12240" w:h="15840"/>
          <w:pgMar w:top="1440" w:right="1800" w:bottom="1440" w:left="1800" w:header="720" w:footer="720" w:gutter="0"/>
          <w:cols w:space="720" w:num="1"/>
        </w:sectPr>
      </w:pPr>
      <w:r>
        <w:drawing>
          <wp:inline distT="0" distB="0" distL="114300" distR="114300">
            <wp:extent cx="5483225" cy="7023735"/>
            <wp:effectExtent l="0" t="0" r="317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3225" cy="702373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523230" cy="5254625"/>
            <wp:effectExtent l="0" t="0" r="889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523230" cy="5254625"/>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sectPr>
          <w:pgSz w:w="12240" w:h="15840"/>
          <w:pgMar w:top="1440" w:right="1800" w:bottom="1440" w:left="1800" w:header="720" w:footer="720" w:gutter="0"/>
          <w:cols w:space="720" w:num="1"/>
        </w:sectPr>
      </w:pPr>
      <w:r>
        <w:drawing>
          <wp:inline distT="0" distB="0" distL="114300" distR="114300">
            <wp:extent cx="5485130" cy="2831465"/>
            <wp:effectExtent l="0" t="0" r="1270" b="317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0">
                      <a:grayscl/>
                    </a:blip>
                    <a:stretch>
                      <a:fillRect/>
                    </a:stretch>
                  </pic:blipFill>
                  <pic:spPr>
                    <a:xfrm>
                      <a:off x="0" y="0"/>
                      <a:ext cx="5485130" cy="2831465"/>
                    </a:xfrm>
                    <a:prstGeom prst="rect">
                      <a:avLst/>
                    </a:prstGeom>
                    <a:noFill/>
                    <a:ln>
                      <a:noFill/>
                    </a:ln>
                  </pic:spPr>
                </pic:pic>
              </a:graphicData>
            </a:graphic>
          </wp:inline>
        </w:drawing>
      </w:r>
    </w:p>
    <w:p>
      <w:pPr>
        <w:widowControl/>
        <w:jc w:val="left"/>
        <w:outlineLvl w:val="1"/>
        <w:sectPr>
          <w:pgSz w:w="12240" w:h="15840"/>
          <w:pgMar w:top="1440" w:right="1800" w:bottom="1440" w:left="1800" w:header="720" w:footer="720" w:gutter="0"/>
          <w:cols w:space="720" w:num="1"/>
        </w:sectPr>
      </w:pPr>
      <w:r>
        <w:drawing>
          <wp:inline distT="0" distB="0" distL="114300" distR="114300">
            <wp:extent cx="5485130" cy="2422525"/>
            <wp:effectExtent l="0" t="0" r="1270" b="63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5485130" cy="2422525"/>
                    </a:xfrm>
                    <a:prstGeom prst="rect">
                      <a:avLst/>
                    </a:prstGeom>
                    <a:noFill/>
                    <a:ln>
                      <a:noFill/>
                    </a:ln>
                  </pic:spPr>
                </pic:pic>
              </a:graphicData>
            </a:graphic>
          </wp:inline>
        </w:drawing>
      </w:r>
    </w:p>
    <w:p>
      <w:pPr>
        <w:widowControl/>
        <w:jc w:val="left"/>
        <w:outlineLvl w:val="1"/>
        <w:sectPr>
          <w:pgSz w:w="12240" w:h="15840"/>
          <w:pgMar w:top="1440" w:right="1800" w:bottom="1440" w:left="1800" w:header="720" w:footer="720" w:gutter="0"/>
          <w:cols w:space="720" w:num="1"/>
        </w:sectPr>
      </w:pPr>
      <w:bookmarkStart w:id="0" w:name="_GoBack"/>
      <w:bookmarkEnd w:id="0"/>
      <w:r>
        <w:drawing>
          <wp:inline distT="0" distB="0" distL="114300" distR="114300">
            <wp:extent cx="5589905" cy="1484630"/>
            <wp:effectExtent l="0" t="0" r="317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589905" cy="1484630"/>
                    </a:xfrm>
                    <a:prstGeom prst="rect">
                      <a:avLst/>
                    </a:prstGeom>
                    <a:noFill/>
                    <a:ln>
                      <a:noFill/>
                    </a:ln>
                  </pic:spPr>
                </pic:pic>
              </a:graphicData>
            </a:graphic>
          </wp:inline>
        </w:drawing>
      </w:r>
    </w:p>
    <w:p>
      <w:pPr>
        <w:widowControl/>
        <w:jc w:val="left"/>
        <w:outlineLvl w:val="1"/>
        <w:rPr>
          <w:rFonts w:ascii="仿宋_GB2312" w:eastAsia="仿宋_GB2312"/>
          <w:color w:val="auto"/>
          <w:sz w:val="14"/>
          <w:szCs w:val="14"/>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634CB9"/>
    <w:rsid w:val="001938C2"/>
    <w:rsid w:val="004A11A0"/>
    <w:rsid w:val="00634CB9"/>
    <w:rsid w:val="006D5DD8"/>
    <w:rsid w:val="00A87E13"/>
    <w:rsid w:val="00E82C07"/>
    <w:rsid w:val="00F3393D"/>
    <w:rsid w:val="02042442"/>
    <w:rsid w:val="02181C38"/>
    <w:rsid w:val="03C30758"/>
    <w:rsid w:val="084F4113"/>
    <w:rsid w:val="08793C6A"/>
    <w:rsid w:val="087C3BCD"/>
    <w:rsid w:val="0916313D"/>
    <w:rsid w:val="0A5F3462"/>
    <w:rsid w:val="0B5B2D12"/>
    <w:rsid w:val="0D4F2170"/>
    <w:rsid w:val="0E362B15"/>
    <w:rsid w:val="0E706863"/>
    <w:rsid w:val="0E8E3FBB"/>
    <w:rsid w:val="0F5A157D"/>
    <w:rsid w:val="111175B5"/>
    <w:rsid w:val="123309EA"/>
    <w:rsid w:val="12EA7551"/>
    <w:rsid w:val="14E04781"/>
    <w:rsid w:val="15895AAD"/>
    <w:rsid w:val="17577011"/>
    <w:rsid w:val="18D828CA"/>
    <w:rsid w:val="193D7790"/>
    <w:rsid w:val="1F0207D7"/>
    <w:rsid w:val="22631368"/>
    <w:rsid w:val="24FD48AF"/>
    <w:rsid w:val="26F06BF9"/>
    <w:rsid w:val="280D0AD6"/>
    <w:rsid w:val="289469ED"/>
    <w:rsid w:val="28E24C36"/>
    <w:rsid w:val="2ECD2FF2"/>
    <w:rsid w:val="2F9264E2"/>
    <w:rsid w:val="309A1877"/>
    <w:rsid w:val="30EB75BE"/>
    <w:rsid w:val="312A5C3B"/>
    <w:rsid w:val="315F37FD"/>
    <w:rsid w:val="32966C8C"/>
    <w:rsid w:val="33CF6F3B"/>
    <w:rsid w:val="34916573"/>
    <w:rsid w:val="34DE2D5C"/>
    <w:rsid w:val="3CC82644"/>
    <w:rsid w:val="3CCA4B4A"/>
    <w:rsid w:val="3EEC1371"/>
    <w:rsid w:val="401D143A"/>
    <w:rsid w:val="42943CD0"/>
    <w:rsid w:val="44C3754D"/>
    <w:rsid w:val="44F8765C"/>
    <w:rsid w:val="45925362"/>
    <w:rsid w:val="480A58E2"/>
    <w:rsid w:val="4BAE6AAD"/>
    <w:rsid w:val="4C5601E9"/>
    <w:rsid w:val="4F2E29E0"/>
    <w:rsid w:val="523662EB"/>
    <w:rsid w:val="53BC05E2"/>
    <w:rsid w:val="54193B37"/>
    <w:rsid w:val="545D3446"/>
    <w:rsid w:val="55DF2277"/>
    <w:rsid w:val="564F1820"/>
    <w:rsid w:val="58D9599E"/>
    <w:rsid w:val="5A6D63AE"/>
    <w:rsid w:val="5B0B535E"/>
    <w:rsid w:val="5B0F084E"/>
    <w:rsid w:val="5B975267"/>
    <w:rsid w:val="5F262277"/>
    <w:rsid w:val="5F907FD4"/>
    <w:rsid w:val="608A4D75"/>
    <w:rsid w:val="608D0B60"/>
    <w:rsid w:val="6098051F"/>
    <w:rsid w:val="61BC7014"/>
    <w:rsid w:val="62FF57AA"/>
    <w:rsid w:val="6387752C"/>
    <w:rsid w:val="664B0BAF"/>
    <w:rsid w:val="67C629CD"/>
    <w:rsid w:val="68662622"/>
    <w:rsid w:val="694D4A64"/>
    <w:rsid w:val="6B3D343B"/>
    <w:rsid w:val="6CE40287"/>
    <w:rsid w:val="6EBF27C1"/>
    <w:rsid w:val="70001E7E"/>
    <w:rsid w:val="705D754D"/>
    <w:rsid w:val="708A2E02"/>
    <w:rsid w:val="715A7F6B"/>
    <w:rsid w:val="718A6DA0"/>
    <w:rsid w:val="735306EF"/>
    <w:rsid w:val="771423F8"/>
    <w:rsid w:val="7BE50197"/>
    <w:rsid w:val="7CD805A7"/>
    <w:rsid w:val="7DF40650"/>
    <w:rsid w:val="7DFB675C"/>
    <w:rsid w:val="7E5E3111"/>
    <w:rsid w:val="7E6C7427"/>
    <w:rsid w:val="7EF656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13</Pages>
  <Words>953</Words>
  <Characters>5434</Characters>
  <Lines>45</Lines>
  <Paragraphs>12</Paragraphs>
  <TotalTime>0</TotalTime>
  <ScaleCrop>false</ScaleCrop>
  <LinksUpToDate>false</LinksUpToDate>
  <CharactersWithSpaces>6375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2025-08-13T02:29:00Z</dcterms:created>
  <dc:creator>ylzx-00</dc:creator>
  <cp:lastModifiedBy>lenovo</cp:lastModifiedBy>
  <dcterms:modified xsi:type="dcterms:W3CDTF">2025-08-19T11:40:08Z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084C3B5E9F3E4ECA93C873604EA047F1</vt:lpwstr>
  </property>
</Properties>
</file>