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color w:val="auto"/>
          <w:sz w:val="32"/>
          <w:szCs w:val="32"/>
        </w:rPr>
      </w:pPr>
    </w:p>
    <w:p>
      <w:pPr>
        <w:widowControl/>
        <w:spacing w:before="0" w:beforeLines="0" w:beforeAutospacing="0" w:after="0" w:afterLines="0" w:afterAutospacing="0" w:line="240" w:lineRule="auto"/>
        <w:jc w:val="left"/>
        <w:rPr>
          <w:rFonts w:ascii="宋体" w:eastAsia="宋体"/>
          <w:color w:val="auto"/>
          <w:sz w:val="44"/>
          <w:szCs w:val="44"/>
        </w:rPr>
      </w:pPr>
    </w:p>
    <w:p>
      <w:pPr>
        <w:widowControl/>
        <w:spacing w:before="0" w:beforeLines="0" w:beforeAutospacing="0" w:after="0" w:afterLines="0" w:afterAutospacing="0" w:line="240" w:lineRule="auto"/>
        <w:jc w:val="left"/>
        <w:rPr>
          <w:rFonts w:ascii="宋体" w:eastAsia="宋体"/>
          <w:color w:val="auto"/>
          <w:sz w:val="44"/>
          <w:szCs w:val="44"/>
        </w:rPr>
      </w:pPr>
    </w:p>
    <w:p>
      <w:pPr>
        <w:widowControl/>
        <w:spacing w:before="0" w:beforeLines="0" w:beforeAutospacing="0" w:after="0" w:afterLines="0" w:afterAutospacing="0" w:line="240" w:lineRule="auto"/>
        <w:jc w:val="left"/>
        <w:rPr>
          <w:rFonts w:ascii="宋体" w:eastAsia="宋体"/>
          <w:color w:val="auto"/>
          <w:sz w:val="44"/>
          <w:szCs w:val="44"/>
        </w:rPr>
      </w:pPr>
    </w:p>
    <w:p>
      <w:pPr>
        <w:widowControl/>
        <w:spacing w:before="0" w:beforeLines="0" w:beforeAutospacing="0" w:after="0" w:afterLines="0" w:afterAutospacing="0" w:line="240" w:lineRule="auto"/>
        <w:jc w:val="center"/>
        <w:outlineLvl w:val="0"/>
        <w:rPr>
          <w:rFonts w:ascii="宋体" w:eastAsia="黑体"/>
          <w:color w:val="auto"/>
          <w:sz w:val="44"/>
          <w:szCs w:val="44"/>
        </w:rPr>
      </w:pPr>
      <w:r>
        <w:rPr>
          <w:rFonts w:ascii="宋体" w:eastAsia="黑体"/>
          <w:b w:val="0"/>
          <w:color w:val="auto"/>
          <w:sz w:val="44"/>
          <w:szCs w:val="44"/>
        </w:rPr>
        <w:t>库尔勒市园林科学研究所</w:t>
      </w:r>
    </w:p>
    <w:p>
      <w:pPr>
        <w:widowControl/>
        <w:spacing w:before="0" w:beforeLines="0" w:beforeAutospacing="0" w:after="0" w:afterLines="0" w:afterAutospacing="0" w:line="240" w:lineRule="auto"/>
        <w:jc w:val="center"/>
        <w:outlineLvl w:val="0"/>
        <w:rPr>
          <w:rFonts w:ascii="黑体" w:eastAsia="黑体"/>
          <w:color w:val="auto"/>
          <w:sz w:val="44"/>
          <w:szCs w:val="44"/>
        </w:rPr>
      </w:pPr>
      <w:r>
        <w:rPr>
          <w:rFonts w:ascii="黑体" w:eastAsia="黑体"/>
          <w:b w:val="0"/>
          <w:color w:val="auto"/>
          <w:sz w:val="44"/>
          <w:szCs w:val="44"/>
        </w:rPr>
        <w:t>2024年度部门决算公开说明</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rPr>
          <w:rFonts w:ascii="黑体" w:eastAsia="黑体"/>
          <w:color w:val="auto"/>
          <w:sz w:val="32"/>
          <w:szCs w:val="32"/>
        </w:rPr>
      </w:pPr>
      <w:r>
        <w:rPr>
          <w:rFonts w:ascii="黑体" w:eastAsia="黑体"/>
          <w:b/>
          <w:color w:val="auto"/>
          <w:sz w:val="32"/>
          <w:szCs w:val="32"/>
        </w:rPr>
        <w:t>目录</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第一部分单位概况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一、主要职能</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二、机构设置及人员情况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二、收入决算情况说明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（二）政府采购情况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十二、其他需说明的事项</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第三部分专业名词解释</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一、《收入支出决算总表》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二、《收入决算表》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九、《财政拨款“三公”经费支出决算表》</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一、主要职能</w:t>
      </w:r>
    </w:p>
    <w:p>
      <w:pPr>
        <w:ind w:firstLine="640" w:firstLineChars="200"/>
        <w:rPr>
          <w:rFonts w:ascii="仿宋_GB2312" w:eastAsia="仿宋_GB2312"/>
          <w:color w:val="auto"/>
          <w:sz w:val="32"/>
          <w:szCs w:val="32"/>
        </w:rPr>
      </w:pPr>
      <w:r>
        <w:rPr>
          <w:rFonts w:hint="eastAsia" w:ascii="仿宋_GB2312" w:eastAsia="仿宋_GB2312"/>
          <w:color w:val="auto"/>
          <w:sz w:val="32"/>
          <w:szCs w:val="32"/>
        </w:rPr>
        <w:t>引种驯化培育园林苗木和研究园林技术，促进园林事业的发展。品种引种驯化花卉苗木生产、园林科学技术研究园林科学技术推广、园林设计研究、园林施工建设</w:t>
      </w:r>
      <w:r>
        <w:rPr>
          <w:rFonts w:hint="eastAsia" w:ascii="仿宋_GB2312" w:hAnsi="仿宋_GB2312" w:cs="宋体"/>
          <w:color w:val="auto"/>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库尔勒市园林科学研究所2024年度，实有人数9人，其中：在职人员4人，较上年无变化；离休人员0人，较上年无变化；退休人员5人，较上年无变化；</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库尔勒市园林科学研究所无下属预算单位，下设</w:t>
      </w:r>
      <w:r>
        <w:rPr>
          <w:rFonts w:hint="eastAsia" w:ascii="仿宋_GB2312" w:eastAsia="仿宋_GB2312"/>
          <w:b w:val="0"/>
          <w:color w:val="auto"/>
          <w:sz w:val="32"/>
          <w:szCs w:val="32"/>
          <w:lang w:val="en-US" w:eastAsia="zh-CN"/>
        </w:rPr>
        <w:t>2</w:t>
      </w:r>
      <w:r>
        <w:rPr>
          <w:rFonts w:ascii="仿宋_GB2312" w:eastAsia="仿宋_GB2312"/>
          <w:b w:val="0"/>
          <w:color w:val="auto"/>
          <w:sz w:val="32"/>
          <w:szCs w:val="32"/>
        </w:rPr>
        <w:t>个</w:t>
      </w:r>
      <w:r>
        <w:rPr>
          <w:rFonts w:hint="eastAsia" w:ascii="仿宋_GB2312" w:eastAsia="仿宋_GB2312"/>
          <w:b w:val="0"/>
          <w:color w:val="auto"/>
          <w:sz w:val="32"/>
          <w:szCs w:val="32"/>
          <w:lang w:eastAsia="zh-CN"/>
        </w:rPr>
        <w:t>处室</w:t>
      </w:r>
      <w:r>
        <w:rPr>
          <w:rFonts w:ascii="仿宋_GB2312" w:eastAsia="仿宋_GB2312"/>
          <w:b w:val="0"/>
          <w:color w:val="auto"/>
          <w:sz w:val="32"/>
          <w:szCs w:val="32"/>
        </w:rPr>
        <w:t>，分别是：</w:t>
      </w:r>
      <w:r>
        <w:rPr>
          <w:rFonts w:hint="eastAsia" w:ascii="仿宋_GB2312" w:eastAsia="仿宋_GB2312"/>
          <w:color w:val="auto"/>
          <w:sz w:val="32"/>
          <w:szCs w:val="32"/>
        </w:rPr>
        <w:t>办公室和业务科</w:t>
      </w:r>
      <w:r>
        <w:rPr>
          <w:rFonts w:ascii="仿宋_GB2312" w:eastAsia="仿宋_GB2312"/>
          <w:b w:val="0"/>
          <w:color w:val="auto"/>
          <w:sz w:val="32"/>
          <w:szCs w:val="32"/>
        </w:rPr>
        <w:t>。</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2024年度收入总计84.32万元，其中：本年收入合计84.32万元，使用非财政拨款结余（含专用结余）0.00万元，年初结转和结余0.00万元。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2024年度支出总计84.32万元，其中：本年支出合计84.32万元，结余分配0.00万元，年末结转和结余0.00万元。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收入支出总体与上年相比，减少50.40万元，下降37.41%，主要原因是：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eastAsia="zh-CN"/>
        </w:rPr>
        <w:t>，厉行节约减少办公费用开支，且按照医保相关政策，退休人员不再缴纳医疗保险。</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本年收入84.32万元，其中：财政拨款收入84.32万元,占100.00%；上级补助收入0.00万元,占0.00%；事业收入0.00万元，占0.00%；经营收入0.00万元,占0.00%；附属单位上缴收入0.00万元，占0.00%；其他收入0.00万元，占0.00%。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本年支出84.32万元，其中：基本支出82.82万元，占98.22%；项目支出1.50万元，占1.78%；上缴上级支出0.00万元，占0.00%；经营支出0.00万元，占0.00%；对附属单位补助支出0.00万元，占0.00%。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2024年度财政拨款收入总计84.32万元，其中：年初财政拨款结转和结余0.00万元，本年财政拨款收入84.32万元。财政拨款支出总计84.32万元，其中：年末财政拨款结转和结余0.00万元，本年财政拨款支出84.32万元。</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财政拨款收入支出总体与上年相比，减少50.40万元，下降37.41%，主要原因是：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eastAsia="zh-CN"/>
        </w:rPr>
        <w:t>，厉行节约减少办公费用开支，且按照医保相关政策，退休人员不再缴纳医疗保险</w:t>
      </w:r>
      <w:r>
        <w:rPr>
          <w:rFonts w:ascii="仿宋_GB2312" w:eastAsia="仿宋_GB2312"/>
          <w:b w:val="0"/>
          <w:color w:val="auto"/>
          <w:sz w:val="32"/>
          <w:szCs w:val="32"/>
        </w:rPr>
        <w:t>。与年初预算相比，年初预算数142.52万元，决算数84.32万元，预决算差异率-40.84%，主要原因是：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eastAsia="zh-CN"/>
        </w:rPr>
        <w:t>，厉行节约减少办公费用开支，且按照医保相关政策，退休人员不再缴纳医疗保险</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2024年度一般公共预算财政拨款支出84.32万元，占本年支出合计的100.00%。与上年相比，减少50.40万元，下降37.41%，主要原因是：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eastAsia="zh-CN"/>
        </w:rPr>
        <w:t>，厉行节约减少办公费用开支，且按照医保相关政策，退休人员不再缴纳医疗保险</w:t>
      </w:r>
      <w:r>
        <w:rPr>
          <w:rFonts w:ascii="仿宋_GB2312" w:eastAsia="仿宋_GB2312"/>
          <w:b w:val="0"/>
          <w:color w:val="auto"/>
          <w:sz w:val="32"/>
          <w:szCs w:val="32"/>
        </w:rPr>
        <w:t>。与年初预算相比，年初预算数142.52万元，决算数84.32万元，预决算差异率-40.84%，主要原因是：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eastAsia="zh-CN"/>
        </w:rPr>
        <w:t>，厉行节约减少办公费用开支，且按照医保相关政策，退休人员不再缴纳医疗保险</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教育支出（类）0.74万元，占0.88%。</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科学技术支出（类）1.50万元，占1.78%。</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社会保障和就业支出（类）11.51万元，占13.65%。</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卫生健康支出（类）4.25万元，占5.04%。</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城乡社区支出（类）59.63万元，占70.72%。</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住房保障支出（类）6.68万元，占7.92%。</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教育支出（类）进修及培训（款）培训支出（项）：支出决算数为0.74万元，比上年决算增加0.74万元，增长100.00%，主要原因是：</w:t>
      </w:r>
      <w:r>
        <w:rPr>
          <w:rFonts w:hint="eastAsia" w:ascii="仿宋_GB2312" w:eastAsia="仿宋_GB2312"/>
          <w:b w:val="0"/>
          <w:color w:val="auto"/>
          <w:sz w:val="32"/>
          <w:szCs w:val="32"/>
          <w:lang w:val="en-US" w:eastAsia="zh-CN"/>
        </w:rPr>
        <w:t>2024年按照上级要求安排1名干部进行培训，且按照财政要求进行科目调剂将培训费用于办公费、实验用材料支出。</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科学技术支出（类）技术研究与开发（款）科技成果转化与扩散（项）：支出决算数为1.50万元，与上年相比无变化，主要原因是：</w:t>
      </w:r>
      <w:r>
        <w:rPr>
          <w:rFonts w:hint="eastAsia" w:ascii="仿宋_GB2312" w:eastAsia="仿宋_GB2312"/>
          <w:b w:val="0"/>
          <w:color w:val="auto"/>
          <w:sz w:val="32"/>
          <w:szCs w:val="32"/>
          <w:lang w:eastAsia="zh-CN"/>
        </w:rPr>
        <w:t>该项目经费共计三万元，按上级要求平均分两年支付完成同时今年无新增立项课题。</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b w:val="0"/>
          <w:color w:val="auto"/>
          <w:sz w:val="32"/>
          <w:szCs w:val="32"/>
          <w:lang w:val="en-US" w:eastAsia="zh-CN"/>
        </w:rPr>
      </w:pPr>
      <w:r>
        <w:rPr>
          <w:rFonts w:ascii="仿宋_GB2312" w:eastAsia="仿宋_GB2312"/>
          <w:b w:val="0"/>
          <w:color w:val="auto"/>
          <w:sz w:val="32"/>
          <w:szCs w:val="32"/>
        </w:rPr>
        <w:t>社会保障和就业支出（类）行政事业单位养老支出（款）事业单位离退休（项）：支出决算数为3.28万元，比上年决算增加0.59万元，增长21.93%，主要原因是：</w:t>
      </w:r>
      <w:r>
        <w:rPr>
          <w:rFonts w:hint="eastAsia" w:ascii="仿宋_GB2312" w:eastAsia="仿宋_GB2312"/>
          <w:b w:val="0"/>
          <w:color w:val="auto"/>
          <w:sz w:val="32"/>
          <w:szCs w:val="32"/>
          <w:lang w:val="en-US" w:eastAsia="zh-CN"/>
        </w:rPr>
        <w:t>2024年较上年新增2名退休人员，因此退休费增加。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社会保障和就业支出（类）行政事业单位养老支出（款）机关事业单位基本养老保险缴费支出（项）：支出决算数为8.22万元，比上年决算减少3.41万元，下降29.32%，主要原因是：</w:t>
      </w:r>
      <w:r>
        <w:rPr>
          <w:rFonts w:hint="eastAsia" w:ascii="仿宋_GB2312" w:eastAsia="仿宋_GB2312"/>
          <w:b w:val="0"/>
          <w:color w:val="auto"/>
          <w:sz w:val="32"/>
          <w:szCs w:val="32"/>
          <w:lang w:eastAsia="zh-CN"/>
        </w:rPr>
        <w:t>人员工资逐年增加，因此养老基数随之增加。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社会保障和就业支出（类）行政事业单位养老支出（款）机关事业单位职业年金缴费支出（项）：支出决算数为0.00万元，比上年决算减少16.60万元，下降100.00%，主要原因是：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eastAsia="zh-CN"/>
        </w:rPr>
        <w:t>，</w:t>
      </w:r>
      <w:r>
        <w:rPr>
          <w:rFonts w:hint="eastAsia" w:ascii="仿宋_GB2312" w:eastAsia="仿宋_GB2312"/>
          <w:b w:val="0"/>
          <w:color w:val="auto"/>
          <w:sz w:val="32"/>
          <w:szCs w:val="32"/>
          <w:lang w:val="en-US" w:eastAsia="zh-CN"/>
        </w:rPr>
        <w:t>2024年度无新增退休人员，因此</w:t>
      </w:r>
      <w:r>
        <w:rPr>
          <w:rFonts w:ascii="仿宋_GB2312" w:eastAsia="仿宋_GB2312"/>
          <w:b w:val="0"/>
          <w:color w:val="auto"/>
          <w:sz w:val="32"/>
          <w:szCs w:val="32"/>
        </w:rPr>
        <w:t>机关事业单位职业年金缴费支出</w:t>
      </w:r>
      <w:r>
        <w:rPr>
          <w:rFonts w:hint="eastAsia" w:ascii="仿宋_GB2312" w:eastAsia="仿宋_GB2312"/>
          <w:b w:val="0"/>
          <w:color w:val="auto"/>
          <w:sz w:val="32"/>
          <w:szCs w:val="32"/>
          <w:lang w:val="en-US" w:eastAsia="zh-CN"/>
        </w:rPr>
        <w:t>较上年减少。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卫生健康支出（类）行政事业单位医疗（款）事业单位医疗（项）：支出决算数为4.25万元，比上年决算减少2.38万元，下降35.90%，主要原因是：</w:t>
      </w:r>
      <w:r>
        <w:rPr>
          <w:rFonts w:hint="eastAsia" w:ascii="仿宋_GB2312" w:eastAsia="仿宋_GB2312"/>
          <w:b w:val="0"/>
          <w:color w:val="auto"/>
          <w:sz w:val="32"/>
          <w:szCs w:val="32"/>
          <w:lang w:eastAsia="zh-CN"/>
        </w:rPr>
        <w:t>按照医保相关政策，</w:t>
      </w:r>
      <w:r>
        <w:rPr>
          <w:rFonts w:hint="eastAsia" w:ascii="仿宋_GB2312" w:eastAsia="仿宋_GB2312"/>
          <w:b w:val="0"/>
          <w:color w:val="auto"/>
          <w:sz w:val="32"/>
          <w:szCs w:val="32"/>
          <w:lang w:val="en-US" w:eastAsia="zh-CN"/>
        </w:rPr>
        <w:t>2024年起</w:t>
      </w:r>
      <w:r>
        <w:rPr>
          <w:rFonts w:hint="eastAsia" w:ascii="仿宋_GB2312" w:eastAsia="仿宋_GB2312"/>
          <w:b w:val="0"/>
          <w:color w:val="auto"/>
          <w:sz w:val="32"/>
          <w:szCs w:val="32"/>
          <w:lang w:eastAsia="zh-CN"/>
        </w:rPr>
        <w:t>退休人员不再缴纳医疗保险，因此医疗保险较上年减少</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城乡社区支出（类）城乡社区管理事务（款）其他城乡社区管理事务支出（项）：支出决算数为59.63万元，比上年决算减少27.28万元，下降31.39%，主要原因是：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eastAsia="zh-CN"/>
        </w:rPr>
        <w:t>，厉行节约减少办公费用开支</w:t>
      </w:r>
      <w:r>
        <w:rPr>
          <w:rFonts w:ascii="仿宋_GB2312" w:eastAsia="仿宋_GB2312"/>
          <w:b w:val="0"/>
          <w:color w:val="auto"/>
          <w:sz w:val="32"/>
          <w:szCs w:val="32"/>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住房保障支出（类）住房改革支出（款）住房公积金（项）：支出决算数为6.68万元，比上年决算减少2.08万元，下降23.74%，主要原因是：</w:t>
      </w:r>
      <w:r>
        <w:rPr>
          <w:rFonts w:hint="eastAsia" w:ascii="仿宋_GB2312" w:eastAsia="仿宋_GB2312"/>
          <w:b w:val="0"/>
          <w:color w:val="auto"/>
          <w:sz w:val="32"/>
          <w:szCs w:val="32"/>
          <w:lang w:val="en-US" w:eastAsia="zh-CN"/>
        </w:rPr>
        <w:t>2023年底</w:t>
      </w:r>
      <w:r>
        <w:rPr>
          <w:rFonts w:hint="eastAsia" w:ascii="仿宋_GB2312" w:eastAsia="仿宋_GB2312"/>
          <w:b w:val="0"/>
          <w:color w:val="auto"/>
          <w:sz w:val="32"/>
          <w:szCs w:val="32"/>
        </w:rPr>
        <w:t>2名高级工程师在职转退休</w:t>
      </w:r>
      <w:r>
        <w:rPr>
          <w:rFonts w:hint="eastAsia" w:ascii="仿宋_GB2312" w:eastAsia="仿宋_GB2312"/>
          <w:b w:val="0"/>
          <w:color w:val="auto"/>
          <w:sz w:val="32"/>
          <w:szCs w:val="32"/>
          <w:lang w:eastAsia="zh-CN"/>
        </w:rPr>
        <w:t>，因此住房公积金较上年减少。</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一般公共预算财政拨款基本支出82.82万元，其中：人员经费79.89万元，包括：基本工资、津贴补贴、奖金、机关事业单位基本养老保险缴费、职工基本医疗保险缴费、其他社会保障缴费、住房公积金、退休费和奖励金。</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公用经费2.92万元，包括：办公费、培训费、专用材料费、工会经费和福利费。</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2024年度财政拨款“三公”经费支出0.00万元，与上年相比无变化，主要原因是：</w:t>
      </w:r>
      <w:r>
        <w:rPr>
          <w:rFonts w:hint="eastAsia" w:ascii="仿宋_GB2312" w:eastAsia="仿宋_GB2312"/>
          <w:color w:val="auto"/>
          <w:sz w:val="32"/>
          <w:szCs w:val="32"/>
        </w:rPr>
        <w:t>本年未安排三公经费支出，与上年相比无变动</w:t>
      </w:r>
      <w:r>
        <w:rPr>
          <w:rFonts w:ascii="仿宋_GB2312" w:eastAsia="仿宋_GB2312"/>
          <w:b w:val="0"/>
          <w:color w:val="auto"/>
          <w:sz w:val="32"/>
          <w:szCs w:val="32"/>
        </w:rPr>
        <w:t>。其中：因公出国（境）费支出0.00万元,占0.00%，与上年相比无变化，主要原因是：</w:t>
      </w:r>
      <w:r>
        <w:rPr>
          <w:rFonts w:hint="eastAsia" w:ascii="仿宋_GB2312" w:eastAsia="仿宋_GB2312"/>
          <w:color w:val="auto"/>
          <w:sz w:val="32"/>
          <w:szCs w:val="32"/>
        </w:rPr>
        <w:t>本年无因公出国（境）费支出，与上年相比无变动</w:t>
      </w:r>
      <w:r>
        <w:rPr>
          <w:rFonts w:ascii="仿宋_GB2312" w:eastAsia="仿宋_GB2312"/>
          <w:b w:val="0"/>
          <w:color w:val="auto"/>
          <w:sz w:val="32"/>
          <w:szCs w:val="32"/>
        </w:rPr>
        <w:t>；公务用车购置及运行维护费支出0.00万元，占0.00%，与上年相比无变化，主要原因是：</w:t>
      </w:r>
      <w:r>
        <w:rPr>
          <w:rFonts w:hint="eastAsia" w:ascii="仿宋_GB2312" w:eastAsia="仿宋_GB2312"/>
          <w:color w:val="auto"/>
          <w:sz w:val="32"/>
          <w:szCs w:val="32"/>
        </w:rPr>
        <w:t>公务用车购置及运行维护费无变动</w:t>
      </w:r>
      <w:r>
        <w:rPr>
          <w:rFonts w:ascii="仿宋_GB2312" w:eastAsia="仿宋_GB2312"/>
          <w:b w:val="0"/>
          <w:color w:val="auto"/>
          <w:sz w:val="32"/>
          <w:szCs w:val="32"/>
        </w:rPr>
        <w:t>；公务接待费支出0.00万元，占0.00%，与上年相比无变化，主要原因是：</w:t>
      </w:r>
      <w:r>
        <w:rPr>
          <w:rFonts w:hint="eastAsia" w:ascii="仿宋_GB2312" w:eastAsia="仿宋_GB2312"/>
          <w:color w:val="auto"/>
          <w:sz w:val="32"/>
          <w:szCs w:val="32"/>
        </w:rPr>
        <w:t>公务接待费无变动</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r>
        <w:rPr>
          <w:rFonts w:ascii="仿宋_GB2312" w:eastAsia="仿宋_GB2312"/>
          <w:b w:val="0"/>
          <w:color w:val="auto"/>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因公出国（境）费支出0.00万元，</w:t>
      </w:r>
      <w:r>
        <w:rPr>
          <w:rFonts w:hint="eastAsia" w:ascii="仿宋_GB2312" w:eastAsia="仿宋_GB2312"/>
          <w:b w:val="0"/>
          <w:color w:val="auto"/>
          <w:sz w:val="32"/>
          <w:szCs w:val="32"/>
          <w:lang w:eastAsia="zh-CN"/>
        </w:rPr>
        <w:t>无</w:t>
      </w:r>
      <w:r>
        <w:rPr>
          <w:rFonts w:ascii="仿宋_GB2312" w:eastAsia="仿宋_GB2312"/>
          <w:b w:val="0"/>
          <w:color w:val="auto"/>
          <w:sz w:val="32"/>
          <w:szCs w:val="32"/>
        </w:rPr>
        <w:t>开支内容。单位全年安排的因公出国（境）团组0个，因公出国（境）0人次。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公务用车购置及运行维护费0.00万元，其中：公务用车购置费0.00万元，公务用车运行维护费0.00万元。</w:t>
      </w:r>
      <w:r>
        <w:rPr>
          <w:rFonts w:hint="eastAsia" w:ascii="仿宋_GB2312" w:eastAsia="仿宋_GB2312"/>
          <w:b w:val="0"/>
          <w:color w:val="auto"/>
          <w:sz w:val="32"/>
          <w:szCs w:val="32"/>
          <w:lang w:eastAsia="zh-CN"/>
        </w:rPr>
        <w:t>无</w:t>
      </w:r>
      <w:r>
        <w:rPr>
          <w:rFonts w:ascii="仿宋_GB2312" w:eastAsia="仿宋_GB2312"/>
          <w:b w:val="0"/>
          <w:color w:val="auto"/>
          <w:sz w:val="32"/>
          <w:szCs w:val="32"/>
        </w:rPr>
        <w:t>公务用车运行维护费开支。公务用车购置数0辆，公务用车保有量0辆。国有资产占用情况中固定资产车辆0辆，与公务用车保有量差异原因是：</w:t>
      </w:r>
      <w:r>
        <w:rPr>
          <w:rFonts w:hint="eastAsia" w:ascii="仿宋_GB2312" w:eastAsia="仿宋_GB2312"/>
          <w:color w:val="auto"/>
          <w:sz w:val="32"/>
          <w:szCs w:val="32"/>
        </w:rPr>
        <w:t>固定资产车辆与</w:t>
      </w:r>
      <w:r>
        <w:rPr>
          <w:rFonts w:hint="eastAsia" w:ascii="仿宋_GB2312" w:eastAsia="仿宋_GB2312"/>
          <w:color w:val="auto"/>
          <w:sz w:val="32"/>
          <w:szCs w:val="32"/>
          <w:lang w:val="zh-CN"/>
        </w:rPr>
        <w:t>公务用车</w:t>
      </w:r>
      <w:r>
        <w:rPr>
          <w:rFonts w:hint="eastAsia" w:ascii="仿宋_GB2312" w:eastAsia="仿宋_GB2312"/>
          <w:color w:val="auto"/>
          <w:sz w:val="32"/>
          <w:szCs w:val="32"/>
        </w:rPr>
        <w:t>保有量无差异</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公务接待费0.00万元，</w:t>
      </w:r>
      <w:r>
        <w:rPr>
          <w:rFonts w:hint="eastAsia" w:ascii="仿宋_GB2312" w:eastAsia="仿宋_GB2312"/>
          <w:b w:val="0"/>
          <w:color w:val="auto"/>
          <w:sz w:val="32"/>
          <w:szCs w:val="32"/>
          <w:lang w:eastAsia="zh-CN"/>
        </w:rPr>
        <w:t>无</w:t>
      </w:r>
      <w:r>
        <w:rPr>
          <w:rFonts w:ascii="仿宋_GB2312" w:eastAsia="仿宋_GB2312"/>
          <w:b w:val="0"/>
          <w:color w:val="auto"/>
          <w:sz w:val="32"/>
          <w:szCs w:val="32"/>
        </w:rPr>
        <w:t>开支内容。单位全年安排的国内公务接待0批次，0人次。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与全年预算相比，财政拨款“三公”经费支出全年预算数0.00万元，决算数0.00万元，预决算差异率0.00%，主要原因是：</w:t>
      </w:r>
      <w:r>
        <w:rPr>
          <w:rFonts w:hint="eastAsia" w:ascii="仿宋_GB2312" w:hAnsi="宋体" w:eastAsia="仿宋_GB2312" w:cs="宋体"/>
          <w:color w:val="auto"/>
          <w:kern w:val="0"/>
          <w:sz w:val="32"/>
          <w:szCs w:val="32"/>
        </w:rPr>
        <w:t>预决算无差异</w:t>
      </w:r>
      <w:r>
        <w:rPr>
          <w:rFonts w:ascii="仿宋_GB2312" w:eastAsia="仿宋_GB2312"/>
          <w:b w:val="0"/>
          <w:color w:val="auto"/>
          <w:sz w:val="32"/>
          <w:szCs w:val="32"/>
        </w:rPr>
        <w:t>。其中：因公出国（境）费全年预算数0.00万元，决算数0.00万元，预决算差异率0.00%，主要原因是：</w:t>
      </w:r>
      <w:r>
        <w:rPr>
          <w:rFonts w:hint="eastAsia" w:ascii="仿宋_GB2312" w:hAnsi="宋体" w:eastAsia="仿宋_GB2312" w:cs="宋体"/>
          <w:color w:val="auto"/>
          <w:kern w:val="0"/>
          <w:sz w:val="32"/>
          <w:szCs w:val="32"/>
        </w:rPr>
        <w:t>预决算无差异</w:t>
      </w:r>
      <w:r>
        <w:rPr>
          <w:rFonts w:ascii="仿宋_GB2312" w:eastAsia="仿宋_GB2312"/>
          <w:b w:val="0"/>
          <w:color w:val="auto"/>
          <w:sz w:val="32"/>
          <w:szCs w:val="32"/>
        </w:rPr>
        <w:t>。公务用车购置费全年预算数0.00万元，决算数0.00万元，预决算差异率0.00%，主要原因是：</w:t>
      </w:r>
      <w:r>
        <w:rPr>
          <w:rFonts w:hint="eastAsia" w:ascii="仿宋_GB2312" w:hAnsi="宋体" w:eastAsia="仿宋_GB2312" w:cs="宋体"/>
          <w:color w:val="auto"/>
          <w:kern w:val="0"/>
          <w:sz w:val="32"/>
          <w:szCs w:val="32"/>
        </w:rPr>
        <w:t>预决算无差异</w:t>
      </w:r>
      <w:r>
        <w:rPr>
          <w:rFonts w:ascii="仿宋_GB2312" w:eastAsia="仿宋_GB2312"/>
          <w:b w:val="0"/>
          <w:color w:val="auto"/>
          <w:sz w:val="32"/>
          <w:szCs w:val="32"/>
        </w:rPr>
        <w:t>。公务用车运行维护费全年预算数0.00万元，决算数0.00万元，预决算差异率0.00%，主要原因是：</w:t>
      </w:r>
      <w:r>
        <w:rPr>
          <w:rFonts w:hint="eastAsia" w:ascii="仿宋_GB2312" w:hAnsi="宋体" w:eastAsia="仿宋_GB2312" w:cs="宋体"/>
          <w:color w:val="auto"/>
          <w:kern w:val="0"/>
          <w:sz w:val="32"/>
          <w:szCs w:val="32"/>
        </w:rPr>
        <w:t>预决算无差异</w:t>
      </w:r>
      <w:r>
        <w:rPr>
          <w:rFonts w:ascii="仿宋_GB2312" w:eastAsia="仿宋_GB2312"/>
          <w:b w:val="0"/>
          <w:color w:val="auto"/>
          <w:sz w:val="32"/>
          <w:szCs w:val="32"/>
        </w:rPr>
        <w:t>。公务接待费全年预算数0.00万元，决算数0.00万元，预决算差异率0.00%，主要原因是：</w:t>
      </w:r>
      <w:r>
        <w:rPr>
          <w:rFonts w:hint="eastAsia" w:ascii="仿宋_GB2312" w:hAnsi="宋体" w:eastAsia="仿宋_GB2312" w:cs="宋体"/>
          <w:color w:val="auto"/>
          <w:kern w:val="0"/>
          <w:sz w:val="32"/>
          <w:szCs w:val="32"/>
        </w:rPr>
        <w:t>预决算无差异</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2024年度公用经费支出2.92万元，比上年增加2.55万元，增长</w:t>
      </w:r>
      <w:r>
        <w:rPr>
          <w:rFonts w:hint="eastAsia" w:ascii="仿宋_GB2312" w:eastAsia="仿宋_GB2312"/>
          <w:b w:val="0"/>
          <w:color w:val="auto"/>
          <w:sz w:val="32"/>
          <w:szCs w:val="32"/>
          <w:lang w:val="en-US" w:eastAsia="zh-CN"/>
        </w:rPr>
        <w:t>87.33</w:t>
      </w:r>
      <w:r>
        <w:rPr>
          <w:rFonts w:ascii="仿宋_GB2312" w:eastAsia="仿宋_GB2312"/>
          <w:b w:val="0"/>
          <w:color w:val="auto"/>
          <w:sz w:val="32"/>
          <w:szCs w:val="32"/>
        </w:rPr>
        <w:t>%，主要原因是：</w:t>
      </w:r>
      <w:r>
        <w:rPr>
          <w:rFonts w:hint="eastAsia" w:eastAsia="仿宋_GB2312"/>
          <w:color w:val="auto"/>
          <w:sz w:val="32"/>
          <w:szCs w:val="32"/>
          <w:lang w:val="zh-CN"/>
        </w:rPr>
        <w:t>支付了工会经费、福利费</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2024年度政府采购支出总额0.00万元，其中：政府采购货物支出0.00万元、政府采购工程支出0.00万元、政府采购服务支出0.00万元。</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授予中小企业合同金额0.00万元，占政府采购支出总额的0.00%，其中：授予小微企业合同金额0.00万元，占政府采购支出总额的0.00%。</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b w:val="0"/>
          <w:color w:val="auto"/>
          <w:sz w:val="32"/>
          <w:szCs w:val="32"/>
          <w:lang w:eastAsia="zh-CN"/>
        </w:rPr>
        <w:t>无。</w:t>
      </w:r>
      <w:r>
        <w:rPr>
          <w:rFonts w:ascii="仿宋_GB2312" w:eastAsia="仿宋_GB2312"/>
          <w:b w:val="0"/>
          <w:color w:val="auto"/>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根据预算绩效管理要求，本单位2024年度预算绩效管理形成整体支出绩效自评表1个，全年预算总额</w:t>
      </w:r>
      <w:r>
        <w:rPr>
          <w:rFonts w:hint="eastAsia" w:ascii="仿宋_GB2312" w:eastAsia="仿宋_GB2312"/>
          <w:b w:val="0"/>
          <w:color w:val="auto"/>
          <w:sz w:val="32"/>
          <w:szCs w:val="32"/>
          <w:lang w:val="en-US" w:eastAsia="zh-CN"/>
        </w:rPr>
        <w:t>84.32</w:t>
      </w:r>
      <w:r>
        <w:rPr>
          <w:rFonts w:ascii="仿宋_GB2312" w:eastAsia="仿宋_GB2312"/>
          <w:b w:val="0"/>
          <w:color w:val="auto"/>
          <w:sz w:val="32"/>
          <w:szCs w:val="32"/>
        </w:rPr>
        <w:t>万元，实际执行总额</w:t>
      </w:r>
      <w:r>
        <w:rPr>
          <w:rFonts w:hint="eastAsia" w:ascii="仿宋_GB2312" w:eastAsia="仿宋_GB2312"/>
          <w:b w:val="0"/>
          <w:color w:val="auto"/>
          <w:sz w:val="32"/>
          <w:szCs w:val="32"/>
          <w:lang w:val="en-US" w:eastAsia="zh-CN"/>
        </w:rPr>
        <w:t>84.32</w:t>
      </w:r>
      <w:r>
        <w:rPr>
          <w:rFonts w:ascii="仿宋_GB2312" w:eastAsia="仿宋_GB2312"/>
          <w:b w:val="0"/>
          <w:color w:val="auto"/>
          <w:sz w:val="32"/>
          <w:szCs w:val="32"/>
        </w:rPr>
        <w:t>万元；预算绩效评价项目</w:t>
      </w:r>
      <w:r>
        <w:rPr>
          <w:rFonts w:hint="eastAsia" w:ascii="仿宋_GB2312" w:eastAsia="仿宋_GB2312"/>
          <w:b w:val="0"/>
          <w:color w:val="auto"/>
          <w:sz w:val="32"/>
          <w:szCs w:val="32"/>
          <w:lang w:val="en-US" w:eastAsia="zh-CN"/>
        </w:rPr>
        <w:t>0</w:t>
      </w:r>
      <w:r>
        <w:rPr>
          <w:rFonts w:ascii="仿宋_GB2312" w:eastAsia="仿宋_GB2312"/>
          <w:b w:val="0"/>
          <w:color w:val="auto"/>
          <w:sz w:val="32"/>
          <w:szCs w:val="32"/>
        </w:rPr>
        <w:t>个，全年预算数</w:t>
      </w:r>
      <w:r>
        <w:rPr>
          <w:rFonts w:hint="eastAsia" w:ascii="仿宋_GB2312" w:eastAsia="仿宋_GB2312"/>
          <w:b w:val="0"/>
          <w:color w:val="auto"/>
          <w:sz w:val="32"/>
          <w:szCs w:val="32"/>
          <w:lang w:val="en-US" w:eastAsia="zh-CN"/>
        </w:rPr>
        <w:t>1.5</w:t>
      </w:r>
      <w:r>
        <w:rPr>
          <w:rFonts w:ascii="仿宋_GB2312" w:eastAsia="仿宋_GB2312"/>
          <w:b w:val="0"/>
          <w:color w:val="auto"/>
          <w:sz w:val="32"/>
          <w:szCs w:val="32"/>
        </w:rPr>
        <w:t>万元，全年执行数</w:t>
      </w:r>
      <w:r>
        <w:rPr>
          <w:rFonts w:hint="eastAsia" w:ascii="仿宋_GB2312" w:eastAsia="仿宋_GB2312"/>
          <w:b w:val="0"/>
          <w:color w:val="auto"/>
          <w:sz w:val="32"/>
          <w:szCs w:val="32"/>
          <w:lang w:val="en-US" w:eastAsia="zh-CN"/>
        </w:rPr>
        <w:t>1.5</w:t>
      </w:r>
      <w:r>
        <w:rPr>
          <w:rFonts w:ascii="仿宋_GB2312" w:eastAsia="仿宋_GB2312"/>
          <w:b w:val="0"/>
          <w:color w:val="auto"/>
          <w:sz w:val="32"/>
          <w:szCs w:val="32"/>
        </w:rPr>
        <w:t>万元。预算绩效管理取得的成效：</w:t>
      </w:r>
      <w:r>
        <w:rPr>
          <w:rFonts w:hint="eastAsia" w:ascii="仿宋_GB2312" w:eastAsia="仿宋_GB2312"/>
          <w:color w:val="auto"/>
          <w:sz w:val="32"/>
          <w:szCs w:val="32"/>
        </w:rPr>
        <w:t>一是树立了预算绩效管理理念；二是营造了预算绩效管理良好的制度环境</w:t>
      </w:r>
      <w:r>
        <w:rPr>
          <w:rFonts w:ascii="仿宋_GB2312" w:eastAsia="仿宋_GB2312"/>
          <w:b w:val="0"/>
          <w:color w:val="auto"/>
          <w:sz w:val="32"/>
          <w:szCs w:val="32"/>
        </w:rPr>
        <w:t>。发现的问题及原因：</w:t>
      </w:r>
      <w:r>
        <w:rPr>
          <w:rFonts w:hint="eastAsia" w:ascii="仿宋_GB2312" w:eastAsia="仿宋_GB2312"/>
          <w:color w:val="auto"/>
          <w:sz w:val="32"/>
          <w:szCs w:val="32"/>
        </w:rPr>
        <w:t>一是预算理念转化为绩效行动上有差距；二是预算绩效管理法律体系尚未建立健全</w:t>
      </w:r>
      <w:r>
        <w:rPr>
          <w:rFonts w:ascii="仿宋_GB2312" w:eastAsia="仿宋_GB2312"/>
          <w:b w:val="0"/>
          <w:color w:val="auto"/>
          <w:sz w:val="32"/>
          <w:szCs w:val="32"/>
        </w:rPr>
        <w:t>。下一步改进措施：</w:t>
      </w:r>
      <w:r>
        <w:rPr>
          <w:rFonts w:hint="eastAsia" w:ascii="仿宋_GB2312" w:eastAsia="仿宋_GB2312"/>
          <w:color w:val="auto"/>
          <w:sz w:val="32"/>
          <w:szCs w:val="32"/>
        </w:rPr>
        <w:t>一是深入绩效理念；二是做好培训提高业务能力。具体项目自评情况附项目支出绩效自评表</w:t>
      </w:r>
      <w:r>
        <w:rPr>
          <w:rFonts w:ascii="仿宋_GB2312" w:eastAsia="仿宋_GB2312"/>
          <w:b w:val="0"/>
          <w:color w:val="auto"/>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一、财政拨款收入：</w:t>
      </w:r>
      <w:r>
        <w:rPr>
          <w:rFonts w:ascii="仿宋_GB2312" w:eastAsia="仿宋_GB2312"/>
          <w:b w:val="0"/>
          <w:color w:val="auto"/>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二、上级补助收入：</w:t>
      </w:r>
      <w:r>
        <w:rPr>
          <w:rFonts w:ascii="仿宋_GB2312" w:eastAsia="仿宋_GB2312"/>
          <w:b w:val="0"/>
          <w:color w:val="auto"/>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三、事业收入：</w:t>
      </w:r>
      <w:r>
        <w:rPr>
          <w:rFonts w:ascii="仿宋_GB2312" w:eastAsia="仿宋_GB2312"/>
          <w:b w:val="0"/>
          <w:color w:val="auto"/>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四、经营收入：</w:t>
      </w:r>
      <w:r>
        <w:rPr>
          <w:rFonts w:ascii="仿宋_GB2312" w:eastAsia="仿宋_GB2312"/>
          <w:b w:val="0"/>
          <w:color w:val="auto"/>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五、附属单位上缴收入：</w:t>
      </w:r>
      <w:r>
        <w:rPr>
          <w:rFonts w:ascii="仿宋_GB2312" w:eastAsia="仿宋_GB2312"/>
          <w:b w:val="0"/>
          <w:color w:val="auto"/>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六、其他收入：</w:t>
      </w:r>
      <w:r>
        <w:rPr>
          <w:rFonts w:ascii="仿宋_GB2312" w:eastAsia="仿宋_GB2312"/>
          <w:b w:val="0"/>
          <w:color w:val="auto"/>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七、年初结转和结余：</w:t>
      </w:r>
      <w:r>
        <w:rPr>
          <w:rFonts w:ascii="仿宋_GB2312" w:eastAsia="仿宋_GB2312"/>
          <w:b w:val="0"/>
          <w:color w:val="auto"/>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八、年末结转和结余：</w:t>
      </w:r>
      <w:r>
        <w:rPr>
          <w:rFonts w:ascii="仿宋_GB2312" w:eastAsia="仿宋_GB2312"/>
          <w:b w:val="0"/>
          <w:color w:val="auto"/>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九、基本支出：</w:t>
      </w:r>
      <w:r>
        <w:rPr>
          <w:rFonts w:ascii="仿宋_GB2312" w:eastAsia="仿宋_GB2312"/>
          <w:b w:val="0"/>
          <w:color w:val="auto"/>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十、项目支出：</w:t>
      </w:r>
      <w:r>
        <w:rPr>
          <w:rFonts w:ascii="仿宋_GB2312" w:eastAsia="仿宋_GB2312"/>
          <w:b w:val="0"/>
          <w:color w:val="auto"/>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十一、经营支出：</w:t>
      </w:r>
      <w:r>
        <w:rPr>
          <w:rFonts w:ascii="仿宋_GB2312" w:eastAsia="仿宋_GB2312"/>
          <w:b w:val="0"/>
          <w:color w:val="auto"/>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十二、对附属单位补助支出：</w:t>
      </w:r>
      <w:r>
        <w:rPr>
          <w:rFonts w:ascii="仿宋_GB2312" w:eastAsia="仿宋_GB2312"/>
          <w:b w:val="0"/>
          <w:color w:val="auto"/>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十三、“三公”经费：</w:t>
      </w:r>
      <w:r>
        <w:rPr>
          <w:rFonts w:ascii="仿宋_GB2312" w:eastAsia="仿宋_GB2312"/>
          <w:b w:val="0"/>
          <w:color w:val="auto"/>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十四、机关运行经费：</w:t>
      </w:r>
      <w:r>
        <w:rPr>
          <w:rFonts w:ascii="仿宋_GB2312" w:eastAsia="仿宋_GB2312"/>
          <w:b w:val="0"/>
          <w:color w:val="auto"/>
          <w:sz w:val="32"/>
          <w:szCs w:val="32"/>
        </w:rPr>
        <w:t>行政单位和参照公务员法管理的事业单位财政拨款基本支出中的公用经费支出。</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r>
        <w:rPr>
          <w:rFonts w:ascii="仿宋_GB2312" w:eastAsia="仿宋_GB2312"/>
          <w:b w:val="0"/>
          <w:color w:val="auto"/>
          <w:sz w:val="32"/>
          <w:szCs w:val="32"/>
        </w:rPr>
        <w:t>九、《财政拨款“三公”经费支出决算表》</w:t>
      </w:r>
    </w:p>
    <w:p>
      <w:pPr>
        <w:rPr>
          <w:rFonts w:ascii="仿宋_GB2312" w:eastAsia="仿宋_GB2312"/>
          <w:b w:val="0"/>
          <w:color w:val="auto"/>
          <w:sz w:val="32"/>
          <w:szCs w:val="32"/>
        </w:rPr>
      </w:pPr>
      <w:r>
        <w:rPr>
          <w:rFonts w:ascii="仿宋_GB2312" w:eastAsia="仿宋_GB2312"/>
          <w:b w:val="0"/>
          <w:color w:val="auto"/>
          <w:sz w:val="32"/>
          <w:szCs w:val="32"/>
        </w:rPr>
        <w:br w:type="page"/>
      </w:r>
    </w:p>
    <w:p>
      <w:pPr>
        <w:rPr>
          <w:rFonts w:ascii="仿宋_GB2312" w:eastAsia="仿宋_GB2312"/>
          <w:b w:val="0"/>
          <w:color w:val="auto"/>
          <w:sz w:val="32"/>
          <w:szCs w:val="32"/>
        </w:rPr>
      </w:pPr>
      <w:r>
        <w:drawing>
          <wp:inline distT="0" distB="0" distL="114300" distR="114300">
            <wp:extent cx="5522595" cy="4829810"/>
            <wp:effectExtent l="0" t="0" r="190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4"/>
                    <a:stretch>
                      <a:fillRect/>
                    </a:stretch>
                  </pic:blipFill>
                  <pic:spPr>
                    <a:xfrm>
                      <a:off x="0" y="0"/>
                      <a:ext cx="5522595" cy="4829810"/>
                    </a:xfrm>
                    <a:prstGeom prst="rect">
                      <a:avLst/>
                    </a:prstGeom>
                    <a:noFill/>
                    <a:ln>
                      <a:noFill/>
                    </a:ln>
                  </pic:spPr>
                </pic:pic>
              </a:graphicData>
            </a:graphic>
          </wp:inline>
        </w:drawing>
      </w:r>
      <w:r>
        <w:rPr>
          <w:rFonts w:ascii="仿宋_GB2312" w:eastAsia="仿宋_GB2312"/>
          <w:b w:val="0"/>
          <w:color w:val="auto"/>
          <w:sz w:val="32"/>
          <w:szCs w:val="32"/>
        </w:rPr>
        <w:br w:type="page"/>
      </w:r>
    </w:p>
    <w:p>
      <w:pPr>
        <w:keepNext w:val="0"/>
        <w:keepLines w:val="0"/>
        <w:widowControl/>
        <w:suppressLineNumbers w:val="0"/>
        <w:jc w:val="center"/>
        <w:textAlignment w:val="center"/>
        <w:rPr>
          <w:rFonts w:hint="eastAsia" w:ascii="宋体" w:hAnsi="宋体" w:eastAsia="宋体" w:cs="宋体"/>
          <w:b/>
          <w:bCs/>
          <w:i w:val="0"/>
          <w:iCs w:val="0"/>
          <w:color w:val="auto"/>
          <w:kern w:val="0"/>
          <w:sz w:val="36"/>
          <w:szCs w:val="36"/>
          <w:u w:val="none"/>
          <w:lang w:val="en-US" w:eastAsia="zh-CN" w:bidi="ar"/>
        </w:rPr>
        <w:sectPr>
          <w:pgSz w:w="12240" w:h="15840"/>
          <w:pgMar w:top="1440" w:right="1800" w:bottom="1440" w:left="1800" w:header="720" w:footer="720" w:gutter="0"/>
          <w:cols w:space="720" w:num="1"/>
        </w:sectPr>
      </w:pPr>
    </w:p>
    <w:p>
      <w:pPr>
        <w:widowControl/>
        <w:spacing w:before="0" w:beforeLines="0" w:beforeAutospacing="0" w:after="0" w:afterLines="0" w:afterAutospacing="0" w:line="240" w:lineRule="auto"/>
        <w:jc w:val="left"/>
        <w:outlineLvl w:val="1"/>
        <w:rPr>
          <w:rFonts w:ascii="仿宋_GB2312" w:eastAsia="仿宋_GB2312"/>
          <w:b w:val="0"/>
          <w:color w:val="auto"/>
          <w:sz w:val="18"/>
          <w:szCs w:val="18"/>
        </w:rPr>
        <w:sectPr>
          <w:pgSz w:w="12240" w:h="15840"/>
          <w:pgMar w:top="1440" w:right="1800" w:bottom="1440" w:left="1800" w:header="720" w:footer="720" w:gutter="0"/>
          <w:cols w:space="720" w:num="1"/>
        </w:sectPr>
      </w:pPr>
      <w:r>
        <w:drawing>
          <wp:inline distT="0" distB="0" distL="114300" distR="114300">
            <wp:extent cx="5478145" cy="3096260"/>
            <wp:effectExtent l="0" t="0" r="825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grayscl/>
                    </a:blip>
                    <a:stretch>
                      <a:fillRect/>
                    </a:stretch>
                  </pic:blipFill>
                  <pic:spPr>
                    <a:xfrm>
                      <a:off x="0" y="0"/>
                      <a:ext cx="5478145" cy="309626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ascii="仿宋_GB2312" w:eastAsia="仿宋_GB2312"/>
          <w:b w:val="0"/>
          <w:color w:val="auto"/>
          <w:sz w:val="18"/>
          <w:szCs w:val="18"/>
        </w:rPr>
        <w:sectPr>
          <w:pgSz w:w="12240" w:h="15840"/>
          <w:pgMar w:top="1440" w:right="1800" w:bottom="1440" w:left="1800" w:header="720" w:footer="720" w:gutter="0"/>
          <w:cols w:space="720" w:num="1"/>
        </w:sectPr>
      </w:pPr>
      <w:r>
        <w:drawing>
          <wp:inline distT="0" distB="0" distL="114300" distR="114300">
            <wp:extent cx="5483225" cy="4294505"/>
            <wp:effectExtent l="0" t="0" r="317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grayscl/>
                    </a:blip>
                    <a:stretch>
                      <a:fillRect/>
                    </a:stretch>
                  </pic:blipFill>
                  <pic:spPr>
                    <a:xfrm>
                      <a:off x="0" y="0"/>
                      <a:ext cx="5483225" cy="429450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eastAsia" w:ascii="宋体" w:hAnsi="宋体" w:eastAsia="宋体" w:cs="宋体"/>
          <w:b w:val="0"/>
          <w:color w:val="auto"/>
          <w:sz w:val="14"/>
          <w:szCs w:val="14"/>
        </w:rPr>
        <w:sectPr>
          <w:pgSz w:w="12240" w:h="15840"/>
          <w:pgMar w:top="1440" w:right="1800" w:bottom="1440" w:left="1800" w:header="720" w:footer="720" w:gutter="0"/>
          <w:cols w:space="720" w:num="1"/>
        </w:sectPr>
      </w:pPr>
      <w:r>
        <w:drawing>
          <wp:inline distT="0" distB="0" distL="114300" distR="114300">
            <wp:extent cx="5474970" cy="5400675"/>
            <wp:effectExtent l="0" t="0" r="1143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474970" cy="540067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eastAsia" w:ascii="宋体" w:hAnsi="宋体" w:eastAsia="宋体" w:cs="宋体"/>
          <w:b w:val="0"/>
          <w:color w:val="auto"/>
          <w:sz w:val="14"/>
          <w:szCs w:val="14"/>
        </w:rPr>
        <w:sectPr>
          <w:pgSz w:w="12240" w:h="15840"/>
          <w:pgMar w:top="1440" w:right="1800" w:bottom="1440" w:left="1800" w:header="720" w:footer="720" w:gutter="0"/>
          <w:cols w:space="720" w:num="1"/>
        </w:sectPr>
      </w:pPr>
      <w:r>
        <w:drawing>
          <wp:inline distT="0" distB="0" distL="114300" distR="114300">
            <wp:extent cx="5483860" cy="5081905"/>
            <wp:effectExtent l="0" t="0" r="254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8">
                      <a:grayscl/>
                    </a:blip>
                    <a:stretch>
                      <a:fillRect/>
                    </a:stretch>
                  </pic:blipFill>
                  <pic:spPr>
                    <a:xfrm>
                      <a:off x="0" y="0"/>
                      <a:ext cx="5483860" cy="5081905"/>
                    </a:xfrm>
                    <a:prstGeom prst="rect">
                      <a:avLst/>
                    </a:prstGeom>
                    <a:noFill/>
                    <a:ln>
                      <a:noFill/>
                    </a:ln>
                  </pic:spPr>
                </pic:pic>
              </a:graphicData>
            </a:graphic>
          </wp:inline>
        </w:drawing>
      </w:r>
    </w:p>
    <w:p>
      <w:pPr>
        <w:widowControl/>
        <w:spacing w:before="0" w:beforeLines="0" w:beforeAutospacing="0" w:after="0" w:afterLines="0" w:afterAutospacing="0" w:line="240" w:lineRule="auto"/>
        <w:jc w:val="center"/>
        <w:outlineLvl w:val="1"/>
        <w:rPr>
          <w:rFonts w:hint="eastAsia" w:ascii="宋体" w:hAnsi="宋体" w:eastAsia="宋体" w:cs="宋体"/>
          <w:b w:val="0"/>
          <w:color w:val="auto"/>
          <w:sz w:val="14"/>
          <w:szCs w:val="14"/>
        </w:rPr>
        <w:sectPr>
          <w:pgSz w:w="12240" w:h="15840"/>
          <w:pgMar w:top="1440" w:right="1800" w:bottom="1440" w:left="1800" w:header="720" w:footer="720" w:gutter="0"/>
          <w:cols w:space="720" w:num="1"/>
        </w:sectPr>
      </w:pPr>
      <w:r>
        <w:drawing>
          <wp:inline distT="0" distB="0" distL="114300" distR="114300">
            <wp:extent cx="5478145" cy="5728970"/>
            <wp:effectExtent l="0" t="0" r="825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478145" cy="572897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eastAsia" w:ascii="宋体" w:hAnsi="宋体" w:eastAsia="宋体" w:cs="宋体"/>
          <w:b w:val="0"/>
          <w:color w:val="auto"/>
          <w:sz w:val="22"/>
          <w:szCs w:val="22"/>
          <w:lang w:eastAsia="zh-CN"/>
        </w:rPr>
        <w:sectPr>
          <w:pgSz w:w="12240" w:h="15840"/>
          <w:pgMar w:top="1440" w:right="1800" w:bottom="1440" w:left="1800" w:header="720" w:footer="720" w:gutter="0"/>
          <w:cols w:space="720" w:num="1"/>
        </w:sectPr>
      </w:pPr>
      <w:r>
        <w:drawing>
          <wp:inline distT="0" distB="0" distL="114300" distR="114300">
            <wp:extent cx="5483860" cy="2369185"/>
            <wp:effectExtent l="0" t="0" r="254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5483860" cy="236918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eastAsia" w:ascii="宋体" w:hAnsi="宋体" w:eastAsia="宋体" w:cs="宋体"/>
          <w:b w:val="0"/>
          <w:color w:val="auto"/>
          <w:sz w:val="22"/>
          <w:szCs w:val="22"/>
          <w:lang w:eastAsia="zh-CN"/>
        </w:rPr>
        <w:sectPr>
          <w:pgSz w:w="12240" w:h="15840"/>
          <w:pgMar w:top="1440" w:right="1800" w:bottom="1440" w:left="1800" w:header="720" w:footer="720" w:gutter="0"/>
          <w:cols w:space="720" w:num="1"/>
        </w:sectPr>
      </w:pPr>
      <w:r>
        <w:drawing>
          <wp:inline distT="0" distB="0" distL="114300" distR="114300">
            <wp:extent cx="5479415" cy="1748790"/>
            <wp:effectExtent l="0" t="0" r="6985"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479415" cy="174879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rFonts w:hint="eastAsia" w:ascii="宋体" w:hAnsi="宋体" w:eastAsia="宋体" w:cs="宋体"/>
          <w:b w:val="0"/>
          <w:color w:val="auto"/>
          <w:sz w:val="22"/>
          <w:szCs w:val="22"/>
          <w:lang w:eastAsia="zh-CN"/>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300" w:lineRule="exact"/>
        <w:jc w:val="left"/>
        <w:textAlignment w:val="auto"/>
        <w:outlineLvl w:val="1"/>
        <w:rPr>
          <w:rFonts w:hint="eastAsia" w:ascii="宋体" w:hAnsi="宋体" w:eastAsia="宋体" w:cs="宋体"/>
          <w:b w:val="0"/>
          <w:color w:val="auto"/>
          <w:sz w:val="22"/>
          <w:szCs w:val="22"/>
          <w:lang w:eastAsia="zh-CN"/>
        </w:rPr>
      </w:pPr>
      <w:bookmarkStart w:id="0" w:name="_GoBack"/>
      <w:bookmarkEnd w:id="0"/>
      <w:r>
        <w:drawing>
          <wp:anchor distT="0" distB="0" distL="114300" distR="114300" simplePos="0" relativeHeight="251659264" behindDoc="0" locked="0" layoutInCell="1" allowOverlap="1">
            <wp:simplePos x="0" y="0"/>
            <wp:positionH relativeFrom="column">
              <wp:posOffset>48260</wp:posOffset>
            </wp:positionH>
            <wp:positionV relativeFrom="paragraph">
              <wp:posOffset>101600</wp:posOffset>
            </wp:positionV>
            <wp:extent cx="5483860" cy="2172335"/>
            <wp:effectExtent l="0" t="0" r="2540" b="6985"/>
            <wp:wrapNone/>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2"/>
                    <a:stretch>
                      <a:fillRect/>
                    </a:stretch>
                  </pic:blipFill>
                  <pic:spPr>
                    <a:xfrm>
                      <a:off x="0" y="0"/>
                      <a:ext cx="5483860" cy="2172335"/>
                    </a:xfrm>
                    <a:prstGeom prst="rect">
                      <a:avLst/>
                    </a:prstGeom>
                    <a:noFill/>
                    <a:ln>
                      <a:noFill/>
                    </a:ln>
                  </pic:spPr>
                </pic:pic>
              </a:graphicData>
            </a:graphic>
          </wp:anchor>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A2004"/>
    <w:rsid w:val="0ACF28D2"/>
    <w:rsid w:val="0AD224CB"/>
    <w:rsid w:val="0F6B719C"/>
    <w:rsid w:val="142428A3"/>
    <w:rsid w:val="15062527"/>
    <w:rsid w:val="169B0592"/>
    <w:rsid w:val="1CD80AF9"/>
    <w:rsid w:val="1EDD7873"/>
    <w:rsid w:val="1F3D3697"/>
    <w:rsid w:val="1FF7108F"/>
    <w:rsid w:val="25943565"/>
    <w:rsid w:val="260F0349"/>
    <w:rsid w:val="263E67A7"/>
    <w:rsid w:val="2B701887"/>
    <w:rsid w:val="2E146BE5"/>
    <w:rsid w:val="2ED242DF"/>
    <w:rsid w:val="2ED72711"/>
    <w:rsid w:val="2EFC4C47"/>
    <w:rsid w:val="31A45190"/>
    <w:rsid w:val="32EA487F"/>
    <w:rsid w:val="369523F5"/>
    <w:rsid w:val="37C611AD"/>
    <w:rsid w:val="3C190A16"/>
    <w:rsid w:val="3DC81E3F"/>
    <w:rsid w:val="40616A1A"/>
    <w:rsid w:val="434171C7"/>
    <w:rsid w:val="43C81A01"/>
    <w:rsid w:val="43D80225"/>
    <w:rsid w:val="48A65971"/>
    <w:rsid w:val="4AE35B23"/>
    <w:rsid w:val="4EA63F7C"/>
    <w:rsid w:val="50231AED"/>
    <w:rsid w:val="522E2C9D"/>
    <w:rsid w:val="52426038"/>
    <w:rsid w:val="52B37C3E"/>
    <w:rsid w:val="54381C7C"/>
    <w:rsid w:val="553D0C9A"/>
    <w:rsid w:val="56BD056D"/>
    <w:rsid w:val="5C9E3932"/>
    <w:rsid w:val="5E1E7ABA"/>
    <w:rsid w:val="5FB368A8"/>
    <w:rsid w:val="633370EF"/>
    <w:rsid w:val="67494199"/>
    <w:rsid w:val="6A097CA9"/>
    <w:rsid w:val="6A3C5ABC"/>
    <w:rsid w:val="6C0F4BD5"/>
    <w:rsid w:val="6EE90BB4"/>
    <w:rsid w:val="6F391957"/>
    <w:rsid w:val="751418FA"/>
    <w:rsid w:val="75ED1C26"/>
    <w:rsid w:val="77E11285"/>
    <w:rsid w:val="79CB32B2"/>
    <w:rsid w:val="7AE2473C"/>
    <w:rsid w:val="7DBF3D6A"/>
    <w:rsid w:val="7F4273A5"/>
    <w:rsid w:val="7F5F04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2025-08-13T02:32:00Z</dcterms:created>
  <dc:creator>ylzx-00</dc:creator>
  <cp:lastModifiedBy>lenovo</cp:lastModifiedBy>
  <dcterms:modified xsi:type="dcterms:W3CDTF">2025-08-19T11:32:19Z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44B37C831A494C6896320F1E4813748B</vt:lpwstr>
  </property>
</Properties>
</file>