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宋体"/>
          <w:sz w:val="32"/>
          <w:szCs w:val="32"/>
        </w:rPr>
      </w:pPr>
    </w:p>
    <w:p>
      <w:pPr>
        <w:widowControl/>
        <w:jc w:val="left"/>
        <w:rPr>
          <w:rFonts w:ascii="宋体"/>
          <w:sz w:val="44"/>
          <w:szCs w:val="44"/>
        </w:rPr>
      </w:pPr>
    </w:p>
    <w:p>
      <w:pPr>
        <w:widowControl/>
        <w:jc w:val="left"/>
        <w:rPr>
          <w:rFonts w:ascii="宋体"/>
          <w:sz w:val="44"/>
          <w:szCs w:val="44"/>
        </w:rPr>
      </w:pPr>
    </w:p>
    <w:p>
      <w:pPr>
        <w:widowControl/>
        <w:jc w:val="left"/>
        <w:rPr>
          <w:rFonts w:ascii="宋体"/>
          <w:sz w:val="44"/>
          <w:szCs w:val="44"/>
        </w:rPr>
      </w:pPr>
    </w:p>
    <w:p>
      <w:pPr>
        <w:widowControl/>
        <w:jc w:val="center"/>
        <w:outlineLvl w:val="0"/>
        <w:rPr>
          <w:rFonts w:ascii="宋体" w:eastAsia="黑体"/>
          <w:sz w:val="44"/>
          <w:szCs w:val="44"/>
        </w:rPr>
      </w:pPr>
      <w:r>
        <w:rPr>
          <w:rFonts w:ascii="宋体" w:eastAsia="黑体"/>
          <w:sz w:val="44"/>
          <w:szCs w:val="44"/>
        </w:rPr>
        <w:t>库尔勒市房屋征收与补偿管理办公室</w:t>
      </w:r>
    </w:p>
    <w:p>
      <w:pPr>
        <w:widowControl/>
        <w:jc w:val="center"/>
        <w:outlineLvl w:val="0"/>
        <w:rPr>
          <w:rFonts w:ascii="黑体" w:eastAsia="黑体"/>
          <w:sz w:val="44"/>
          <w:szCs w:val="44"/>
        </w:rPr>
      </w:pPr>
      <w:r>
        <w:rPr>
          <w:rFonts w:ascii="黑体" w:eastAsia="黑体"/>
          <w:sz w:val="44"/>
          <w:szCs w:val="44"/>
        </w:rPr>
        <w:t>2024年度部门决算公开说明</w:t>
      </w:r>
    </w:p>
    <w:p>
      <w:pPr>
        <w:widowControl/>
      </w:pPr>
      <w:r>
        <w:rPr>
          <w:sz w:val="0"/>
          <w:szCs w:val="0"/>
        </w:rPr>
        <w:br w:type="page"/>
      </w:r>
    </w:p>
    <w:p>
      <w:pPr>
        <w:widowControl/>
        <w:jc w:val="center"/>
        <w:rPr>
          <w:rFonts w:ascii="黑体" w:eastAsia="黑体"/>
          <w:sz w:val="32"/>
          <w:szCs w:val="32"/>
        </w:rPr>
      </w:pPr>
      <w:r>
        <w:rPr>
          <w:rFonts w:ascii="黑体" w:eastAsia="黑体"/>
          <w:b/>
          <w:sz w:val="32"/>
          <w:szCs w:val="32"/>
        </w:rPr>
        <w:t>目录</w:t>
      </w:r>
    </w:p>
    <w:p>
      <w:pPr>
        <w:widowControl/>
        <w:jc w:val="left"/>
        <w:rPr>
          <w:rFonts w:ascii="仿宋_GB2312" w:eastAsia="仿宋_GB2312"/>
          <w:sz w:val="32"/>
          <w:szCs w:val="32"/>
        </w:rPr>
      </w:pPr>
      <w:r>
        <w:rPr>
          <w:rFonts w:ascii="仿宋_GB2312" w:eastAsia="仿宋_GB2312"/>
          <w:b/>
          <w:sz w:val="32"/>
          <w:szCs w:val="32"/>
        </w:rPr>
        <w:t>第一部分单位概况</w:t>
      </w:r>
    </w:p>
    <w:p>
      <w:pPr>
        <w:widowControl/>
        <w:jc w:val="left"/>
        <w:rPr>
          <w:rFonts w:ascii="仿宋_GB2312" w:eastAsia="仿宋_GB2312"/>
          <w:sz w:val="32"/>
          <w:szCs w:val="32"/>
        </w:rPr>
      </w:pPr>
      <w:r>
        <w:rPr>
          <w:rFonts w:ascii="仿宋_GB2312" w:eastAsia="仿宋_GB2312"/>
          <w:sz w:val="32"/>
          <w:szCs w:val="32"/>
        </w:rPr>
        <w:t>一、主要职能</w:t>
      </w:r>
    </w:p>
    <w:p>
      <w:pPr>
        <w:widowControl/>
        <w:jc w:val="left"/>
        <w:rPr>
          <w:rFonts w:ascii="仿宋_GB2312" w:eastAsia="仿宋_GB2312"/>
          <w:sz w:val="32"/>
          <w:szCs w:val="32"/>
        </w:rPr>
      </w:pPr>
      <w:r>
        <w:rPr>
          <w:rFonts w:ascii="仿宋_GB2312" w:eastAsia="仿宋_GB2312"/>
          <w:sz w:val="32"/>
          <w:szCs w:val="32"/>
        </w:rPr>
        <w:t>二、机构设置及人员情况</w:t>
      </w:r>
    </w:p>
    <w:p>
      <w:pPr>
        <w:widowControl/>
        <w:jc w:val="left"/>
        <w:rPr>
          <w:rFonts w:ascii="仿宋_GB2312" w:eastAsia="仿宋_GB2312"/>
          <w:sz w:val="32"/>
          <w:szCs w:val="32"/>
        </w:rPr>
      </w:pPr>
      <w:r>
        <w:rPr>
          <w:rFonts w:ascii="仿宋_GB2312" w:eastAsia="仿宋_GB2312"/>
          <w:b/>
          <w:sz w:val="32"/>
          <w:szCs w:val="32"/>
        </w:rPr>
        <w:t>第二部分部门决算情况说明</w:t>
      </w:r>
    </w:p>
    <w:p>
      <w:pPr>
        <w:widowControl/>
        <w:jc w:val="left"/>
        <w:rPr>
          <w:rFonts w:ascii="仿宋_GB2312" w:eastAsia="仿宋_GB2312"/>
          <w:sz w:val="32"/>
          <w:szCs w:val="32"/>
        </w:rPr>
      </w:pPr>
      <w:r>
        <w:rPr>
          <w:rFonts w:ascii="仿宋_GB2312" w:eastAsia="仿宋_GB2312"/>
          <w:sz w:val="32"/>
          <w:szCs w:val="32"/>
        </w:rPr>
        <w:t>一、收入支出决算总体情况说明</w:t>
      </w:r>
    </w:p>
    <w:p>
      <w:pPr>
        <w:widowControl/>
        <w:jc w:val="left"/>
        <w:rPr>
          <w:rFonts w:ascii="仿宋_GB2312" w:eastAsia="仿宋_GB2312"/>
          <w:sz w:val="32"/>
          <w:szCs w:val="32"/>
        </w:rPr>
      </w:pPr>
      <w:r>
        <w:rPr>
          <w:rFonts w:ascii="仿宋_GB2312" w:eastAsia="仿宋_GB2312"/>
          <w:sz w:val="32"/>
          <w:szCs w:val="32"/>
        </w:rPr>
        <w:t>二、收入决算情况说明</w:t>
      </w:r>
    </w:p>
    <w:p>
      <w:pPr>
        <w:widowControl/>
        <w:jc w:val="left"/>
        <w:rPr>
          <w:rFonts w:ascii="仿宋_GB2312" w:eastAsia="仿宋_GB2312"/>
          <w:sz w:val="32"/>
          <w:szCs w:val="32"/>
        </w:rPr>
      </w:pPr>
      <w:r>
        <w:rPr>
          <w:rFonts w:ascii="仿宋_GB2312" w:eastAsia="仿宋_GB2312"/>
          <w:sz w:val="32"/>
          <w:szCs w:val="32"/>
        </w:rPr>
        <w:t>三、支出决算情况说明</w:t>
      </w:r>
    </w:p>
    <w:p>
      <w:pPr>
        <w:widowControl/>
        <w:jc w:val="left"/>
        <w:rPr>
          <w:rFonts w:ascii="仿宋_GB2312" w:eastAsia="仿宋_GB2312"/>
          <w:sz w:val="32"/>
          <w:szCs w:val="32"/>
        </w:rPr>
      </w:pPr>
      <w:r>
        <w:rPr>
          <w:rFonts w:ascii="仿宋_GB2312" w:eastAsia="仿宋_GB2312"/>
          <w:sz w:val="32"/>
          <w:szCs w:val="32"/>
        </w:rPr>
        <w:t>四、财政拨款收入支出决算总体情况说明</w:t>
      </w:r>
    </w:p>
    <w:p>
      <w:pPr>
        <w:widowControl/>
        <w:jc w:val="left"/>
        <w:rPr>
          <w:rFonts w:ascii="仿宋_GB2312" w:eastAsia="仿宋_GB2312"/>
          <w:sz w:val="32"/>
          <w:szCs w:val="32"/>
        </w:rPr>
      </w:pPr>
      <w:r>
        <w:rPr>
          <w:rFonts w:ascii="仿宋_GB2312" w:eastAsia="仿宋_GB2312"/>
          <w:sz w:val="32"/>
          <w:szCs w:val="32"/>
        </w:rPr>
        <w:t>五、一般公共预算财政拨款支出决算情况说明</w:t>
      </w:r>
    </w:p>
    <w:p>
      <w:pPr>
        <w:widowControl/>
        <w:jc w:val="left"/>
        <w:rPr>
          <w:rFonts w:ascii="仿宋_GB2312" w:eastAsia="仿宋_GB2312"/>
          <w:sz w:val="32"/>
          <w:szCs w:val="32"/>
        </w:rPr>
      </w:pPr>
      <w:r>
        <w:rPr>
          <w:rFonts w:ascii="仿宋_GB2312" w:eastAsia="仿宋_GB2312"/>
          <w:sz w:val="32"/>
          <w:szCs w:val="32"/>
        </w:rPr>
        <w:t>（一）一般公共预算财政拨款支出决算总体情况</w:t>
      </w:r>
    </w:p>
    <w:p>
      <w:pPr>
        <w:widowControl/>
        <w:jc w:val="left"/>
        <w:rPr>
          <w:rFonts w:ascii="仿宋_GB2312" w:eastAsia="仿宋_GB2312"/>
          <w:sz w:val="32"/>
          <w:szCs w:val="32"/>
        </w:rPr>
      </w:pPr>
      <w:r>
        <w:rPr>
          <w:rFonts w:ascii="仿宋_GB2312" w:eastAsia="仿宋_GB2312"/>
          <w:sz w:val="32"/>
          <w:szCs w:val="32"/>
        </w:rPr>
        <w:t>（二）一般公共预算财政拨款支出决算结构情况</w:t>
      </w:r>
    </w:p>
    <w:p>
      <w:pPr>
        <w:widowControl/>
        <w:jc w:val="left"/>
        <w:rPr>
          <w:rFonts w:ascii="仿宋_GB2312" w:eastAsia="仿宋_GB2312"/>
          <w:sz w:val="32"/>
          <w:szCs w:val="32"/>
        </w:rPr>
      </w:pPr>
      <w:r>
        <w:rPr>
          <w:rFonts w:ascii="仿宋_GB2312" w:eastAsia="仿宋_GB2312"/>
          <w:sz w:val="32"/>
          <w:szCs w:val="32"/>
        </w:rPr>
        <w:t>（三）一般公共预算财政拨款支出决算具体情况</w:t>
      </w:r>
    </w:p>
    <w:p>
      <w:pPr>
        <w:widowControl/>
        <w:jc w:val="left"/>
        <w:rPr>
          <w:rFonts w:ascii="仿宋_GB2312" w:eastAsia="仿宋_GB2312"/>
          <w:sz w:val="32"/>
          <w:szCs w:val="32"/>
        </w:rPr>
      </w:pPr>
      <w:r>
        <w:rPr>
          <w:rFonts w:ascii="仿宋_GB2312" w:eastAsia="仿宋_GB2312"/>
          <w:sz w:val="32"/>
          <w:szCs w:val="32"/>
        </w:rPr>
        <w:t>六、一般公共预算财政拨款基本支出决算情况说明</w:t>
      </w:r>
    </w:p>
    <w:p>
      <w:pPr>
        <w:widowControl/>
        <w:jc w:val="left"/>
        <w:rPr>
          <w:rFonts w:ascii="仿宋_GB2312" w:eastAsia="仿宋_GB2312"/>
          <w:sz w:val="32"/>
          <w:szCs w:val="32"/>
        </w:rPr>
      </w:pPr>
      <w:r>
        <w:rPr>
          <w:rFonts w:ascii="仿宋_GB2312" w:eastAsia="仿宋_GB2312"/>
          <w:sz w:val="32"/>
          <w:szCs w:val="32"/>
        </w:rPr>
        <w:t>七、政府性基金预算财政拨款收入支出决算情况说明</w:t>
      </w:r>
    </w:p>
    <w:p>
      <w:pPr>
        <w:widowControl/>
        <w:jc w:val="left"/>
        <w:rPr>
          <w:rFonts w:ascii="仿宋_GB2312" w:eastAsia="仿宋_GB2312"/>
          <w:sz w:val="32"/>
          <w:szCs w:val="32"/>
        </w:rPr>
      </w:pPr>
      <w:r>
        <w:rPr>
          <w:rFonts w:ascii="仿宋_GB2312" w:eastAsia="仿宋_GB2312"/>
          <w:sz w:val="32"/>
          <w:szCs w:val="32"/>
        </w:rPr>
        <w:t>八、国有资本经营预算财政拨款收入支出决算情况说明</w:t>
      </w:r>
    </w:p>
    <w:p>
      <w:pPr>
        <w:widowControl/>
        <w:jc w:val="left"/>
        <w:rPr>
          <w:rFonts w:ascii="仿宋_GB2312" w:eastAsia="仿宋_GB2312"/>
          <w:sz w:val="32"/>
          <w:szCs w:val="32"/>
        </w:rPr>
      </w:pPr>
      <w:r>
        <w:rPr>
          <w:rFonts w:ascii="仿宋_GB2312" w:eastAsia="仿宋_GB2312"/>
          <w:sz w:val="32"/>
          <w:szCs w:val="32"/>
        </w:rPr>
        <w:t>九、财政拨款“三公”经费支出决算情况说明</w:t>
      </w:r>
    </w:p>
    <w:p>
      <w:pPr>
        <w:widowControl/>
        <w:jc w:val="left"/>
        <w:rPr>
          <w:rFonts w:ascii="仿宋_GB2312" w:eastAsia="仿宋_GB2312"/>
          <w:sz w:val="32"/>
          <w:szCs w:val="32"/>
        </w:rPr>
      </w:pPr>
      <w:r>
        <w:rPr>
          <w:rFonts w:ascii="仿宋_GB2312" w:eastAsia="仿宋_GB2312"/>
          <w:sz w:val="32"/>
          <w:szCs w:val="32"/>
        </w:rPr>
        <w:t>十、其他重要事项的情况说明</w:t>
      </w:r>
    </w:p>
    <w:p>
      <w:pPr>
        <w:widowControl/>
        <w:jc w:val="left"/>
        <w:rPr>
          <w:rFonts w:ascii="仿宋_GB2312" w:eastAsia="仿宋_GB2312"/>
          <w:sz w:val="32"/>
          <w:szCs w:val="32"/>
        </w:rPr>
      </w:pPr>
      <w:r>
        <w:rPr>
          <w:rFonts w:ascii="仿宋_GB2312" w:eastAsia="仿宋_GB2312"/>
          <w:sz w:val="32"/>
          <w:szCs w:val="32"/>
        </w:rPr>
        <w:t>（一）机关运行经费及公用经费支出情况</w:t>
      </w:r>
    </w:p>
    <w:p>
      <w:pPr>
        <w:widowControl/>
        <w:jc w:val="left"/>
        <w:rPr>
          <w:rFonts w:ascii="仿宋_GB2312" w:eastAsia="仿宋_GB2312"/>
          <w:sz w:val="32"/>
          <w:szCs w:val="32"/>
        </w:rPr>
      </w:pPr>
      <w:r>
        <w:rPr>
          <w:rFonts w:ascii="仿宋_GB2312" w:eastAsia="仿宋_GB2312"/>
          <w:sz w:val="32"/>
          <w:szCs w:val="32"/>
        </w:rPr>
        <w:t>（二）政府采购情况</w:t>
      </w:r>
    </w:p>
    <w:p>
      <w:pPr>
        <w:widowControl/>
        <w:jc w:val="left"/>
        <w:rPr>
          <w:rFonts w:ascii="仿宋_GB2312" w:eastAsia="仿宋_GB2312"/>
          <w:sz w:val="32"/>
          <w:szCs w:val="32"/>
        </w:rPr>
      </w:pPr>
      <w:r>
        <w:rPr>
          <w:rFonts w:ascii="仿宋_GB2312" w:eastAsia="仿宋_GB2312"/>
          <w:sz w:val="32"/>
          <w:szCs w:val="32"/>
        </w:rPr>
        <w:t>（三）国有资产占用情况说明</w:t>
      </w:r>
    </w:p>
    <w:p>
      <w:pPr>
        <w:widowControl/>
        <w:jc w:val="left"/>
        <w:rPr>
          <w:rFonts w:ascii="仿宋_GB2312" w:eastAsia="仿宋_GB2312"/>
          <w:sz w:val="32"/>
          <w:szCs w:val="32"/>
        </w:rPr>
      </w:pPr>
      <w:r>
        <w:rPr>
          <w:rFonts w:ascii="仿宋_GB2312" w:eastAsia="仿宋_GB2312"/>
          <w:sz w:val="32"/>
          <w:szCs w:val="32"/>
        </w:rPr>
        <w:t>十一、预算绩效的情况说明</w:t>
      </w:r>
    </w:p>
    <w:p>
      <w:pPr>
        <w:widowControl/>
        <w:jc w:val="left"/>
        <w:rPr>
          <w:rFonts w:ascii="仿宋_GB2312" w:eastAsia="仿宋_GB2312"/>
          <w:sz w:val="32"/>
          <w:szCs w:val="32"/>
        </w:rPr>
      </w:pPr>
      <w:r>
        <w:rPr>
          <w:rFonts w:ascii="仿宋_GB2312" w:eastAsia="仿宋_GB2312"/>
          <w:sz w:val="32"/>
          <w:szCs w:val="32"/>
        </w:rPr>
        <w:t>十二、其他需说明的事项</w:t>
      </w:r>
    </w:p>
    <w:p>
      <w:pPr>
        <w:widowControl/>
        <w:jc w:val="left"/>
        <w:rPr>
          <w:rFonts w:ascii="仿宋_GB2312" w:eastAsia="仿宋_GB2312"/>
          <w:sz w:val="32"/>
          <w:szCs w:val="32"/>
        </w:rPr>
      </w:pPr>
      <w:r>
        <w:rPr>
          <w:rFonts w:ascii="仿宋_GB2312" w:eastAsia="仿宋_GB2312"/>
          <w:b/>
          <w:sz w:val="32"/>
          <w:szCs w:val="32"/>
        </w:rPr>
        <w:t>第三部分专业名词解释</w:t>
      </w:r>
    </w:p>
    <w:p>
      <w:pPr>
        <w:widowControl/>
        <w:jc w:val="left"/>
        <w:rPr>
          <w:rFonts w:ascii="仿宋_GB2312" w:eastAsia="仿宋_GB2312"/>
          <w:sz w:val="32"/>
          <w:szCs w:val="32"/>
        </w:rPr>
      </w:pPr>
      <w:r>
        <w:rPr>
          <w:rFonts w:ascii="仿宋_GB2312" w:eastAsia="仿宋_GB2312"/>
          <w:b/>
          <w:sz w:val="32"/>
          <w:szCs w:val="32"/>
        </w:rPr>
        <w:t>第四部分部门决算报表（见附表）</w:t>
      </w:r>
    </w:p>
    <w:p>
      <w:pPr>
        <w:widowControl/>
        <w:jc w:val="left"/>
        <w:rPr>
          <w:rFonts w:ascii="仿宋_GB2312" w:eastAsia="仿宋_GB2312"/>
          <w:sz w:val="32"/>
          <w:szCs w:val="32"/>
        </w:rPr>
      </w:pPr>
      <w:r>
        <w:rPr>
          <w:rFonts w:ascii="仿宋_GB2312" w:eastAsia="仿宋_GB2312"/>
          <w:sz w:val="32"/>
          <w:szCs w:val="32"/>
        </w:rPr>
        <w:t>一、《收入支出决算总表》</w:t>
      </w:r>
    </w:p>
    <w:p>
      <w:pPr>
        <w:widowControl/>
        <w:jc w:val="left"/>
        <w:rPr>
          <w:rFonts w:ascii="仿宋_GB2312" w:eastAsia="仿宋_GB2312"/>
          <w:sz w:val="32"/>
          <w:szCs w:val="32"/>
        </w:rPr>
      </w:pPr>
      <w:r>
        <w:rPr>
          <w:rFonts w:ascii="仿宋_GB2312" w:eastAsia="仿宋_GB2312"/>
          <w:sz w:val="32"/>
          <w:szCs w:val="32"/>
        </w:rPr>
        <w:t>二、《收入决算表》</w:t>
      </w:r>
    </w:p>
    <w:p>
      <w:pPr>
        <w:widowControl/>
        <w:jc w:val="left"/>
        <w:rPr>
          <w:rFonts w:ascii="仿宋_GB2312" w:eastAsia="仿宋_GB2312"/>
          <w:sz w:val="32"/>
          <w:szCs w:val="32"/>
        </w:rPr>
      </w:pPr>
      <w:r>
        <w:rPr>
          <w:rFonts w:ascii="仿宋_GB2312" w:eastAsia="仿宋_GB2312"/>
          <w:sz w:val="32"/>
          <w:szCs w:val="32"/>
        </w:rPr>
        <w:t>三、《支出决算表》</w:t>
      </w:r>
    </w:p>
    <w:p>
      <w:pPr>
        <w:widowControl/>
        <w:jc w:val="left"/>
        <w:rPr>
          <w:rFonts w:ascii="仿宋_GB2312" w:eastAsia="仿宋_GB2312"/>
          <w:sz w:val="32"/>
          <w:szCs w:val="32"/>
        </w:rPr>
      </w:pPr>
      <w:r>
        <w:rPr>
          <w:rFonts w:ascii="仿宋_GB2312" w:eastAsia="仿宋_GB2312"/>
          <w:sz w:val="32"/>
          <w:szCs w:val="32"/>
        </w:rPr>
        <w:t>四、《财政拨款收入支出决算总表》</w:t>
      </w:r>
    </w:p>
    <w:p>
      <w:pPr>
        <w:widowControl/>
        <w:jc w:val="left"/>
        <w:rPr>
          <w:rFonts w:ascii="仿宋_GB2312" w:eastAsia="仿宋_GB2312"/>
          <w:sz w:val="32"/>
          <w:szCs w:val="32"/>
        </w:rPr>
      </w:pPr>
      <w:r>
        <w:rPr>
          <w:rFonts w:ascii="仿宋_GB2312" w:eastAsia="仿宋_GB2312"/>
          <w:sz w:val="32"/>
          <w:szCs w:val="32"/>
        </w:rPr>
        <w:t>五、《一般公共预算财政拨款支出决算表》</w:t>
      </w:r>
    </w:p>
    <w:p>
      <w:pPr>
        <w:widowControl/>
        <w:jc w:val="left"/>
        <w:rPr>
          <w:rFonts w:ascii="仿宋_GB2312" w:eastAsia="仿宋_GB2312"/>
          <w:sz w:val="32"/>
          <w:szCs w:val="32"/>
        </w:rPr>
      </w:pPr>
      <w:r>
        <w:rPr>
          <w:rFonts w:ascii="仿宋_GB2312" w:eastAsia="仿宋_GB2312"/>
          <w:sz w:val="32"/>
          <w:szCs w:val="32"/>
        </w:rPr>
        <w:t>六、《一般公共预算财政拨款基本支出决算表》</w:t>
      </w:r>
    </w:p>
    <w:p>
      <w:pPr>
        <w:widowControl/>
        <w:jc w:val="left"/>
        <w:rPr>
          <w:rFonts w:ascii="仿宋_GB2312" w:eastAsia="仿宋_GB2312"/>
          <w:sz w:val="32"/>
          <w:szCs w:val="32"/>
        </w:rPr>
      </w:pPr>
      <w:r>
        <w:rPr>
          <w:rFonts w:ascii="仿宋_GB2312" w:eastAsia="仿宋_GB2312"/>
          <w:sz w:val="32"/>
          <w:szCs w:val="32"/>
        </w:rPr>
        <w:t>七、《政府性基金预算财政拨款收入支出决算表》</w:t>
      </w:r>
    </w:p>
    <w:p>
      <w:pPr>
        <w:widowControl/>
        <w:jc w:val="left"/>
        <w:rPr>
          <w:rFonts w:ascii="仿宋_GB2312" w:eastAsia="仿宋_GB2312"/>
          <w:sz w:val="32"/>
          <w:szCs w:val="32"/>
        </w:rPr>
      </w:pPr>
      <w:r>
        <w:rPr>
          <w:rFonts w:ascii="仿宋_GB2312" w:eastAsia="仿宋_GB2312"/>
          <w:sz w:val="32"/>
          <w:szCs w:val="32"/>
        </w:rPr>
        <w:t>八、《国有资本经营预算财政拨款收入支出决算表》</w:t>
      </w:r>
    </w:p>
    <w:p>
      <w:pPr>
        <w:widowControl/>
        <w:jc w:val="left"/>
        <w:rPr>
          <w:rFonts w:ascii="仿宋_GB2312" w:eastAsia="仿宋_GB2312"/>
          <w:sz w:val="32"/>
          <w:szCs w:val="32"/>
        </w:rPr>
      </w:pPr>
      <w:r>
        <w:rPr>
          <w:rFonts w:ascii="仿宋_GB2312" w:eastAsia="仿宋_GB2312"/>
          <w:sz w:val="32"/>
          <w:szCs w:val="32"/>
        </w:rPr>
        <w:t>九、《财政拨款“三公”经费支出决算表》</w:t>
      </w:r>
    </w:p>
    <w:p>
      <w:pPr>
        <w:widowControl/>
      </w:pPr>
      <w:r>
        <w:rPr>
          <w:sz w:val="0"/>
          <w:szCs w:val="0"/>
        </w:rPr>
        <w:br w:type="page"/>
      </w:r>
    </w:p>
    <w:p>
      <w:pPr>
        <w:widowControl/>
        <w:jc w:val="center"/>
        <w:outlineLvl w:val="0"/>
        <w:rPr>
          <w:rFonts w:ascii="黑体" w:eastAsia="黑体"/>
          <w:sz w:val="32"/>
          <w:szCs w:val="32"/>
        </w:rPr>
      </w:pPr>
      <w:r>
        <w:rPr>
          <w:rFonts w:ascii="黑体" w:eastAsia="黑体"/>
          <w:sz w:val="32"/>
          <w:szCs w:val="32"/>
        </w:rPr>
        <w:t>第一部分单位概况</w:t>
      </w:r>
    </w:p>
    <w:p>
      <w:pPr>
        <w:widowControl/>
        <w:numPr>
          <w:ilvl w:val="0"/>
          <w:numId w:val="2"/>
        </w:numPr>
        <w:ind w:firstLine="640" w:firstLineChars="200"/>
        <w:jc w:val="left"/>
        <w:outlineLvl w:val="1"/>
        <w:rPr>
          <w:rFonts w:ascii="黑体" w:eastAsia="黑体"/>
          <w:sz w:val="32"/>
          <w:szCs w:val="32"/>
        </w:rPr>
      </w:pPr>
      <w:r>
        <w:rPr>
          <w:rFonts w:ascii="黑体" w:eastAsia="黑体"/>
          <w:sz w:val="32"/>
          <w:szCs w:val="32"/>
        </w:rPr>
        <w:t>主要职能</w:t>
      </w:r>
    </w:p>
    <w:p>
      <w:pPr>
        <w:widowControl/>
        <w:ind w:firstLine="640" w:firstLineChars="200"/>
        <w:rPr>
          <w:rFonts w:ascii="仿宋_GB2312" w:eastAsia="仿宋_GB2312" w:hAnsiTheme="minorHAnsi" w:cstheme="minorBidi"/>
          <w:sz w:val="32"/>
          <w:szCs w:val="32"/>
        </w:rPr>
      </w:pPr>
      <w:r>
        <w:rPr>
          <w:rFonts w:hint="eastAsia" w:ascii="仿宋_GB2312" w:eastAsia="仿宋_GB2312" w:hAnsiTheme="minorHAnsi" w:cstheme="minorBidi"/>
          <w:sz w:val="32"/>
          <w:szCs w:val="32"/>
        </w:rPr>
        <w:t>库尔勒市房屋征收与补偿管理办公室成立于</w:t>
      </w:r>
      <w:r>
        <w:rPr>
          <w:rFonts w:ascii="仿宋_GB2312" w:eastAsia="仿宋_GB2312" w:hAnsiTheme="minorHAnsi" w:cstheme="minorBidi"/>
          <w:sz w:val="32"/>
          <w:szCs w:val="32"/>
        </w:rPr>
        <w:t>1991</w:t>
      </w:r>
      <w:r>
        <w:rPr>
          <w:rFonts w:hint="eastAsia" w:ascii="仿宋_GB2312" w:eastAsia="仿宋_GB2312" w:hAnsiTheme="minorHAnsi" w:cstheme="minorBidi"/>
          <w:sz w:val="32"/>
          <w:szCs w:val="32"/>
        </w:rPr>
        <w:t>年</w:t>
      </w:r>
      <w:r>
        <w:rPr>
          <w:rFonts w:ascii="仿宋_GB2312" w:eastAsia="仿宋_GB2312" w:hAnsiTheme="minorHAnsi" w:cstheme="minorBidi"/>
          <w:sz w:val="32"/>
          <w:szCs w:val="32"/>
        </w:rPr>
        <w:t>3</w:t>
      </w:r>
      <w:r>
        <w:rPr>
          <w:rFonts w:hint="eastAsia" w:ascii="仿宋_GB2312" w:eastAsia="仿宋_GB2312" w:hAnsiTheme="minorHAnsi" w:cstheme="minorBidi"/>
          <w:sz w:val="32"/>
          <w:szCs w:val="32"/>
        </w:rPr>
        <w:t>月，组织机构代码：</w:t>
      </w:r>
      <w:r>
        <w:rPr>
          <w:rFonts w:ascii="仿宋_GB2312" w:eastAsia="仿宋_GB2312" w:hAnsiTheme="minorHAnsi" w:cstheme="minorBidi"/>
          <w:sz w:val="32"/>
          <w:szCs w:val="32"/>
        </w:rPr>
        <w:t>457874015</w:t>
      </w:r>
      <w:r>
        <w:rPr>
          <w:rFonts w:hint="eastAsia" w:ascii="仿宋_GB2312" w:eastAsia="仿宋_GB2312" w:hAnsiTheme="minorHAnsi" w:cstheme="minorBidi"/>
          <w:sz w:val="32"/>
          <w:szCs w:val="32"/>
        </w:rPr>
        <w:t>，财政补助事业单位。预算管理级次为：县级。其基本职能是正确贯彻执行国家的有关房屋征收与补偿的法律、法规和方针、政策，履行法定管理职能，依法实施房屋拆迁管理，为房屋安全提供鉴定保障，对房屋征收范围内房屋的权属、区位、用途、建筑面积等情况组织调查登记；对征收补偿资金的使用进行监管；负责对房屋补偿与征收工作的宣传工作；促进社会和谐。</w:t>
      </w:r>
    </w:p>
    <w:p>
      <w:pPr>
        <w:widowControl/>
        <w:ind w:firstLine="640" w:firstLineChars="200"/>
        <w:jc w:val="left"/>
        <w:outlineLvl w:val="1"/>
        <w:rPr>
          <w:rFonts w:ascii="黑体" w:eastAsia="黑体"/>
          <w:sz w:val="32"/>
          <w:szCs w:val="32"/>
        </w:rPr>
      </w:pPr>
      <w:r>
        <w:rPr>
          <w:rFonts w:ascii="黑体" w:eastAsia="黑体"/>
          <w:sz w:val="32"/>
          <w:szCs w:val="32"/>
        </w:rPr>
        <w:t>二、机构设置及人员情况</w:t>
      </w:r>
    </w:p>
    <w:p>
      <w:pPr>
        <w:widowControl/>
        <w:ind w:firstLine="640" w:firstLineChars="200"/>
        <w:rPr>
          <w:rFonts w:ascii="仿宋_GB2312" w:eastAsia="仿宋_GB2312"/>
          <w:sz w:val="32"/>
          <w:szCs w:val="32"/>
        </w:rPr>
      </w:pPr>
      <w:r>
        <w:rPr>
          <w:rFonts w:ascii="仿宋_GB2312" w:eastAsia="仿宋_GB2312"/>
          <w:sz w:val="32"/>
          <w:szCs w:val="32"/>
        </w:rPr>
        <w:t>库尔勒市房屋征收与补偿管理办公室2024年度，实有人数27人，其中：在职人员18人，增加1人；离休人员0人，较上年无变化；退休人员9人，较上年无变化；</w:t>
      </w:r>
    </w:p>
    <w:p>
      <w:pPr>
        <w:widowControl/>
        <w:ind w:firstLine="640" w:firstLineChars="200"/>
        <w:rPr>
          <w:rFonts w:ascii="仿宋_GB2312" w:eastAsia="仿宋_GB2312" w:hAnsiTheme="minorHAnsi" w:cstheme="minorBidi"/>
          <w:sz w:val="32"/>
          <w:szCs w:val="32"/>
        </w:rPr>
      </w:pPr>
      <w:r>
        <w:rPr>
          <w:rFonts w:ascii="仿宋_GB2312" w:eastAsia="仿宋_GB2312" w:hAnsiTheme="minorHAnsi" w:cstheme="minorBidi"/>
          <w:sz w:val="32"/>
          <w:szCs w:val="32"/>
        </w:rPr>
        <w:t>库尔勒市房屋征收与补偿管理办公室无下属预算单位，</w:t>
      </w:r>
      <w:r>
        <w:rPr>
          <w:rFonts w:hint="eastAsia" w:ascii="仿宋_GB2312" w:eastAsia="仿宋_GB2312" w:hAnsiTheme="minorHAnsi" w:cstheme="minorBidi"/>
          <w:sz w:val="32"/>
          <w:szCs w:val="32"/>
        </w:rPr>
        <w:t>下设</w:t>
      </w:r>
      <w:r>
        <w:rPr>
          <w:rFonts w:ascii="仿宋_GB2312" w:eastAsia="仿宋_GB2312" w:hAnsiTheme="minorHAnsi" w:cstheme="minorBidi"/>
          <w:sz w:val="32"/>
          <w:szCs w:val="32"/>
        </w:rPr>
        <w:t>4</w:t>
      </w:r>
      <w:r>
        <w:rPr>
          <w:rFonts w:hint="eastAsia" w:ascii="仿宋_GB2312" w:eastAsia="仿宋_GB2312" w:hAnsiTheme="minorHAnsi" w:cstheme="minorBidi"/>
          <w:sz w:val="32"/>
          <w:szCs w:val="32"/>
        </w:rPr>
        <w:t>个处室，分别是：行政办公室、业务科、法规科、信访监察室。</w:t>
      </w:r>
    </w:p>
    <w:p>
      <w:pPr>
        <w:widowControl/>
        <w:ind w:firstLine="640" w:firstLineChars="200"/>
      </w:pPr>
      <w:r>
        <w:rPr>
          <w:rFonts w:ascii="仿宋_GB2312" w:eastAsia="仿宋_GB2312" w:hAnsiTheme="minorHAnsi" w:cstheme="minorBidi"/>
          <w:sz w:val="32"/>
          <w:szCs w:val="32"/>
        </w:rPr>
        <w:br w:type="page"/>
      </w:r>
    </w:p>
    <w:p>
      <w:pPr>
        <w:widowControl/>
        <w:jc w:val="center"/>
        <w:outlineLvl w:val="0"/>
        <w:rPr>
          <w:rFonts w:ascii="黑体" w:eastAsia="黑体"/>
          <w:sz w:val="32"/>
          <w:szCs w:val="32"/>
        </w:rPr>
      </w:pPr>
      <w:r>
        <w:rPr>
          <w:rFonts w:ascii="黑体" w:eastAsia="黑体"/>
          <w:sz w:val="32"/>
          <w:szCs w:val="32"/>
        </w:rPr>
        <w:t>第二部分部门决算情况说明</w:t>
      </w:r>
    </w:p>
    <w:p>
      <w:pPr>
        <w:widowControl/>
        <w:ind w:firstLine="640" w:firstLineChars="200"/>
        <w:jc w:val="left"/>
        <w:outlineLvl w:val="1"/>
        <w:rPr>
          <w:rFonts w:ascii="黑体" w:eastAsia="黑体"/>
          <w:sz w:val="32"/>
          <w:szCs w:val="32"/>
        </w:rPr>
      </w:pPr>
      <w:r>
        <w:rPr>
          <w:rFonts w:ascii="黑体" w:eastAsia="黑体"/>
          <w:sz w:val="32"/>
          <w:szCs w:val="32"/>
        </w:rPr>
        <w:t>一、收入支出决算总体情况说明</w:t>
      </w:r>
    </w:p>
    <w:p>
      <w:pPr>
        <w:widowControl/>
        <w:ind w:firstLine="640" w:firstLineChars="200"/>
        <w:rPr>
          <w:rFonts w:ascii="仿宋_GB2312" w:eastAsia="仿宋_GB2312"/>
          <w:sz w:val="32"/>
          <w:szCs w:val="32"/>
        </w:rPr>
      </w:pPr>
      <w:r>
        <w:rPr>
          <w:rFonts w:ascii="仿宋_GB2312" w:eastAsia="仿宋_GB2312"/>
          <w:sz w:val="32"/>
          <w:szCs w:val="32"/>
        </w:rPr>
        <w:t>2024年度收入总计655.15万元，其中：本年收入合计655.15万元，使用非财政拨款结余（含专用结余）0.00万元，年初结转和结余0.00万元。</w:t>
      </w:r>
    </w:p>
    <w:p>
      <w:pPr>
        <w:widowControl/>
        <w:ind w:firstLine="640" w:firstLineChars="200"/>
        <w:rPr>
          <w:rFonts w:ascii="仿宋_GB2312" w:eastAsia="仿宋_GB2312"/>
          <w:sz w:val="32"/>
          <w:szCs w:val="32"/>
        </w:rPr>
      </w:pPr>
      <w:r>
        <w:rPr>
          <w:rFonts w:ascii="仿宋_GB2312" w:eastAsia="仿宋_GB2312"/>
          <w:sz w:val="32"/>
          <w:szCs w:val="32"/>
        </w:rPr>
        <w:t>2024年度支出总计655.15万元，其中：本年支出合计655.15万元，结余分配0.00万元，年末结转和结余0.00万元。</w:t>
      </w:r>
    </w:p>
    <w:p>
      <w:pPr>
        <w:snapToGrid w:val="0"/>
        <w:spacing w:line="520" w:lineRule="exact"/>
        <w:ind w:firstLine="640" w:firstLineChars="200"/>
        <w:rPr>
          <w:rFonts w:ascii="仿宋_GB2312" w:eastAsia="仿宋_GB2312"/>
          <w:sz w:val="32"/>
          <w:szCs w:val="32"/>
        </w:rPr>
      </w:pPr>
      <w:r>
        <w:rPr>
          <w:rFonts w:ascii="仿宋_GB2312" w:eastAsia="仿宋_GB2312"/>
          <w:sz w:val="32"/>
          <w:szCs w:val="32"/>
        </w:rPr>
        <w:t>收入支出总体与上年相比，增加176.72万元，增长36.94%，主要原因是：</w:t>
      </w:r>
      <w:r>
        <w:rPr>
          <w:rFonts w:hint="eastAsia" w:ascii="仿宋_GB2312" w:hAnsi="仿宋" w:eastAsia="仿宋_GB2312"/>
          <w:sz w:val="32"/>
          <w:szCs w:val="32"/>
          <w:lang w:val="zh-TW" w:eastAsia="zh-TW"/>
        </w:rPr>
        <w:t>本年度支付拆迁补偿费</w:t>
      </w:r>
      <w:r>
        <w:rPr>
          <w:rFonts w:hint="eastAsia" w:ascii="仿宋_GB2312" w:hAnsi="仿宋" w:eastAsia="仿宋_GB2312"/>
          <w:sz w:val="32"/>
          <w:szCs w:val="32"/>
          <w:lang w:val="zh-TW"/>
        </w:rPr>
        <w:t>。</w:t>
      </w:r>
    </w:p>
    <w:p>
      <w:pPr>
        <w:widowControl/>
        <w:ind w:firstLine="640" w:firstLineChars="200"/>
        <w:jc w:val="left"/>
        <w:outlineLvl w:val="1"/>
        <w:rPr>
          <w:rFonts w:ascii="黑体" w:eastAsia="黑体"/>
          <w:sz w:val="32"/>
          <w:szCs w:val="32"/>
        </w:rPr>
      </w:pPr>
      <w:r>
        <w:rPr>
          <w:rFonts w:ascii="黑体" w:eastAsia="黑体"/>
          <w:sz w:val="32"/>
          <w:szCs w:val="32"/>
        </w:rPr>
        <w:t>二、收入决算情况说明</w:t>
      </w:r>
    </w:p>
    <w:p>
      <w:pPr>
        <w:widowControl/>
        <w:ind w:firstLine="640" w:firstLineChars="200"/>
        <w:rPr>
          <w:rFonts w:ascii="仿宋_GB2312" w:eastAsia="仿宋_GB2312"/>
          <w:sz w:val="32"/>
          <w:szCs w:val="32"/>
        </w:rPr>
      </w:pPr>
      <w:r>
        <w:rPr>
          <w:rFonts w:ascii="仿宋_GB2312" w:eastAsia="仿宋_GB2312"/>
          <w:sz w:val="32"/>
          <w:szCs w:val="32"/>
        </w:rPr>
        <w:t>本年收入655.15万元，其中：财政拨款收入655.15万元,占100.00%；上级补助收入0.00万元,占0.00%；事业收入0.00万元，占0.00%；经营收入0.00万元,占0.00%；附属单位上缴收入0.00万元，占0.00%；其他收入0.00万元，占0.00%。</w:t>
      </w:r>
    </w:p>
    <w:p>
      <w:pPr>
        <w:widowControl/>
        <w:ind w:firstLine="640" w:firstLineChars="200"/>
        <w:jc w:val="left"/>
        <w:outlineLvl w:val="1"/>
        <w:rPr>
          <w:rFonts w:ascii="黑体" w:eastAsia="黑体"/>
          <w:sz w:val="32"/>
          <w:szCs w:val="32"/>
        </w:rPr>
      </w:pPr>
      <w:r>
        <w:rPr>
          <w:rFonts w:ascii="黑体" w:eastAsia="黑体"/>
          <w:sz w:val="32"/>
          <w:szCs w:val="32"/>
        </w:rPr>
        <w:t>三、支出决算情况说明</w:t>
      </w:r>
    </w:p>
    <w:p>
      <w:pPr>
        <w:widowControl/>
        <w:ind w:firstLine="640" w:firstLineChars="200"/>
        <w:rPr>
          <w:rFonts w:ascii="仿宋_GB2312" w:eastAsia="仿宋_GB2312"/>
          <w:sz w:val="32"/>
          <w:szCs w:val="32"/>
        </w:rPr>
      </w:pPr>
      <w:r>
        <w:rPr>
          <w:rFonts w:ascii="仿宋_GB2312" w:eastAsia="仿宋_GB2312"/>
          <w:sz w:val="32"/>
          <w:szCs w:val="32"/>
        </w:rPr>
        <w:t>本年支出655.15万元，其中：基本支出318.17万元，占48.56%；项目支出336.97万元，占51.43%；上缴上级支出0.00万元，占0.00%；经营支出0.00万元，占0.00%；对附属单位补助支出0.00万元，占0.00%。</w:t>
      </w:r>
    </w:p>
    <w:p>
      <w:pPr>
        <w:widowControl/>
        <w:ind w:firstLine="640" w:firstLineChars="200"/>
        <w:jc w:val="left"/>
        <w:outlineLvl w:val="1"/>
        <w:rPr>
          <w:rFonts w:ascii="黑体" w:eastAsia="黑体"/>
          <w:sz w:val="32"/>
          <w:szCs w:val="32"/>
        </w:rPr>
      </w:pPr>
      <w:r>
        <w:rPr>
          <w:rFonts w:ascii="黑体" w:eastAsia="黑体"/>
          <w:sz w:val="32"/>
          <w:szCs w:val="32"/>
        </w:rPr>
        <w:t>四、财政拨款收入支出决算总体情况说明</w:t>
      </w:r>
    </w:p>
    <w:p>
      <w:pPr>
        <w:widowControl/>
        <w:ind w:firstLine="640" w:firstLineChars="200"/>
        <w:rPr>
          <w:rFonts w:ascii="仿宋_GB2312" w:eastAsia="仿宋_GB2312"/>
          <w:sz w:val="32"/>
          <w:szCs w:val="32"/>
        </w:rPr>
      </w:pPr>
      <w:r>
        <w:rPr>
          <w:rFonts w:ascii="仿宋_GB2312" w:eastAsia="仿宋_GB2312"/>
          <w:sz w:val="32"/>
          <w:szCs w:val="32"/>
        </w:rPr>
        <w:t>2024年度财政拨款收入总计655.15万元，其中：年初财政拨款结转和结余0.00万元，本年财政拨款收入655.15万元。财政拨款支出总计655.15万元，其中：年末财政拨款结转和结余0.00万元，本年财政拨款支出655.15万元。</w:t>
      </w:r>
    </w:p>
    <w:p>
      <w:pPr>
        <w:snapToGrid w:val="0"/>
        <w:spacing w:line="520" w:lineRule="exact"/>
        <w:ind w:firstLine="640" w:firstLineChars="200"/>
        <w:rPr>
          <w:rFonts w:ascii="仿宋_GB2312" w:eastAsia="仿宋_GB2312"/>
          <w:sz w:val="32"/>
          <w:szCs w:val="32"/>
        </w:rPr>
      </w:pPr>
      <w:r>
        <w:rPr>
          <w:rFonts w:ascii="仿宋_GB2312" w:eastAsia="仿宋_GB2312"/>
          <w:sz w:val="32"/>
          <w:szCs w:val="32"/>
        </w:rPr>
        <w:t>财政拨款收入支出总体与上年相比，增加176.72万元，增长36.94%，主要原因是：</w:t>
      </w:r>
      <w:r>
        <w:rPr>
          <w:rFonts w:hint="eastAsia" w:ascii="仿宋_GB2312" w:hAnsi="仿宋" w:eastAsia="仿宋_GB2312"/>
          <w:sz w:val="32"/>
          <w:szCs w:val="32"/>
          <w:lang w:val="zh-TW" w:eastAsia="zh-TW"/>
        </w:rPr>
        <w:t>本年度支付拆迁补偿费</w:t>
      </w:r>
      <w:r>
        <w:rPr>
          <w:rFonts w:hint="eastAsia" w:ascii="仿宋_GB2312" w:hAnsi="仿宋" w:eastAsia="仿宋_GB2312"/>
          <w:sz w:val="32"/>
          <w:szCs w:val="32"/>
        </w:rPr>
        <w:t>233.38万</w:t>
      </w:r>
      <w:r>
        <w:rPr>
          <w:rFonts w:hint="eastAsia" w:ascii="仿宋_GB2312" w:hAnsi="仿宋" w:eastAsia="仿宋_GB2312"/>
          <w:sz w:val="32"/>
          <w:szCs w:val="32"/>
          <w:lang w:val="zh-TW" w:eastAsia="zh-TW"/>
        </w:rPr>
        <w:t>元</w:t>
      </w:r>
      <w:r>
        <w:rPr>
          <w:rFonts w:ascii="仿宋_GB2312" w:eastAsia="仿宋_GB2312"/>
          <w:sz w:val="32"/>
          <w:szCs w:val="32"/>
        </w:rPr>
        <w:t>。与年初预算相比，年初预算数394.51万元，决算数655.15万元，预决算差异率66.07%，主要原因是：</w:t>
      </w:r>
      <w:r>
        <w:rPr>
          <w:rFonts w:hint="eastAsia" w:ascii="仿宋_GB2312" w:hAnsi="仿宋" w:eastAsia="仿宋_GB2312"/>
          <w:sz w:val="32"/>
          <w:szCs w:val="32"/>
          <w:lang w:val="zh-TW" w:eastAsia="zh-TW"/>
        </w:rPr>
        <w:t>本年支付拆迁补偿费</w:t>
      </w:r>
      <w:r>
        <w:rPr>
          <w:rFonts w:hint="eastAsia" w:ascii="仿宋_GB2312" w:hAnsi="仿宋" w:eastAsia="仿宋_GB2312"/>
          <w:sz w:val="32"/>
          <w:szCs w:val="32"/>
        </w:rPr>
        <w:t>233.38万</w:t>
      </w:r>
      <w:r>
        <w:rPr>
          <w:rFonts w:hint="eastAsia" w:ascii="仿宋_GB2312" w:hAnsi="仿宋" w:eastAsia="仿宋_GB2312"/>
          <w:sz w:val="32"/>
          <w:szCs w:val="32"/>
          <w:lang w:val="zh-TW" w:eastAsia="zh-TW"/>
        </w:rPr>
        <w:t>元</w:t>
      </w:r>
      <w:r>
        <w:rPr>
          <w:rFonts w:hint="eastAsia" w:ascii="仿宋_GB2312" w:hAnsi="仿宋" w:eastAsia="仿宋_GB2312"/>
          <w:sz w:val="32"/>
          <w:szCs w:val="32"/>
        </w:rPr>
        <w:t>,支付测绘评估费100万元均为预算外资金</w:t>
      </w:r>
      <w:r>
        <w:rPr>
          <w:rFonts w:ascii="仿宋_GB2312" w:eastAsia="仿宋_GB2312"/>
          <w:sz w:val="32"/>
          <w:szCs w:val="32"/>
        </w:rPr>
        <w:t>。</w:t>
      </w:r>
    </w:p>
    <w:p>
      <w:pPr>
        <w:widowControl/>
        <w:ind w:firstLine="640" w:firstLineChars="200"/>
        <w:jc w:val="left"/>
        <w:outlineLvl w:val="1"/>
        <w:rPr>
          <w:rFonts w:ascii="黑体" w:eastAsia="黑体"/>
          <w:sz w:val="32"/>
          <w:szCs w:val="32"/>
        </w:rPr>
      </w:pPr>
      <w:r>
        <w:rPr>
          <w:rFonts w:ascii="黑体" w:eastAsia="黑体"/>
          <w:sz w:val="32"/>
          <w:szCs w:val="32"/>
        </w:rPr>
        <w:t>五、一般公共预算财政拨款支出决算情况说明</w:t>
      </w:r>
    </w:p>
    <w:p>
      <w:pPr>
        <w:widowControl/>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ind w:firstLine="640" w:firstLineChars="200"/>
        <w:rPr>
          <w:rFonts w:ascii="仿宋_GB2312" w:eastAsia="仿宋_GB2312"/>
          <w:sz w:val="32"/>
          <w:szCs w:val="32"/>
        </w:rPr>
      </w:pPr>
      <w:r>
        <w:rPr>
          <w:rFonts w:ascii="仿宋_GB2312" w:eastAsia="仿宋_GB2312"/>
          <w:sz w:val="32"/>
          <w:szCs w:val="32"/>
        </w:rPr>
        <w:t>2024年度一般公共预算财政拨款支出321.76万元，占本年支出合计的49.11%。与上年相比，减少44.31万元，下降12.10%，主要原因是：</w:t>
      </w:r>
      <w:r>
        <w:rPr>
          <w:rFonts w:hint="eastAsia" w:ascii="仿宋_GB2312" w:eastAsia="仿宋_GB2312"/>
          <w:sz w:val="32"/>
          <w:szCs w:val="32"/>
        </w:rPr>
        <w:t>本年</w:t>
      </w:r>
      <w:r>
        <w:rPr>
          <w:rFonts w:hint="eastAsia" w:ascii="仿宋_GB2312" w:hAnsi="仿宋" w:eastAsia="仿宋_GB2312"/>
          <w:sz w:val="32"/>
          <w:szCs w:val="32"/>
        </w:rPr>
        <w:t>公岗人员辞职7人，在职人员转退休1人，各项社保费用减少</w:t>
      </w:r>
      <w:r>
        <w:rPr>
          <w:rFonts w:ascii="仿宋_GB2312" w:eastAsia="仿宋_GB2312"/>
          <w:sz w:val="32"/>
          <w:szCs w:val="32"/>
        </w:rPr>
        <w:t>。与年初预算相比，年初预算数394.51万元，决算数321.76万元，预决算差异率-18.44%，主要原因是：</w:t>
      </w:r>
      <w:r>
        <w:rPr>
          <w:rFonts w:hint="eastAsia" w:ascii="仿宋_GB2312" w:eastAsia="仿宋_GB2312"/>
          <w:sz w:val="32"/>
          <w:szCs w:val="32"/>
        </w:rPr>
        <w:t>年中公岗人员辞职7人，在职人员转退休1人，致人员经费较预算数减少</w:t>
      </w:r>
      <w:r>
        <w:rPr>
          <w:rFonts w:ascii="仿宋_GB2312" w:eastAsia="仿宋_GB2312"/>
          <w:sz w:val="32"/>
          <w:szCs w:val="32"/>
        </w:rPr>
        <w:t>。</w:t>
      </w:r>
    </w:p>
    <w:p>
      <w:pPr>
        <w:widowControl/>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ind w:firstLine="640" w:firstLineChars="200"/>
        <w:rPr>
          <w:rFonts w:ascii="仿宋_GB2312" w:eastAsia="仿宋_GB2312"/>
          <w:sz w:val="32"/>
          <w:szCs w:val="32"/>
        </w:rPr>
      </w:pPr>
      <w:r>
        <w:rPr>
          <w:rFonts w:ascii="仿宋_GB2312" w:eastAsia="仿宋_GB2312"/>
          <w:sz w:val="32"/>
          <w:szCs w:val="32"/>
        </w:rPr>
        <w:t>教育支出（类）0.76万元，占0.24%。</w:t>
      </w:r>
    </w:p>
    <w:p>
      <w:pPr>
        <w:widowControl/>
        <w:ind w:firstLine="640" w:firstLineChars="200"/>
        <w:rPr>
          <w:rFonts w:ascii="仿宋_GB2312" w:eastAsia="仿宋_GB2312"/>
          <w:sz w:val="32"/>
          <w:szCs w:val="32"/>
        </w:rPr>
      </w:pPr>
      <w:r>
        <w:rPr>
          <w:rFonts w:ascii="仿宋_GB2312" w:eastAsia="仿宋_GB2312"/>
          <w:sz w:val="32"/>
          <w:szCs w:val="32"/>
        </w:rPr>
        <w:t>社会保障和就业支出（类）48.25万元，占15.00%。</w:t>
      </w:r>
    </w:p>
    <w:p>
      <w:pPr>
        <w:widowControl/>
        <w:ind w:firstLine="640" w:firstLineChars="200"/>
        <w:rPr>
          <w:rFonts w:ascii="仿宋_GB2312" w:eastAsia="仿宋_GB2312"/>
          <w:sz w:val="32"/>
          <w:szCs w:val="32"/>
        </w:rPr>
      </w:pPr>
      <w:r>
        <w:rPr>
          <w:rFonts w:ascii="仿宋_GB2312" w:eastAsia="仿宋_GB2312"/>
          <w:sz w:val="32"/>
          <w:szCs w:val="32"/>
        </w:rPr>
        <w:t>卫生健康支出（类）14.73万元，占4.58%。</w:t>
      </w:r>
    </w:p>
    <w:p>
      <w:pPr>
        <w:widowControl/>
        <w:ind w:firstLine="640" w:firstLineChars="200"/>
        <w:rPr>
          <w:rFonts w:ascii="仿宋_GB2312" w:eastAsia="仿宋_GB2312"/>
          <w:sz w:val="32"/>
          <w:szCs w:val="32"/>
        </w:rPr>
      </w:pPr>
      <w:r>
        <w:rPr>
          <w:rFonts w:ascii="仿宋_GB2312" w:eastAsia="仿宋_GB2312"/>
          <w:sz w:val="32"/>
          <w:szCs w:val="32"/>
        </w:rPr>
        <w:t>城乡社区支出（类）235.36万元，占73.15%。</w:t>
      </w:r>
    </w:p>
    <w:p>
      <w:pPr>
        <w:widowControl/>
        <w:ind w:firstLine="640" w:firstLineChars="200"/>
        <w:rPr>
          <w:rFonts w:ascii="仿宋_GB2312" w:eastAsia="仿宋_GB2312"/>
          <w:sz w:val="32"/>
          <w:szCs w:val="32"/>
        </w:rPr>
      </w:pPr>
      <w:r>
        <w:rPr>
          <w:rFonts w:ascii="仿宋_GB2312" w:eastAsia="仿宋_GB2312"/>
          <w:sz w:val="32"/>
          <w:szCs w:val="32"/>
        </w:rPr>
        <w:t>住房保障支出（类）22.65万元，占7.04%。</w:t>
      </w:r>
    </w:p>
    <w:p>
      <w:pPr>
        <w:widowControl/>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ind w:firstLine="640" w:firstLineChars="200"/>
        <w:rPr>
          <w:rFonts w:ascii="仿宋_GB2312" w:eastAsia="仿宋_GB2312"/>
          <w:sz w:val="32"/>
          <w:szCs w:val="32"/>
        </w:rPr>
      </w:pPr>
      <w:r>
        <w:rPr>
          <w:rFonts w:ascii="仿宋_GB2312" w:eastAsia="仿宋_GB2312"/>
          <w:sz w:val="32"/>
          <w:szCs w:val="32"/>
        </w:rPr>
        <w:t>教育支出（类）进修及培训（款）培训支出（项）：支出决算数为0.76万元，比上年决算减少0.40万元，下降34.48%，主要原因是：</w:t>
      </w:r>
      <w:r>
        <w:rPr>
          <w:rFonts w:hint="eastAsia" w:ascii="仿宋_GB2312" w:hAnsi="仿宋" w:eastAsia="仿宋_GB2312"/>
          <w:sz w:val="32"/>
          <w:szCs w:val="32"/>
        </w:rPr>
        <w:t>本着缩减经费原则，减少了人员出差费及外出学习费用。</w:t>
      </w:r>
    </w:p>
    <w:p>
      <w:pPr>
        <w:widowControl/>
        <w:ind w:firstLine="640" w:firstLineChars="200"/>
        <w:rPr>
          <w:rFonts w:ascii="仿宋_GB2312" w:eastAsia="仿宋_GB2312"/>
          <w:sz w:val="32"/>
          <w:szCs w:val="32"/>
        </w:rPr>
      </w:pPr>
      <w:r>
        <w:rPr>
          <w:rFonts w:ascii="仿宋_GB2312" w:eastAsia="仿宋_GB2312"/>
          <w:sz w:val="32"/>
          <w:szCs w:val="32"/>
        </w:rPr>
        <w:t>社会保障和就业支出（类）行政事业单位养老支出（款）事业单位离退休（项）：支出决算数为6.79万元，比上年决算增加1.48万元，增长27.87%，主要原因是：</w:t>
      </w:r>
      <w:r>
        <w:rPr>
          <w:rFonts w:hint="eastAsia" w:ascii="仿宋_GB2312" w:eastAsia="仿宋_GB2312"/>
          <w:sz w:val="32"/>
          <w:szCs w:val="32"/>
        </w:rPr>
        <w:t>年中有一在职人员转退休，致退休人员费用增加。</w:t>
      </w:r>
    </w:p>
    <w:p>
      <w:pPr>
        <w:widowControl/>
        <w:ind w:firstLine="640" w:firstLineChars="200"/>
        <w:rPr>
          <w:rFonts w:ascii="仿宋_GB2312" w:eastAsia="仿宋_GB2312"/>
          <w:sz w:val="32"/>
          <w:szCs w:val="32"/>
        </w:rPr>
      </w:pPr>
      <w:r>
        <w:rPr>
          <w:rFonts w:ascii="仿宋_GB2312" w:eastAsia="仿宋_GB2312"/>
          <w:sz w:val="32"/>
          <w:szCs w:val="32"/>
        </w:rPr>
        <w:t>社会保障和就业支出（类）行政事业单位养老支出（款）机关事业单位基本养老保险缴费支出（项）：支出决算数为32.53万元，比上年决算增加4.59万元，增长16.43%，主要原因是：</w:t>
      </w:r>
      <w:r>
        <w:rPr>
          <w:rFonts w:hint="eastAsia" w:ascii="仿宋_GB2312" w:eastAsia="仿宋_GB2312"/>
          <w:sz w:val="32"/>
          <w:szCs w:val="32"/>
        </w:rPr>
        <w:t>养老缴费基数增加致费用增加。</w:t>
      </w:r>
    </w:p>
    <w:p>
      <w:pPr>
        <w:widowControl/>
        <w:ind w:firstLine="640" w:firstLineChars="200"/>
        <w:rPr>
          <w:rFonts w:ascii="仿宋_GB2312" w:eastAsia="仿宋_GB2312"/>
          <w:sz w:val="32"/>
          <w:szCs w:val="32"/>
        </w:rPr>
      </w:pPr>
      <w:r>
        <w:rPr>
          <w:rFonts w:ascii="仿宋_GB2312" w:eastAsia="仿宋_GB2312"/>
          <w:sz w:val="32"/>
          <w:szCs w:val="32"/>
        </w:rPr>
        <w:t>社会保障和就业支出（类）行政事业单位养老支出（款）机关事业单位职业年金缴费支出（项）：支出决算数为8.93万元，比上年决算减少3.57万元，下降28.56%，主要原因是：</w:t>
      </w:r>
      <w:r>
        <w:rPr>
          <w:rFonts w:hint="eastAsia" w:ascii="仿宋_GB2312" w:eastAsia="仿宋_GB2312"/>
          <w:sz w:val="32"/>
          <w:szCs w:val="32"/>
        </w:rPr>
        <w:t>本年一名在职人员转退休，职业年金缴费减少。</w:t>
      </w:r>
    </w:p>
    <w:p>
      <w:pPr>
        <w:widowControl/>
        <w:ind w:firstLine="640" w:firstLineChars="200"/>
        <w:rPr>
          <w:rFonts w:ascii="仿宋_GB2312" w:eastAsia="仿宋_GB2312"/>
          <w:sz w:val="32"/>
          <w:szCs w:val="32"/>
        </w:rPr>
      </w:pPr>
      <w:r>
        <w:rPr>
          <w:rFonts w:ascii="仿宋_GB2312" w:eastAsia="仿宋_GB2312"/>
          <w:sz w:val="32"/>
          <w:szCs w:val="32"/>
        </w:rPr>
        <w:t>社会保障和就业支出（类）就业补助（款）公益性岗位补贴（项）：支出决算数为0.00万元，比上年决算减少28.96万元，下降100.00%，主要原因是：</w:t>
      </w:r>
      <w:r>
        <w:rPr>
          <w:rFonts w:hint="eastAsia" w:ascii="仿宋_GB2312" w:eastAsia="仿宋_GB2312"/>
          <w:sz w:val="32"/>
          <w:szCs w:val="32"/>
        </w:rPr>
        <w:t>公岗人员全部离职。</w:t>
      </w:r>
    </w:p>
    <w:p>
      <w:pPr>
        <w:widowControl/>
        <w:ind w:firstLine="640" w:firstLineChars="200"/>
        <w:rPr>
          <w:rFonts w:ascii="仿宋_GB2312" w:hAnsi="仿宋" w:eastAsia="仿宋_GB2312"/>
          <w:sz w:val="32"/>
          <w:szCs w:val="32"/>
        </w:rPr>
      </w:pPr>
      <w:r>
        <w:rPr>
          <w:rFonts w:ascii="仿宋_GB2312" w:eastAsia="仿宋_GB2312"/>
          <w:sz w:val="32"/>
          <w:szCs w:val="32"/>
        </w:rPr>
        <w:t>卫生健康支出（类）行政事业单位医疗（款）事业单位医疗（项）：支出决算数为14.73万元，比上年决算增加1.62万元，增长12.36%，主要原因是：</w:t>
      </w:r>
      <w:r>
        <w:rPr>
          <w:rFonts w:hint="eastAsia" w:ascii="仿宋_GB2312" w:hAnsi="仿宋" w:eastAsia="仿宋_GB2312"/>
          <w:sz w:val="32"/>
          <w:szCs w:val="32"/>
        </w:rPr>
        <w:t>医疗缴费基数增加致费用增加。</w:t>
      </w:r>
    </w:p>
    <w:p>
      <w:pPr>
        <w:widowControl/>
        <w:ind w:firstLine="640" w:firstLineChars="200"/>
        <w:rPr>
          <w:rFonts w:ascii="仿宋_GB2312" w:eastAsia="仿宋_GB2312"/>
          <w:sz w:val="32"/>
          <w:szCs w:val="32"/>
        </w:rPr>
      </w:pPr>
      <w:r>
        <w:rPr>
          <w:rFonts w:ascii="仿宋_GB2312" w:eastAsia="仿宋_GB2312"/>
          <w:sz w:val="32"/>
          <w:szCs w:val="32"/>
        </w:rPr>
        <w:t>城乡社区支出（类）城乡社区管理事务（款）其他城乡社区管理事务支出（项）：支出决算数为235.36万元，比上年决算减少19.57万元，下降7.68%，主要原因是：</w:t>
      </w:r>
      <w:r>
        <w:rPr>
          <w:rFonts w:hint="eastAsia" w:ascii="仿宋_GB2312" w:eastAsia="仿宋_GB2312"/>
          <w:sz w:val="32"/>
          <w:szCs w:val="32"/>
        </w:rPr>
        <w:t>本年7名公岗人员离职致人员工资及各项费用减少。</w:t>
      </w:r>
    </w:p>
    <w:p>
      <w:pPr>
        <w:widowControl/>
        <w:ind w:firstLine="640" w:firstLineChars="200"/>
        <w:rPr>
          <w:rFonts w:ascii="仿宋_GB2312" w:eastAsia="仿宋_GB2312"/>
          <w:sz w:val="32"/>
          <w:szCs w:val="32"/>
        </w:rPr>
      </w:pPr>
      <w:r>
        <w:rPr>
          <w:rFonts w:ascii="仿宋_GB2312" w:eastAsia="仿宋_GB2312"/>
          <w:sz w:val="32"/>
          <w:szCs w:val="32"/>
        </w:rPr>
        <w:t>住房保障支出（类）住房改革支出（款）住房公积金（项）：支出决算数为22.65万元，比上年决算增加0.50万元，增长2.26%，主要原因是：</w:t>
      </w:r>
      <w:r>
        <w:rPr>
          <w:rFonts w:hint="eastAsia" w:ascii="仿宋_GB2312" w:eastAsia="仿宋_GB2312"/>
          <w:sz w:val="32"/>
          <w:szCs w:val="32"/>
        </w:rPr>
        <w:t>年中增加一名在职人员，致住房公积金有所增加。</w:t>
      </w:r>
    </w:p>
    <w:p>
      <w:pPr>
        <w:widowControl/>
        <w:ind w:firstLine="640" w:firstLineChars="200"/>
        <w:jc w:val="left"/>
        <w:outlineLvl w:val="1"/>
        <w:rPr>
          <w:rFonts w:ascii="黑体" w:eastAsia="黑体"/>
          <w:sz w:val="32"/>
          <w:szCs w:val="32"/>
        </w:rPr>
      </w:pPr>
      <w:r>
        <w:rPr>
          <w:rFonts w:ascii="黑体" w:eastAsia="黑体"/>
          <w:sz w:val="32"/>
          <w:szCs w:val="32"/>
        </w:rPr>
        <w:t>六、一般公共预算财政拨款基本支出决算情况说明</w:t>
      </w:r>
    </w:p>
    <w:p>
      <w:pPr>
        <w:widowControl/>
        <w:ind w:firstLine="640" w:firstLineChars="200"/>
        <w:rPr>
          <w:rFonts w:ascii="仿宋_GB2312" w:eastAsia="仿宋_GB2312"/>
          <w:sz w:val="32"/>
          <w:szCs w:val="32"/>
        </w:rPr>
      </w:pPr>
      <w:r>
        <w:rPr>
          <w:rFonts w:ascii="仿宋_GB2312" w:eastAsia="仿宋_GB2312"/>
          <w:sz w:val="32"/>
          <w:szCs w:val="32"/>
        </w:rPr>
        <w:t>2024年度一般公共预算财政拨款基本支出318.17万元，其中：人员经费305.69万元，包括：基本工资、津贴补贴、机关事业单位基本养老保险缴费、职业年金缴费、职工基本医疗保险缴费、其他社会保障缴费、住房公积金、其他工资福利支出、退休费和抚恤金。</w:t>
      </w:r>
    </w:p>
    <w:p>
      <w:pPr>
        <w:widowControl/>
        <w:ind w:firstLine="640" w:firstLineChars="200"/>
        <w:rPr>
          <w:rFonts w:ascii="仿宋_GB2312" w:eastAsia="仿宋_GB2312"/>
          <w:sz w:val="32"/>
          <w:szCs w:val="32"/>
        </w:rPr>
      </w:pPr>
      <w:r>
        <w:rPr>
          <w:rFonts w:ascii="仿宋_GB2312" w:eastAsia="仿宋_GB2312"/>
          <w:sz w:val="32"/>
          <w:szCs w:val="32"/>
        </w:rPr>
        <w:t>公用经费12.48万元，包括：办公费、邮电费、取暖费、物业管理费、培训费、劳务费、工会经费、福利费和公务用车运行维护费。</w:t>
      </w:r>
    </w:p>
    <w:p>
      <w:pPr>
        <w:widowControl/>
        <w:ind w:firstLine="640" w:firstLineChars="200"/>
        <w:jc w:val="left"/>
        <w:outlineLvl w:val="1"/>
        <w:rPr>
          <w:rFonts w:ascii="黑体" w:eastAsia="黑体"/>
          <w:sz w:val="32"/>
          <w:szCs w:val="32"/>
        </w:rPr>
      </w:pPr>
      <w:r>
        <w:rPr>
          <w:rFonts w:ascii="黑体" w:eastAsia="黑体"/>
          <w:sz w:val="32"/>
          <w:szCs w:val="32"/>
        </w:rPr>
        <w:t>七、政府性基金预算财政拨款收入支出决算情况说明</w:t>
      </w:r>
    </w:p>
    <w:p>
      <w:pPr>
        <w:widowControl/>
        <w:ind w:firstLine="640" w:firstLineChars="200"/>
        <w:rPr>
          <w:rFonts w:ascii="仿宋_GB2312" w:eastAsia="仿宋_GB2312"/>
          <w:sz w:val="32"/>
          <w:szCs w:val="32"/>
        </w:rPr>
      </w:pPr>
      <w:r>
        <w:rPr>
          <w:rFonts w:ascii="仿宋_GB2312" w:eastAsia="仿宋_GB2312"/>
          <w:sz w:val="32"/>
          <w:szCs w:val="32"/>
        </w:rPr>
        <w:t>2024年度政府性基金预算财政拨款收入总计333.38万元，其中：年初结转和结余0.00万元，本年收入333.38万元。政府性基金预算财政拨款支出总计333.38万元，其中：年末结转和结余0.00万元，本年支出333.38万元。</w:t>
      </w:r>
    </w:p>
    <w:p>
      <w:pPr>
        <w:widowControl/>
        <w:ind w:firstLine="640" w:firstLineChars="200"/>
        <w:rPr>
          <w:rFonts w:ascii="仿宋_GB2312" w:eastAsia="仿宋_GB2312"/>
          <w:sz w:val="32"/>
          <w:szCs w:val="32"/>
        </w:rPr>
      </w:pPr>
      <w:r>
        <w:rPr>
          <w:rFonts w:ascii="仿宋_GB2312" w:eastAsia="仿宋_GB2312"/>
          <w:sz w:val="32"/>
          <w:szCs w:val="32"/>
        </w:rPr>
        <w:t>政府性基金预算财政拨款收入支出总体与上年相比，增加221.02万元，增长196.71%，主要原因是：</w:t>
      </w:r>
      <w:r>
        <w:rPr>
          <w:rFonts w:hint="eastAsia" w:ascii="仿宋_GB2312" w:eastAsia="仿宋_GB2312"/>
          <w:sz w:val="32"/>
          <w:szCs w:val="32"/>
        </w:rPr>
        <w:t>本年度支付拆迁补偿费233.38万元</w:t>
      </w:r>
      <w:r>
        <w:rPr>
          <w:rFonts w:ascii="仿宋_GB2312" w:eastAsia="仿宋_GB2312"/>
          <w:sz w:val="32"/>
          <w:szCs w:val="32"/>
        </w:rPr>
        <w:t>。与年初预算相比，年初预算数0.00万元，决算数333.38万元，预决算差异率100%，主要原因是：</w:t>
      </w:r>
      <w:r>
        <w:rPr>
          <w:rFonts w:hint="eastAsia" w:ascii="仿宋_GB2312" w:eastAsia="仿宋_GB2312"/>
          <w:sz w:val="32"/>
          <w:szCs w:val="32"/>
        </w:rPr>
        <w:t>本年度支付拆迁补偿费233.38万元，支付测绘评估费100万元</w:t>
      </w:r>
      <w:r>
        <w:rPr>
          <w:rFonts w:ascii="仿宋_GB2312" w:eastAsia="仿宋_GB2312"/>
          <w:sz w:val="32"/>
          <w:szCs w:val="32"/>
        </w:rPr>
        <w:t>。</w:t>
      </w:r>
    </w:p>
    <w:p>
      <w:pPr>
        <w:widowControl/>
        <w:ind w:firstLine="640" w:firstLineChars="200"/>
        <w:rPr>
          <w:rFonts w:ascii="仿宋_GB2312" w:eastAsia="仿宋_GB2312"/>
          <w:sz w:val="32"/>
          <w:szCs w:val="32"/>
        </w:rPr>
      </w:pPr>
      <w:r>
        <w:rPr>
          <w:rFonts w:ascii="仿宋_GB2312" w:eastAsia="仿宋_GB2312"/>
          <w:sz w:val="32"/>
          <w:szCs w:val="32"/>
        </w:rPr>
        <w:t>政府性基金预算财政拨款支出333.38万元。</w:t>
      </w:r>
    </w:p>
    <w:p>
      <w:pPr>
        <w:widowControl/>
        <w:ind w:firstLine="640" w:firstLineChars="200"/>
        <w:rPr>
          <w:rFonts w:ascii="仿宋_GB2312" w:eastAsia="仿宋_GB2312"/>
          <w:sz w:val="32"/>
          <w:szCs w:val="32"/>
        </w:rPr>
      </w:pPr>
      <w:r>
        <w:rPr>
          <w:rFonts w:ascii="仿宋_GB2312" w:eastAsia="仿宋_GB2312"/>
          <w:sz w:val="32"/>
          <w:szCs w:val="32"/>
        </w:rPr>
        <w:t>城乡社区支出（类）国有土地使用权出让收入安排的支出（款）征地和拆迁补偿支出（项）：支出决算数为233.38万元，比上年决算增加233.38万元，增长100.00%，主要原因是：</w:t>
      </w:r>
      <w:r>
        <w:rPr>
          <w:rFonts w:hint="eastAsia" w:ascii="仿宋_GB2312" w:eastAsia="仿宋_GB2312"/>
          <w:sz w:val="32"/>
          <w:szCs w:val="32"/>
        </w:rPr>
        <w:t>支付拆迁补偿费233.38万元。</w:t>
      </w:r>
    </w:p>
    <w:p>
      <w:pPr>
        <w:widowControl/>
        <w:ind w:firstLine="640" w:firstLineChars="200"/>
        <w:rPr>
          <w:rFonts w:ascii="仿宋_GB2312" w:eastAsia="仿宋_GB2312"/>
          <w:sz w:val="32"/>
          <w:szCs w:val="32"/>
        </w:rPr>
      </w:pPr>
      <w:r>
        <w:rPr>
          <w:rFonts w:ascii="仿宋_GB2312" w:eastAsia="仿宋_GB2312"/>
          <w:sz w:val="32"/>
          <w:szCs w:val="32"/>
        </w:rPr>
        <w:t>城乡社区支出（类）国有土地使用权出让收入安排的支出（款）其他国有土地使用权出让收入安排的支出（项）：支出决算数为100.00万元，比上年决算减少12.36万元，下降11.00%，主要原因是：</w:t>
      </w:r>
      <w:r>
        <w:rPr>
          <w:rFonts w:hint="eastAsia" w:ascii="仿宋_GB2312" w:eastAsia="仿宋_GB2312"/>
          <w:sz w:val="32"/>
          <w:szCs w:val="32"/>
        </w:rPr>
        <w:t>本年未安排危费物处置费。</w:t>
      </w:r>
    </w:p>
    <w:p>
      <w:pPr>
        <w:widowControl/>
        <w:ind w:firstLine="640" w:firstLineChars="200"/>
        <w:jc w:val="left"/>
        <w:outlineLvl w:val="1"/>
        <w:rPr>
          <w:rFonts w:ascii="黑体" w:eastAsia="黑体"/>
          <w:sz w:val="32"/>
          <w:szCs w:val="32"/>
        </w:rPr>
      </w:pPr>
      <w:r>
        <w:rPr>
          <w:rFonts w:ascii="黑体" w:eastAsia="黑体"/>
          <w:sz w:val="32"/>
          <w:szCs w:val="32"/>
        </w:rPr>
        <w:t>八、国有资本经营预算财政拨款收入支出决算情况说明</w:t>
      </w:r>
    </w:p>
    <w:p>
      <w:pPr>
        <w:widowControl/>
        <w:ind w:firstLine="640" w:firstLineChars="200"/>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pPr>
        <w:widowControl/>
        <w:ind w:firstLine="640" w:firstLineChars="200"/>
        <w:jc w:val="left"/>
        <w:outlineLvl w:val="1"/>
        <w:rPr>
          <w:rFonts w:ascii="黑体" w:eastAsia="黑体"/>
          <w:sz w:val="32"/>
          <w:szCs w:val="32"/>
        </w:rPr>
      </w:pPr>
      <w:r>
        <w:rPr>
          <w:rFonts w:ascii="黑体" w:eastAsia="黑体"/>
          <w:sz w:val="32"/>
          <w:szCs w:val="32"/>
        </w:rPr>
        <w:t>九、财政拨款“三公”经费支出决算情况说明</w:t>
      </w:r>
    </w:p>
    <w:p>
      <w:pPr>
        <w:widowControl/>
        <w:ind w:firstLine="640" w:firstLineChars="200"/>
        <w:rPr>
          <w:rFonts w:ascii="仿宋_GB2312" w:eastAsia="仿宋_GB2312"/>
          <w:sz w:val="32"/>
          <w:szCs w:val="32"/>
        </w:rPr>
      </w:pPr>
      <w:r>
        <w:rPr>
          <w:rFonts w:ascii="仿宋_GB2312" w:eastAsia="仿宋_GB2312"/>
          <w:sz w:val="32"/>
          <w:szCs w:val="32"/>
        </w:rPr>
        <w:t>2024年度财政拨款“三公”经费支出2.40万元，比上年增加0.12万元，增长5.26%，主要原因是：</w:t>
      </w:r>
      <w:r>
        <w:rPr>
          <w:rFonts w:hint="eastAsia" w:ascii="仿宋_GB2312" w:eastAsia="仿宋_GB2312"/>
          <w:sz w:val="32"/>
          <w:szCs w:val="32"/>
        </w:rPr>
        <w:t>因车</w:t>
      </w:r>
      <w:r>
        <w:rPr>
          <w:rFonts w:hint="eastAsia" w:ascii="仿宋_GB2312" w:hAnsi="仿宋" w:eastAsia="仿宋_GB2312"/>
          <w:sz w:val="32"/>
          <w:szCs w:val="32"/>
        </w:rPr>
        <w:t>辆使用年限长，维修费用增加，油费上涨，致费用增加</w:t>
      </w:r>
      <w:r>
        <w:rPr>
          <w:rFonts w:ascii="仿宋_GB2312" w:eastAsia="仿宋_GB2312"/>
          <w:sz w:val="32"/>
          <w:szCs w:val="32"/>
        </w:rPr>
        <w:t>。其中：因公出国（境）费支出0.00万元,占0.00%，与上年相比无变化，主要原因是：</w:t>
      </w:r>
      <w:r>
        <w:rPr>
          <w:rFonts w:hint="eastAsia" w:ascii="仿宋_GB2312" w:eastAsia="仿宋_GB2312"/>
          <w:sz w:val="32"/>
          <w:szCs w:val="32"/>
        </w:rPr>
        <w:t>本年无</w:t>
      </w:r>
      <w:r>
        <w:rPr>
          <w:rFonts w:ascii="仿宋_GB2312" w:eastAsia="仿宋_GB2312"/>
          <w:sz w:val="32"/>
          <w:szCs w:val="32"/>
        </w:rPr>
        <w:t>因公出国（境）费支出；公务用车购置及运行维护费支出2.40万元，占100.00%，比上年增加0.12万元，增长5.26%，主要原因是：</w:t>
      </w:r>
      <w:r>
        <w:rPr>
          <w:rFonts w:hint="eastAsia" w:ascii="仿宋_GB2312" w:eastAsia="仿宋_GB2312"/>
          <w:sz w:val="32"/>
          <w:szCs w:val="32"/>
        </w:rPr>
        <w:t>因车</w:t>
      </w:r>
      <w:r>
        <w:rPr>
          <w:rFonts w:hint="eastAsia" w:ascii="仿宋_GB2312" w:hAnsi="仿宋" w:eastAsia="仿宋_GB2312"/>
          <w:sz w:val="32"/>
          <w:szCs w:val="32"/>
        </w:rPr>
        <w:t>辆使用年限长，维修费用增加，油费上涨，致费用增加</w:t>
      </w:r>
      <w:r>
        <w:rPr>
          <w:rFonts w:ascii="仿宋_GB2312" w:eastAsia="仿宋_GB2312"/>
          <w:sz w:val="32"/>
          <w:szCs w:val="32"/>
        </w:rPr>
        <w:t>；公务接待费支出0.00万元，占0.00%，与上年相比无变化，主要原因是：</w:t>
      </w:r>
      <w:r>
        <w:rPr>
          <w:rFonts w:hint="eastAsia" w:ascii="仿宋_GB2312" w:eastAsia="仿宋_GB2312"/>
          <w:sz w:val="32"/>
          <w:szCs w:val="32"/>
        </w:rPr>
        <w:t>本年无</w:t>
      </w:r>
      <w:r>
        <w:rPr>
          <w:rFonts w:ascii="仿宋_GB2312" w:eastAsia="仿宋_GB2312"/>
          <w:sz w:val="32"/>
          <w:szCs w:val="32"/>
        </w:rPr>
        <w:t>公务接待费支出。</w:t>
      </w:r>
    </w:p>
    <w:p>
      <w:pPr>
        <w:widowControl/>
        <w:ind w:firstLine="640" w:firstLineChars="200"/>
        <w:jc w:val="left"/>
        <w:rPr>
          <w:rFonts w:ascii="仿宋_GB2312" w:eastAsia="仿宋_GB2312"/>
          <w:sz w:val="32"/>
          <w:szCs w:val="32"/>
        </w:rPr>
      </w:pPr>
      <w:r>
        <w:rPr>
          <w:rFonts w:ascii="仿宋_GB2312" w:eastAsia="仿宋_GB2312"/>
          <w:sz w:val="32"/>
          <w:szCs w:val="32"/>
        </w:rPr>
        <w:t>具体情况如下：</w:t>
      </w:r>
    </w:p>
    <w:p>
      <w:pPr>
        <w:widowControl/>
        <w:ind w:firstLine="640" w:firstLineChars="200"/>
        <w:rPr>
          <w:rFonts w:ascii="仿宋_GB2312" w:eastAsia="仿宋_GB2312"/>
          <w:sz w:val="32"/>
          <w:szCs w:val="32"/>
        </w:rPr>
      </w:pPr>
      <w:r>
        <w:rPr>
          <w:rFonts w:ascii="仿宋_GB2312" w:eastAsia="仿宋_GB2312"/>
          <w:sz w:val="32"/>
          <w:szCs w:val="32"/>
        </w:rPr>
        <w:t>因公出国（境）费支出0.00万元，开支内容包括0。单位全年安排的因公出国（境）团组0个，因公出国（境）0人次。</w:t>
      </w:r>
    </w:p>
    <w:p>
      <w:pPr>
        <w:widowControl/>
        <w:ind w:firstLine="640" w:firstLineChars="200"/>
        <w:rPr>
          <w:rFonts w:ascii="仿宋_GB2312" w:eastAsia="仿宋_GB2312"/>
          <w:sz w:val="32"/>
          <w:szCs w:val="32"/>
        </w:rPr>
      </w:pPr>
      <w:r>
        <w:rPr>
          <w:rFonts w:ascii="仿宋_GB2312" w:eastAsia="仿宋_GB2312"/>
          <w:sz w:val="32"/>
          <w:szCs w:val="32"/>
        </w:rPr>
        <w:t>公务用车购置及运行维护费2.40万元，其中：公务用车购置费0.00万元，公务用车运行维护费2.40万元。公务用车运行维护费开支内容包括0。公务用车购置数0辆，公务用车保有量1辆。国有资产占用情况中固定资产车辆2辆，与公务用车保有量差异原因是：</w:t>
      </w:r>
      <w:r>
        <w:rPr>
          <w:rFonts w:hint="eastAsia" w:ascii="仿宋_GB2312" w:eastAsia="仿宋_GB2312"/>
          <w:sz w:val="32"/>
          <w:szCs w:val="32"/>
        </w:rPr>
        <w:t>其中一辆车报废手续尚未办结</w:t>
      </w:r>
      <w:r>
        <w:rPr>
          <w:rFonts w:ascii="仿宋_GB2312" w:eastAsia="仿宋_GB2312"/>
          <w:sz w:val="32"/>
          <w:szCs w:val="32"/>
        </w:rPr>
        <w:t>。</w:t>
      </w:r>
    </w:p>
    <w:p>
      <w:pPr>
        <w:widowControl/>
        <w:ind w:firstLine="640" w:firstLineChars="200"/>
        <w:rPr>
          <w:rFonts w:ascii="仿宋_GB2312" w:eastAsia="仿宋_GB2312"/>
          <w:sz w:val="32"/>
          <w:szCs w:val="32"/>
        </w:rPr>
      </w:pPr>
      <w:r>
        <w:rPr>
          <w:rFonts w:ascii="仿宋_GB2312" w:eastAsia="仿宋_GB2312"/>
          <w:sz w:val="32"/>
          <w:szCs w:val="32"/>
        </w:rPr>
        <w:t>公务接待费0.00万元，开支内容包括0。单位全年安排的国内公务接待0批次，0人次。</w:t>
      </w:r>
    </w:p>
    <w:p>
      <w:pPr>
        <w:widowControl/>
        <w:ind w:firstLine="640" w:firstLineChars="200"/>
        <w:rPr>
          <w:rFonts w:ascii="仿宋_GB2312" w:eastAsia="仿宋_GB2312"/>
          <w:sz w:val="32"/>
          <w:szCs w:val="32"/>
        </w:rPr>
      </w:pPr>
      <w:r>
        <w:rPr>
          <w:rFonts w:ascii="仿宋_GB2312" w:eastAsia="仿宋_GB2312"/>
          <w:sz w:val="32"/>
          <w:szCs w:val="32"/>
        </w:rPr>
        <w:t>与全年预算相比，财政拨款“三公”经费支出全年预算数2.40万元，决算数2.40万元，预决算差异率0.00%，主要原因是：</w:t>
      </w:r>
      <w:r>
        <w:rPr>
          <w:rFonts w:hint="eastAsia" w:ascii="仿宋_GB2312" w:eastAsia="仿宋_GB2312"/>
          <w:sz w:val="32"/>
          <w:szCs w:val="32"/>
        </w:rPr>
        <w:t>公务车运行维护费基本维持正常运行</w:t>
      </w:r>
      <w:r>
        <w:rPr>
          <w:rFonts w:ascii="仿宋_GB2312" w:eastAsia="仿宋_GB2312"/>
          <w:sz w:val="32"/>
          <w:szCs w:val="32"/>
        </w:rPr>
        <w:t>。其中：因公出国（境）费全年预算数0.00万元，决算数0.00万元，预决算差异率0.00%，主要原因是：</w:t>
      </w:r>
      <w:r>
        <w:rPr>
          <w:rFonts w:hint="eastAsia" w:ascii="仿宋_GB2312" w:eastAsia="仿宋_GB2312"/>
          <w:sz w:val="32"/>
          <w:szCs w:val="32"/>
        </w:rPr>
        <w:t>无</w:t>
      </w:r>
      <w:r>
        <w:rPr>
          <w:rFonts w:ascii="仿宋_GB2312" w:eastAsia="仿宋_GB2312"/>
          <w:sz w:val="32"/>
          <w:szCs w:val="32"/>
        </w:rPr>
        <w:t>因公出国（境）费。公务用车购置费全年预算数0.00万元，决算数0.00万元，预决算差异率0.00%，主要原因是：</w:t>
      </w:r>
      <w:r>
        <w:rPr>
          <w:rFonts w:hint="eastAsia" w:ascii="仿宋_GB2312" w:eastAsia="仿宋_GB2312"/>
          <w:sz w:val="32"/>
          <w:szCs w:val="32"/>
        </w:rPr>
        <w:t>无</w:t>
      </w:r>
      <w:r>
        <w:rPr>
          <w:rFonts w:ascii="仿宋_GB2312" w:eastAsia="仿宋_GB2312"/>
          <w:sz w:val="32"/>
          <w:szCs w:val="32"/>
        </w:rPr>
        <w:t>公务用车购置费。公务用车运行维护费全年预算数2.40万元，决算数2.40万元，预决算差异率0.00%，主要原因是：</w:t>
      </w:r>
      <w:r>
        <w:rPr>
          <w:rFonts w:hint="eastAsia" w:ascii="仿宋_GB2312" w:eastAsia="仿宋_GB2312"/>
          <w:sz w:val="32"/>
          <w:szCs w:val="32"/>
        </w:rPr>
        <w:t>公务车运行维护费基本维持正常运行</w:t>
      </w:r>
      <w:r>
        <w:rPr>
          <w:rFonts w:ascii="仿宋_GB2312" w:eastAsia="仿宋_GB2312"/>
          <w:sz w:val="32"/>
          <w:szCs w:val="32"/>
        </w:rPr>
        <w:t>。公务接待费全年预算数0.00万元，决算数0.00万元，预决算差异率0.00%，主要原因是：</w:t>
      </w:r>
      <w:r>
        <w:rPr>
          <w:rFonts w:hint="eastAsia" w:ascii="仿宋_GB2312" w:eastAsia="仿宋_GB2312"/>
          <w:sz w:val="32"/>
          <w:szCs w:val="32"/>
        </w:rPr>
        <w:t>无</w:t>
      </w:r>
      <w:r>
        <w:rPr>
          <w:rFonts w:ascii="仿宋_GB2312" w:eastAsia="仿宋_GB2312"/>
          <w:sz w:val="32"/>
          <w:szCs w:val="32"/>
        </w:rPr>
        <w:t>公务接待费。</w:t>
      </w:r>
    </w:p>
    <w:p>
      <w:pPr>
        <w:widowControl/>
        <w:ind w:firstLine="640" w:firstLineChars="200"/>
        <w:jc w:val="left"/>
        <w:outlineLvl w:val="1"/>
        <w:rPr>
          <w:rFonts w:ascii="黑体" w:eastAsia="黑体"/>
          <w:sz w:val="32"/>
          <w:szCs w:val="32"/>
        </w:rPr>
      </w:pPr>
      <w:r>
        <w:rPr>
          <w:rFonts w:ascii="黑体" w:eastAsia="黑体"/>
          <w:sz w:val="32"/>
          <w:szCs w:val="32"/>
        </w:rPr>
        <w:t>十、其他重要事项的情况说明</w:t>
      </w:r>
    </w:p>
    <w:p>
      <w:pPr>
        <w:widowControl/>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ind w:firstLine="640" w:firstLineChars="200"/>
        <w:rPr>
          <w:rFonts w:ascii="仿宋_GB2312" w:eastAsia="仿宋_GB2312"/>
          <w:sz w:val="32"/>
          <w:szCs w:val="32"/>
        </w:rPr>
      </w:pPr>
      <w:r>
        <w:rPr>
          <w:rFonts w:ascii="仿宋_GB2312" w:eastAsia="仿宋_GB2312"/>
          <w:sz w:val="32"/>
          <w:szCs w:val="32"/>
        </w:rPr>
        <w:t>2024年度公用经费支出12.48万元，比上年增加0.66万元，增长5.58%，主要原因是：</w:t>
      </w:r>
      <w:r>
        <w:rPr>
          <w:rFonts w:hint="eastAsia" w:ascii="仿宋_GB2312" w:eastAsia="仿宋_GB2312"/>
          <w:sz w:val="32"/>
          <w:szCs w:val="32"/>
        </w:rPr>
        <w:t>本年支付了供应商印刷费1万元</w:t>
      </w:r>
      <w:r>
        <w:rPr>
          <w:rFonts w:ascii="仿宋_GB2312" w:eastAsia="仿宋_GB2312"/>
          <w:sz w:val="32"/>
          <w:szCs w:val="32"/>
        </w:rPr>
        <w:t>。</w:t>
      </w:r>
    </w:p>
    <w:p>
      <w:pPr>
        <w:widowControl/>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ind w:firstLine="640" w:firstLineChars="200"/>
        <w:rPr>
          <w:rFonts w:ascii="仿宋_GB2312" w:eastAsia="仿宋_GB2312"/>
          <w:sz w:val="32"/>
          <w:szCs w:val="32"/>
        </w:rPr>
      </w:pPr>
      <w:r>
        <w:rPr>
          <w:rFonts w:ascii="仿宋_GB2312" w:eastAsia="仿宋_GB2312"/>
          <w:sz w:val="32"/>
          <w:szCs w:val="32"/>
        </w:rPr>
        <w:t>2024年度政府采购支出总额1.21万元，其中：政府采购货物支出0.00万元、政府采购工程支出0.00万元、政府采购服务支出1.21万元。</w:t>
      </w:r>
    </w:p>
    <w:p>
      <w:pPr>
        <w:widowControl/>
        <w:ind w:firstLine="640" w:firstLineChars="200"/>
        <w:rPr>
          <w:rFonts w:ascii="仿宋_GB2312" w:eastAsia="仿宋_GB2312"/>
          <w:sz w:val="32"/>
          <w:szCs w:val="32"/>
        </w:rPr>
      </w:pPr>
      <w:r>
        <w:rPr>
          <w:rFonts w:ascii="仿宋_GB2312" w:eastAsia="仿宋_GB2312"/>
          <w:sz w:val="32"/>
          <w:szCs w:val="32"/>
        </w:rPr>
        <w:t>授予中小企业合同金额1.21万元，占政府采购支出总额的100.00%，其中：授予小微企业合同金额1.21万元，占政府采购支出总额的100.00%。</w:t>
      </w:r>
    </w:p>
    <w:p>
      <w:pPr>
        <w:widowControl/>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ind w:firstLine="640" w:firstLineChars="200"/>
        <w:rPr>
          <w:rFonts w:ascii="仿宋_GB2312" w:eastAsia="仿宋_GB2312"/>
          <w:sz w:val="32"/>
          <w:szCs w:val="32"/>
        </w:rPr>
      </w:pPr>
      <w:r>
        <w:rPr>
          <w:rFonts w:ascii="仿宋_GB2312" w:eastAsia="仿宋_GB2312"/>
          <w:sz w:val="32"/>
          <w:szCs w:val="32"/>
        </w:rPr>
        <w:t>截至2024年12月31日，房屋706.00平方米，价值233.00万元。车辆2辆，价值33.24万元，其中：副部（省）级及以上领导用车0辆、主要负责人用车0辆、机要通信用车0辆、应急保障用车0辆、执法执勤用车0辆、特种专业技术用车0辆、离退休干部服务用车0辆、其他用车2辆，其他用车主要是：</w:t>
      </w:r>
      <w:r>
        <w:rPr>
          <w:rFonts w:hint="eastAsia" w:ascii="仿宋_GB2312" w:eastAsia="仿宋_GB2312"/>
          <w:sz w:val="32"/>
          <w:szCs w:val="32"/>
        </w:rPr>
        <w:t>日常办公用车及</w:t>
      </w:r>
      <w:r>
        <w:rPr>
          <w:rFonts w:hint="eastAsia" w:eastAsia="仿宋_GB2312"/>
          <w:sz w:val="32"/>
          <w:szCs w:val="32"/>
          <w:lang w:val="zh-CN"/>
        </w:rPr>
        <w:t>应报废尚未办理报废手续的车辆</w:t>
      </w:r>
      <w:r>
        <w:rPr>
          <w:rFonts w:ascii="仿宋_GB2312" w:eastAsia="仿宋_GB2312"/>
          <w:sz w:val="32"/>
          <w:szCs w:val="32"/>
        </w:rPr>
        <w:t>;单价100万元（含）以上设备（不含车辆）0台（套）。</w:t>
      </w:r>
    </w:p>
    <w:p>
      <w:pPr>
        <w:widowControl/>
        <w:ind w:firstLine="640" w:firstLineChars="200"/>
        <w:jc w:val="left"/>
        <w:outlineLvl w:val="1"/>
        <w:rPr>
          <w:rFonts w:ascii="黑体" w:eastAsia="黑体"/>
          <w:sz w:val="32"/>
          <w:szCs w:val="32"/>
        </w:rPr>
      </w:pPr>
      <w:r>
        <w:rPr>
          <w:rFonts w:ascii="黑体" w:eastAsia="黑体"/>
          <w:sz w:val="32"/>
          <w:szCs w:val="32"/>
        </w:rPr>
        <w:t>十一、预算绩效的情况说明</w:t>
      </w:r>
    </w:p>
    <w:p>
      <w:pPr>
        <w:widowControl/>
        <w:ind w:firstLine="640" w:firstLineChars="200"/>
        <w:rPr>
          <w:rFonts w:ascii="仿宋_GB2312" w:eastAsia="仿宋_GB2312" w:hAnsiTheme="minorHAnsi" w:cstheme="minorBidi"/>
          <w:sz w:val="32"/>
          <w:szCs w:val="32"/>
        </w:rPr>
      </w:pPr>
      <w:r>
        <w:rPr>
          <w:rFonts w:hint="eastAsia" w:ascii="仿宋_GB2312" w:eastAsia="仿宋_GB2312" w:hAnsiTheme="minorHAnsi" w:cstheme="minorBidi"/>
          <w:sz w:val="32"/>
          <w:szCs w:val="32"/>
        </w:rPr>
        <w:t>根据预算绩效管理要求，本单位2024年度预算绩效管理形成整体支出绩效自评表1个，全年预算总额655.15万元，实际执行总额655.15万元；预算绩效评价项目1个，全年预算数10万元，全年执行数3.59万元。预算绩效管理取得的成效：根据项目评估内容，坚持按评估指标进行，以确保项目顺利进行，在做好项目规划的前提下，加强各项绩效指标管理与监控，做好预算绩效管理，全面加强对预算编制与执行的监督管理力度，从而保证提高预算资金使用效率的目的，并在实际工作开展中根据单位实际情况进一步优化预算指标和绩效目标。在绩效目标设立上，要保证科学性、合理性，可衡量性，完整性和真实性，而且在设立指标时，充考虑到指标设定的可实施性，可考核性，要尽可能的量化、细化，无法量化的指标尽量做到可定性化，在项目实际开展中，还需根据项目操作性情况，实行监督管理，做到事前、事中、事后全程监管，确保绩效目标的全面完成，并对在实际开展中发现的问题，及时予以纠正完善，并不断完善绩效指标，使项目评估更加合理化、有效化和可操作化。发现的问题及原因：（1）单位缺乏相关绩效管理方面的人才，虽然近年来绩效评价主体工作过程中绩效管理人员的绩效水平有所提高，但整体水平仍有待提高、专业知识的系统性学习有待加强。（2）因轮岗、调动等因素使我单位绩效工作人员流动频繁，造成工作衔接不到位的情况。下一步改进措施：(1)多进行有关绩效管理工作方面的培训。积极组织第三方开展绩效管理工作培训，进一步夯实业务基础，提高我单位绩效人员水平。(2)专门设定对绩效工作人员定职、定岗、定责等相关制度措施，进一步提升我单位绩效管理工作业务水平，扎实做好绩效管理工作。具体附部门整体支出绩效自评表，项目支出绩效自评表和部门评价报告。</w:t>
      </w:r>
    </w:p>
    <w:p>
      <w:pPr>
        <w:widowControl/>
        <w:ind w:firstLine="640" w:firstLineChars="200"/>
        <w:jc w:val="left"/>
        <w:outlineLvl w:val="1"/>
        <w:rPr>
          <w:rFonts w:ascii="黑体" w:eastAsia="黑体"/>
          <w:sz w:val="32"/>
          <w:szCs w:val="32"/>
        </w:rPr>
      </w:pPr>
      <w:r>
        <w:rPr>
          <w:rFonts w:ascii="黑体" w:eastAsia="黑体"/>
          <w:sz w:val="32"/>
          <w:szCs w:val="32"/>
        </w:rPr>
        <w:t>十二、其他需说明的事项</w:t>
      </w:r>
    </w:p>
    <w:p>
      <w:pPr>
        <w:widowControl/>
        <w:ind w:firstLine="640" w:firstLineChars="200"/>
        <w:rPr>
          <w:rFonts w:ascii="仿宋_GB2312" w:eastAsia="仿宋_GB2312"/>
          <w:sz w:val="32"/>
          <w:szCs w:val="32"/>
        </w:rPr>
      </w:pPr>
      <w:r>
        <w:rPr>
          <w:rFonts w:ascii="仿宋_GB2312" w:eastAsia="仿宋_GB2312"/>
          <w:sz w:val="32"/>
          <w:szCs w:val="32"/>
        </w:rPr>
        <w:t>本单位无其他需说明事项。</w:t>
      </w:r>
    </w:p>
    <w:p>
      <w:pPr>
        <w:widowControl/>
      </w:pPr>
      <w:r>
        <w:rPr>
          <w:sz w:val="0"/>
          <w:szCs w:val="0"/>
        </w:rPr>
        <w:br w:type="page"/>
      </w:r>
    </w:p>
    <w:p>
      <w:pPr>
        <w:widowControl/>
        <w:jc w:val="center"/>
        <w:outlineLvl w:val="0"/>
        <w:rPr>
          <w:rFonts w:ascii="黑体" w:eastAsia="黑体"/>
          <w:sz w:val="32"/>
          <w:szCs w:val="32"/>
        </w:rPr>
      </w:pPr>
      <w:r>
        <w:rPr>
          <w:rFonts w:ascii="黑体" w:eastAsia="黑体"/>
          <w:sz w:val="32"/>
          <w:szCs w:val="32"/>
        </w:rPr>
        <w:t>第三部分专业名词解释</w:t>
      </w:r>
    </w:p>
    <w:p>
      <w:pPr>
        <w:widowControl/>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pPr>
        <w:widowControl/>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pPr>
        <w:widowControl/>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pPr>
        <w:widowControl/>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pPr>
        <w:widowControl/>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pPr>
        <w:widowControl/>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指除上述“财政拨款收入”、“事业收入”、“经营收入”、“附属单位上缴收入”等之外取得的收入。</w:t>
      </w:r>
    </w:p>
    <w:p>
      <w:pPr>
        <w:widowControl/>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pPr>
        <w:widowControl/>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sz w:val="32"/>
          <w:szCs w:val="32"/>
        </w:rPr>
        <w:t>指在基本支出之外为完成特定行政任务和事业发展目标所发生的支出。</w:t>
      </w:r>
    </w:p>
    <w:p>
      <w:pPr>
        <w:widowControl/>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pPr>
        <w:widowControl/>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pPr>
        <w:widowControl/>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pPr>
        <w:widowControl/>
      </w:pPr>
      <w:r>
        <w:rPr>
          <w:sz w:val="0"/>
          <w:szCs w:val="0"/>
        </w:rPr>
        <w:br w:type="page"/>
      </w:r>
    </w:p>
    <w:p>
      <w:pPr>
        <w:widowControl/>
        <w:jc w:val="center"/>
        <w:outlineLvl w:val="0"/>
        <w:rPr>
          <w:rFonts w:ascii="黑体" w:eastAsia="黑体"/>
          <w:sz w:val="32"/>
          <w:szCs w:val="32"/>
        </w:rPr>
      </w:pPr>
      <w:r>
        <w:rPr>
          <w:rFonts w:ascii="黑体" w:eastAsia="黑体"/>
          <w:sz w:val="32"/>
          <w:szCs w:val="32"/>
        </w:rPr>
        <w:t>第四部分部门决算报表（见附表）</w:t>
      </w:r>
    </w:p>
    <w:p>
      <w:pPr>
        <w:widowControl/>
        <w:ind w:firstLine="640" w:firstLineChars="200"/>
        <w:jc w:val="left"/>
        <w:outlineLvl w:val="1"/>
        <w:rPr>
          <w:rFonts w:ascii="仿宋_GB2312" w:eastAsia="仿宋_GB2312"/>
          <w:sz w:val="32"/>
          <w:szCs w:val="32"/>
        </w:rPr>
      </w:pPr>
      <w:r>
        <w:rPr>
          <w:rFonts w:ascii="仿宋_GB2312" w:eastAsia="仿宋_GB2312"/>
          <w:sz w:val="32"/>
          <w:szCs w:val="32"/>
        </w:rPr>
        <w:t>一、《收入支出决算总表》</w:t>
      </w:r>
    </w:p>
    <w:p>
      <w:pPr>
        <w:widowControl/>
        <w:ind w:firstLine="640" w:firstLineChars="200"/>
        <w:jc w:val="left"/>
        <w:outlineLvl w:val="1"/>
        <w:rPr>
          <w:rFonts w:ascii="仿宋_GB2312" w:eastAsia="仿宋_GB2312"/>
          <w:sz w:val="32"/>
          <w:szCs w:val="32"/>
        </w:rPr>
      </w:pPr>
      <w:r>
        <w:rPr>
          <w:rFonts w:ascii="仿宋_GB2312" w:eastAsia="仿宋_GB2312"/>
          <w:sz w:val="32"/>
          <w:szCs w:val="32"/>
        </w:rPr>
        <w:t>二、《收入决算表》</w:t>
      </w:r>
    </w:p>
    <w:p>
      <w:pPr>
        <w:widowControl/>
        <w:ind w:firstLine="640" w:firstLineChars="200"/>
        <w:jc w:val="left"/>
        <w:outlineLvl w:val="1"/>
        <w:rPr>
          <w:rFonts w:ascii="仿宋_GB2312" w:eastAsia="仿宋_GB2312"/>
          <w:sz w:val="32"/>
          <w:szCs w:val="32"/>
        </w:rPr>
      </w:pPr>
      <w:r>
        <w:rPr>
          <w:rFonts w:ascii="仿宋_GB2312" w:eastAsia="仿宋_GB2312"/>
          <w:sz w:val="32"/>
          <w:szCs w:val="32"/>
        </w:rPr>
        <w:t>三、《支出决算表》</w:t>
      </w:r>
    </w:p>
    <w:p>
      <w:pPr>
        <w:widowControl/>
        <w:ind w:firstLine="640" w:firstLineChars="200"/>
        <w:jc w:val="left"/>
        <w:outlineLvl w:val="1"/>
        <w:rPr>
          <w:rFonts w:ascii="仿宋_GB2312" w:eastAsia="仿宋_GB2312"/>
          <w:sz w:val="32"/>
          <w:szCs w:val="32"/>
        </w:rPr>
      </w:pPr>
      <w:r>
        <w:rPr>
          <w:rFonts w:ascii="仿宋_GB2312" w:eastAsia="仿宋_GB2312"/>
          <w:sz w:val="32"/>
          <w:szCs w:val="32"/>
        </w:rPr>
        <w:t>四、《财政拨款收入支出决算总表》</w:t>
      </w:r>
    </w:p>
    <w:p>
      <w:pPr>
        <w:widowControl/>
        <w:ind w:firstLine="640" w:firstLineChars="200"/>
        <w:jc w:val="left"/>
        <w:outlineLvl w:val="1"/>
        <w:rPr>
          <w:rFonts w:ascii="仿宋_GB2312" w:eastAsia="仿宋_GB2312"/>
          <w:sz w:val="32"/>
          <w:szCs w:val="32"/>
        </w:rPr>
      </w:pPr>
      <w:r>
        <w:rPr>
          <w:rFonts w:ascii="仿宋_GB2312" w:eastAsia="仿宋_GB2312"/>
          <w:sz w:val="32"/>
          <w:szCs w:val="32"/>
        </w:rPr>
        <w:t>五、《一般公共预算财政拨款支出决算表》</w:t>
      </w:r>
    </w:p>
    <w:p>
      <w:pPr>
        <w:widowControl/>
        <w:ind w:firstLine="640" w:firstLineChars="200"/>
        <w:jc w:val="left"/>
        <w:outlineLvl w:val="1"/>
        <w:rPr>
          <w:rFonts w:ascii="仿宋_GB2312" w:eastAsia="仿宋_GB2312"/>
          <w:sz w:val="32"/>
          <w:szCs w:val="32"/>
        </w:rPr>
      </w:pPr>
      <w:r>
        <w:rPr>
          <w:rFonts w:ascii="仿宋_GB2312" w:eastAsia="仿宋_GB2312"/>
          <w:sz w:val="32"/>
          <w:szCs w:val="32"/>
        </w:rPr>
        <w:t>六、《一般公共预算财政拨款基本支出决算表》</w:t>
      </w:r>
    </w:p>
    <w:p>
      <w:pPr>
        <w:widowControl/>
        <w:ind w:firstLine="640" w:firstLineChars="20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pPr>
        <w:widowControl/>
        <w:ind w:left="1598" w:leftChars="304" w:hanging="960" w:hangingChars="30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pPr>
        <w:widowControl/>
        <w:ind w:firstLine="1280" w:firstLineChars="400"/>
        <w:jc w:val="left"/>
        <w:outlineLvl w:val="1"/>
        <w:rPr>
          <w:rFonts w:ascii="仿宋_GB2312" w:eastAsia="仿宋_GB2312"/>
          <w:sz w:val="32"/>
          <w:szCs w:val="32"/>
        </w:rPr>
      </w:pPr>
      <w:r>
        <w:rPr>
          <w:rFonts w:hint="eastAsia" w:ascii="仿宋_GB2312" w:eastAsia="仿宋_GB2312"/>
          <w:sz w:val="32"/>
          <w:szCs w:val="32"/>
        </w:rPr>
        <w:t>（空表）</w:t>
      </w:r>
    </w:p>
    <w:p>
      <w:pPr>
        <w:widowControl/>
        <w:ind w:firstLine="640" w:firstLineChars="200"/>
        <w:jc w:val="left"/>
        <w:outlineLvl w:val="1"/>
      </w:pPr>
      <w:r>
        <w:rPr>
          <w:rFonts w:ascii="仿宋_GB2312" w:eastAsia="仿宋_GB2312"/>
          <w:sz w:val="32"/>
          <w:szCs w:val="32"/>
        </w:rPr>
        <w:t>九、《财政拨款“三公”经费支出决算表》</w:t>
      </w:r>
    </w:p>
    <w:p/>
    <w:p>
      <w:r>
        <w:drawing>
          <wp:inline distT="0" distB="0" distL="114300" distR="114300">
            <wp:extent cx="5403215" cy="8752840"/>
            <wp:effectExtent l="0" t="0" r="698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4"/>
                    <a:stretch>
                      <a:fillRect/>
                    </a:stretch>
                  </pic:blipFill>
                  <pic:spPr>
                    <a:xfrm>
                      <a:off x="0" y="0"/>
                      <a:ext cx="5403215" cy="8752840"/>
                    </a:xfrm>
                    <a:prstGeom prst="rect">
                      <a:avLst/>
                    </a:prstGeom>
                    <a:noFill/>
                    <a:ln>
                      <a:noFill/>
                    </a:ln>
                  </pic:spPr>
                </pic:pic>
              </a:graphicData>
            </a:graphic>
          </wp:inline>
        </w:drawing>
      </w:r>
    </w:p>
    <w:p>
      <w:pPr>
        <w:pStyle w:val="2"/>
        <w:numPr>
          <w:ilvl w:val="0"/>
          <w:numId w:val="0"/>
        </w:numPr>
      </w:pPr>
      <w:r>
        <w:drawing>
          <wp:inline distT="0" distB="0" distL="0" distR="0">
            <wp:extent cx="5342890" cy="82296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a:grayscl/>
                      <a:extLst>
                        <a:ext uri="{28A0092B-C50C-407E-A947-70E740481C1C}">
                          <a14:useLocalDpi xmlns:a14="http://schemas.microsoft.com/office/drawing/2010/main" val="0"/>
                        </a:ext>
                      </a:extLst>
                    </a:blip>
                    <a:srcRect/>
                    <a:stretch>
                      <a:fillRect/>
                    </a:stretch>
                  </pic:blipFill>
                  <pic:spPr>
                    <a:xfrm>
                      <a:off x="0" y="0"/>
                      <a:ext cx="5342890" cy="8229600"/>
                    </a:xfrm>
                    <a:prstGeom prst="rect">
                      <a:avLst/>
                    </a:prstGeom>
                    <a:noFill/>
                    <a:ln>
                      <a:noFill/>
                    </a:ln>
                  </pic:spPr>
                </pic:pic>
              </a:graphicData>
            </a:graphic>
          </wp:inline>
        </w:drawing>
      </w:r>
    </w:p>
    <w:p>
      <w:r>
        <w:drawing>
          <wp:inline distT="0" distB="0" distL="114300" distR="114300">
            <wp:extent cx="5483225" cy="7913370"/>
            <wp:effectExtent l="0" t="0" r="317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6">
                      <a:grayscl/>
                    </a:blip>
                    <a:stretch>
                      <a:fillRect/>
                    </a:stretch>
                  </pic:blipFill>
                  <pic:spPr>
                    <a:xfrm>
                      <a:off x="0" y="0"/>
                      <a:ext cx="5483225" cy="7913370"/>
                    </a:xfrm>
                    <a:prstGeom prst="rect">
                      <a:avLst/>
                    </a:prstGeom>
                    <a:noFill/>
                    <a:ln>
                      <a:noFill/>
                    </a:ln>
                  </pic:spPr>
                </pic:pic>
              </a:graphicData>
            </a:graphic>
          </wp:inline>
        </w:drawing>
      </w:r>
    </w:p>
    <w:p>
      <w:pPr>
        <w:pStyle w:val="2"/>
        <w:numPr>
          <w:ilvl w:val="0"/>
          <w:numId w:val="0"/>
        </w:numPr>
      </w:pPr>
      <w:r>
        <w:drawing>
          <wp:inline distT="0" distB="0" distL="114300" distR="114300">
            <wp:extent cx="5826760" cy="7327900"/>
            <wp:effectExtent l="0" t="0" r="254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7"/>
                    <a:stretch>
                      <a:fillRect/>
                    </a:stretch>
                  </pic:blipFill>
                  <pic:spPr>
                    <a:xfrm>
                      <a:off x="0" y="0"/>
                      <a:ext cx="5826760" cy="7327900"/>
                    </a:xfrm>
                    <a:prstGeom prst="rect">
                      <a:avLst/>
                    </a:prstGeom>
                    <a:noFill/>
                    <a:ln>
                      <a:noFill/>
                    </a:ln>
                  </pic:spPr>
                </pic:pic>
              </a:graphicData>
            </a:graphic>
          </wp:inline>
        </w:drawing>
      </w:r>
    </w:p>
    <w:p/>
    <w:p>
      <w:pPr>
        <w:pStyle w:val="2"/>
        <w:numPr>
          <w:ilvl w:val="0"/>
          <w:numId w:val="0"/>
        </w:numPr>
        <w:jc w:val="center"/>
      </w:pPr>
      <w:r>
        <w:drawing>
          <wp:inline distT="0" distB="0" distL="114300" distR="114300">
            <wp:extent cx="5551805" cy="7011035"/>
            <wp:effectExtent l="0" t="0" r="1079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8">
                      <a:grayscl/>
                    </a:blip>
                    <a:stretch>
                      <a:fillRect/>
                    </a:stretch>
                  </pic:blipFill>
                  <pic:spPr>
                    <a:xfrm>
                      <a:off x="0" y="0"/>
                      <a:ext cx="5551805" cy="7011035"/>
                    </a:xfrm>
                    <a:prstGeom prst="rect">
                      <a:avLst/>
                    </a:prstGeom>
                    <a:noFill/>
                    <a:ln>
                      <a:noFill/>
                    </a:ln>
                  </pic:spPr>
                </pic:pic>
              </a:graphicData>
            </a:graphic>
          </wp:inline>
        </w:drawing>
      </w:r>
    </w:p>
    <w:p/>
    <w:p/>
    <w:p>
      <w:r>
        <w:drawing>
          <wp:inline distT="0" distB="0" distL="114300" distR="114300">
            <wp:extent cx="5739130" cy="5881370"/>
            <wp:effectExtent l="0" t="0" r="1397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9"/>
                    <a:stretch>
                      <a:fillRect/>
                    </a:stretch>
                  </pic:blipFill>
                  <pic:spPr>
                    <a:xfrm>
                      <a:off x="0" y="0"/>
                      <a:ext cx="5739130" cy="5881370"/>
                    </a:xfrm>
                    <a:prstGeom prst="rect">
                      <a:avLst/>
                    </a:prstGeom>
                    <a:noFill/>
                    <a:ln>
                      <a:noFill/>
                    </a:ln>
                  </pic:spPr>
                </pic:pic>
              </a:graphicData>
            </a:graphic>
          </wp:inline>
        </w:drawing>
      </w:r>
      <w:r>
        <w:drawing>
          <wp:inline distT="0" distB="0" distL="114300" distR="114300">
            <wp:extent cx="5478780" cy="3696970"/>
            <wp:effectExtent l="0" t="0" r="762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0">
                      <a:grayscl/>
                    </a:blip>
                    <a:stretch>
                      <a:fillRect/>
                    </a:stretch>
                  </pic:blipFill>
                  <pic:spPr>
                    <a:xfrm>
                      <a:off x="0" y="0"/>
                      <a:ext cx="5478780" cy="3696970"/>
                    </a:xfrm>
                    <a:prstGeom prst="rect">
                      <a:avLst/>
                    </a:prstGeom>
                    <a:noFill/>
                    <a:ln>
                      <a:noFill/>
                    </a:ln>
                  </pic:spPr>
                </pic:pic>
              </a:graphicData>
            </a:graphic>
          </wp:inline>
        </w:drawing>
      </w:r>
    </w:p>
    <w:p/>
    <w:p/>
    <w:p/>
    <w:p/>
    <w:p/>
    <w:p/>
    <w:p/>
    <w:p/>
    <w:p>
      <w:bookmarkStart w:id="0" w:name="_GoBack"/>
      <w:r>
        <w:drawing>
          <wp:inline distT="0" distB="0" distL="114300" distR="114300">
            <wp:extent cx="5483225" cy="3640455"/>
            <wp:effectExtent l="0" t="0" r="317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1"/>
                    <a:stretch>
                      <a:fillRect/>
                    </a:stretch>
                  </pic:blipFill>
                  <pic:spPr>
                    <a:xfrm>
                      <a:off x="0" y="0"/>
                      <a:ext cx="5483225" cy="3640455"/>
                    </a:xfrm>
                    <a:prstGeom prst="rect">
                      <a:avLst/>
                    </a:prstGeom>
                    <a:noFill/>
                    <a:ln>
                      <a:noFill/>
                    </a:ln>
                  </pic:spPr>
                </pic:pic>
              </a:graphicData>
            </a:graphic>
          </wp:inline>
        </w:drawing>
      </w:r>
      <w:bookmarkEnd w:id="0"/>
    </w:p>
    <w:p/>
    <w:p/>
    <w:p/>
    <w:p/>
    <w:p/>
    <w:p/>
    <w:p/>
    <w:p/>
    <w:p/>
    <w:p/>
    <w:p/>
    <w:p/>
    <w:p/>
    <w:p/>
    <w:p/>
    <w:p/>
    <w:p>
      <w:r>
        <w:drawing>
          <wp:inline distT="0" distB="0" distL="114935" distR="114935">
            <wp:extent cx="5809615" cy="2905760"/>
            <wp:effectExtent l="0" t="0" r="63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2"/>
                    <a:stretch>
                      <a:fillRect/>
                    </a:stretch>
                  </pic:blipFill>
                  <pic:spPr>
                    <a:xfrm>
                      <a:off x="0" y="0"/>
                      <a:ext cx="5809615" cy="2905760"/>
                    </a:xfrm>
                    <a:prstGeom prst="rect">
                      <a:avLst/>
                    </a:prstGeom>
                    <a:noFill/>
                    <a:ln>
                      <a:noFill/>
                    </a:ln>
                  </pic:spPr>
                </pic:pic>
              </a:graphicData>
            </a:graphic>
          </wp:inline>
        </w:drawing>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E77EF5"/>
    <w:multiLevelType w:val="multilevel"/>
    <w:tmpl w:val="69E77EF5"/>
    <w:lvl w:ilvl="0" w:tentative="0">
      <w:start w:val="1"/>
      <w:numFmt w:val="chineseCounting"/>
      <w:pStyle w:val="2"/>
      <w:suff w:val="nothing"/>
      <w:lvlText w:val="%1、"/>
      <w:lvlJc w:val="left"/>
      <w:pPr>
        <w:tabs>
          <w:tab w:val="left" w:pos="0"/>
        </w:tabs>
        <w:ind w:left="210"/>
      </w:pPr>
      <w:rPr>
        <w:rFonts w:hint="eastAsia" w:eastAsia="黑体" w:cs="Times New Roman"/>
        <w:sz w:val="32"/>
      </w:rPr>
    </w:lvl>
    <w:lvl w:ilvl="1" w:tentative="0">
      <w:start w:val="1"/>
      <w:numFmt w:val="chineseCounting"/>
      <w:suff w:val="nothing"/>
      <w:lvlText w:val="（%2）"/>
      <w:lvlJc w:val="left"/>
      <w:pPr>
        <w:ind w:left="210"/>
      </w:pPr>
      <w:rPr>
        <w:rFonts w:hint="eastAsia" w:cs="Times New Roman"/>
      </w:rPr>
    </w:lvl>
    <w:lvl w:ilvl="2" w:tentative="0">
      <w:start w:val="1"/>
      <w:numFmt w:val="decimal"/>
      <w:suff w:val="nothing"/>
      <w:lvlText w:val="%3．"/>
      <w:lvlJc w:val="left"/>
      <w:pPr>
        <w:ind w:left="210" w:firstLine="400"/>
      </w:pPr>
      <w:rPr>
        <w:rFonts w:hint="eastAsia" w:cs="Times New Roman"/>
      </w:rPr>
    </w:lvl>
    <w:lvl w:ilvl="3" w:tentative="0">
      <w:start w:val="1"/>
      <w:numFmt w:val="decimal"/>
      <w:suff w:val="nothing"/>
      <w:lvlText w:val="（%4）"/>
      <w:lvlJc w:val="left"/>
      <w:pPr>
        <w:ind w:left="210" w:firstLine="402"/>
      </w:pPr>
      <w:rPr>
        <w:rFonts w:hint="eastAsia" w:cs="Times New Roman"/>
      </w:rPr>
    </w:lvl>
    <w:lvl w:ilvl="4" w:tentative="0">
      <w:start w:val="1"/>
      <w:numFmt w:val="decimalEnclosedCircleChinese"/>
      <w:suff w:val="nothing"/>
      <w:lvlText w:val="%5"/>
      <w:lvlJc w:val="left"/>
      <w:pPr>
        <w:ind w:left="210" w:firstLine="402"/>
      </w:pPr>
      <w:rPr>
        <w:rFonts w:hint="eastAsia" w:cs="Times New Roman"/>
      </w:rPr>
    </w:lvl>
    <w:lvl w:ilvl="5" w:tentative="0">
      <w:start w:val="1"/>
      <w:numFmt w:val="decimal"/>
      <w:suff w:val="nothing"/>
      <w:lvlText w:val="%6）"/>
      <w:lvlJc w:val="left"/>
      <w:pPr>
        <w:ind w:left="210" w:firstLine="402"/>
      </w:pPr>
      <w:rPr>
        <w:rFonts w:hint="eastAsia" w:cs="Times New Roman"/>
      </w:rPr>
    </w:lvl>
    <w:lvl w:ilvl="6" w:tentative="0">
      <w:start w:val="1"/>
      <w:numFmt w:val="lowerLetter"/>
      <w:suff w:val="nothing"/>
      <w:lvlText w:val="%7．"/>
      <w:lvlJc w:val="left"/>
      <w:pPr>
        <w:ind w:left="210" w:firstLine="402"/>
      </w:pPr>
      <w:rPr>
        <w:rFonts w:hint="eastAsia" w:cs="Times New Roman"/>
      </w:rPr>
    </w:lvl>
    <w:lvl w:ilvl="7" w:tentative="0">
      <w:start w:val="1"/>
      <w:numFmt w:val="lowerLetter"/>
      <w:suff w:val="nothing"/>
      <w:lvlText w:val="%8）"/>
      <w:lvlJc w:val="left"/>
      <w:pPr>
        <w:ind w:left="210" w:firstLine="402"/>
      </w:pPr>
      <w:rPr>
        <w:rFonts w:hint="eastAsia" w:cs="Times New Roman"/>
      </w:rPr>
    </w:lvl>
    <w:lvl w:ilvl="8" w:tentative="0">
      <w:start w:val="1"/>
      <w:numFmt w:val="lowerRoman"/>
      <w:suff w:val="nothing"/>
      <w:lvlText w:val="%9 "/>
      <w:lvlJc w:val="left"/>
      <w:pPr>
        <w:ind w:left="210" w:firstLine="402"/>
      </w:pPr>
      <w:rPr>
        <w:rFonts w:hint="eastAsia" w:cs="Times New Roman"/>
      </w:rPr>
    </w:lvl>
  </w:abstractNum>
  <w:abstractNum w:abstractNumId="1">
    <w:nsid w:val="7479FD23"/>
    <w:multiLevelType w:val="singleLevel"/>
    <w:tmpl w:val="7479FD23"/>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BBD"/>
    <w:rsid w:val="000430D9"/>
    <w:rsid w:val="003654AF"/>
    <w:rsid w:val="00AD0BBD"/>
    <w:rsid w:val="05140015"/>
    <w:rsid w:val="1FE725DB"/>
    <w:rsid w:val="363333FA"/>
    <w:rsid w:val="591550CF"/>
    <w:rsid w:val="5C683401"/>
    <w:rsid w:val="64391461"/>
    <w:rsid w:val="69440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sz w:val="21"/>
      <w:szCs w:val="22"/>
      <w:lang w:val="en-US" w:eastAsia="zh-CN" w:bidi="ar-SA"/>
    </w:rPr>
  </w:style>
  <w:style w:type="paragraph" w:styleId="2">
    <w:name w:val="heading 1"/>
    <w:basedOn w:val="1"/>
    <w:next w:val="1"/>
    <w:qFormat/>
    <w:uiPriority w:val="99"/>
    <w:pPr>
      <w:keepNext/>
      <w:keepLines/>
      <w:numPr>
        <w:ilvl w:val="0"/>
        <w:numId w:val="1"/>
      </w:numPr>
      <w:spacing w:line="576" w:lineRule="auto"/>
      <w:outlineLvl w:val="0"/>
    </w:pPr>
    <w:rPr>
      <w:b/>
      <w:kern w:val="44"/>
      <w:sz w:val="44"/>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customStyle="1" w:styleId="5">
    <w:name w:val="正文-公1"/>
    <w:basedOn w:val="6"/>
    <w:next w:val="1"/>
    <w:qFormat/>
    <w:uiPriority w:val="0"/>
    <w:pPr>
      <w:ind w:firstLine="200" w:firstLineChars="200"/>
    </w:pPr>
  </w:style>
  <w:style w:type="paragraph" w:customStyle="1" w:styleId="6">
    <w:name w:val="正文 New New New New New New New New New New New New New New New New New New New New New New New New New New New New New New New New New New New New New New New New New New New New New New New New New New New New New New New New New New New New New New Ne"/>
    <w:next w:val="5"/>
    <w:qFormat/>
    <w:uiPriority w:val="0"/>
    <w:pPr>
      <w:widowControl w:val="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emf"/><Relationship Id="rId8" Type="http://schemas.openxmlformats.org/officeDocument/2006/relationships/image" Target="media/image5.emf"/><Relationship Id="rId7" Type="http://schemas.openxmlformats.org/officeDocument/2006/relationships/image" Target="media/image4.emf"/><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9.emf"/><Relationship Id="rId11" Type="http://schemas.openxmlformats.org/officeDocument/2006/relationships/image" Target="media/image8.emf"/><Relationship Id="rId10" Type="http://schemas.openxmlformats.org/officeDocument/2006/relationships/image" Target="media/image7.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1027</Words>
  <Characters>5858</Characters>
  <Lines>48</Lines>
  <Paragraphs>13</Paragraphs>
  <TotalTime>1</TotalTime>
  <ScaleCrop>false</ScaleCrop>
  <LinksUpToDate>false</LinksUpToDate>
  <CharactersWithSpaces>6872</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2025-08-13T01:58:00Z</dcterms:created>
  <dc:creator>Administrator</dc:creator>
  <cp:lastModifiedBy>lenovo</cp:lastModifiedBy>
  <dcterms:modified xsi:type="dcterms:W3CDTF">2025-08-19T09:42:20Z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CCB2CBA1D4444FEF8E715478DE2EAEF8</vt:lpwstr>
  </property>
</Properties>
</file>