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rPr>
      </w:pPr>
    </w:p>
    <w:p>
      <w:pPr>
        <w:spacing w:line="540" w:lineRule="exact"/>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库尔勒市行政服务中心“12345”</w:t>
      </w:r>
    </w:p>
    <w:p>
      <w:pPr>
        <w:spacing w:line="540" w:lineRule="exact"/>
        <w:jc w:val="center"/>
        <w:rPr>
          <w:rFonts w:eastAsia="方正小标宋_GBK"/>
          <w:kern w:val="0"/>
          <w:sz w:val="48"/>
          <w:szCs w:val="48"/>
        </w:rPr>
      </w:pPr>
      <w:r>
        <w:rPr>
          <w:rFonts w:hint="eastAsia" w:eastAsia="方正小标宋_GBK"/>
          <w:kern w:val="0"/>
          <w:sz w:val="48"/>
          <w:szCs w:val="48"/>
        </w:rPr>
        <w:t>政务服务热线</w:t>
      </w:r>
      <w:r>
        <w:rPr>
          <w:rFonts w:eastAsia="方正小标宋_GBK"/>
          <w:kern w:val="0"/>
          <w:sz w:val="48"/>
          <w:szCs w:val="48"/>
        </w:rPr>
        <w:t>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（2024年度）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pStyle w:val="13"/>
        <w:rPr>
          <w:rFonts w:ascii="Times New Roman" w:hAnsi="Times New Roman"/>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库尔勒市行政服务中心“12345”政务服务热线</w:t>
      </w:r>
    </w:p>
    <w:p>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库尔勒市行政服务中心</w:t>
      </w:r>
    </w:p>
    <w:p>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库尔勒市行政服务中心</w:t>
      </w:r>
    </w:p>
    <w:p>
      <w:pPr>
        <w:spacing w:line="70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管金晶</w:t>
      </w:r>
    </w:p>
    <w:p>
      <w:pPr>
        <w:spacing w:line="700" w:lineRule="exact"/>
        <w:ind w:firstLine="1440" w:firstLineChars="400"/>
        <w:jc w:val="left"/>
        <w:rPr>
          <w:rFonts w:eastAsia="仿宋_GB2312"/>
          <w:kern w:val="0"/>
          <w:sz w:val="30"/>
          <w:szCs w:val="30"/>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pPr>
        <w:spacing w:line="540" w:lineRule="exact"/>
        <w:rPr>
          <w:rStyle w:val="18"/>
          <w:rFonts w:eastAsia="黑体"/>
          <w:b w:val="0"/>
          <w:spacing w:val="-4"/>
          <w:sz w:val="32"/>
          <w:szCs w:val="32"/>
        </w:rPr>
      </w:pPr>
    </w:p>
    <w:p>
      <w:pPr>
        <w:spacing w:line="540" w:lineRule="exact"/>
        <w:ind w:firstLine="640"/>
        <w:rPr>
          <w:rStyle w:val="18"/>
          <w:rFonts w:eastAsia="黑体"/>
          <w:b w:val="0"/>
          <w:spacing w:val="-4"/>
          <w:sz w:val="32"/>
          <w:szCs w:val="32"/>
        </w:rPr>
      </w:pPr>
    </w:p>
    <w:p>
      <w:pPr>
        <w:spacing w:line="540" w:lineRule="exact"/>
        <w:rPr>
          <w:rStyle w:val="18"/>
          <w:rFonts w:eastAsia="黑体"/>
          <w:b w:val="0"/>
          <w:spacing w:val="-4"/>
          <w:sz w:val="32"/>
          <w:szCs w:val="32"/>
        </w:rPr>
      </w:pPr>
    </w:p>
    <w:p>
      <w:pPr>
        <w:spacing w:line="56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3" w:firstLineChars="200"/>
        <w:rPr>
          <w:rFonts w:eastAsia="楷体_GB2312"/>
          <w:b/>
          <w:bCs/>
          <w:sz w:val="32"/>
          <w:szCs w:val="32"/>
        </w:rPr>
      </w:pPr>
      <w:r>
        <w:rPr>
          <w:rFonts w:eastAsia="楷体_GB2312"/>
          <w:b/>
          <w:bCs/>
          <w:sz w:val="32"/>
          <w:szCs w:val="32"/>
        </w:rPr>
        <w:t>（一）项目概况</w:t>
      </w:r>
    </w:p>
    <w:p>
      <w:pPr>
        <w:spacing w:line="560" w:lineRule="exact"/>
        <w:ind w:firstLine="643" w:firstLineChars="200"/>
        <w:rPr>
          <w:rFonts w:eastAsia="仿宋_GB2312"/>
          <w:sz w:val="32"/>
          <w:szCs w:val="32"/>
        </w:rPr>
      </w:pPr>
      <w:r>
        <w:rPr>
          <w:rFonts w:hint="eastAsia" w:eastAsia="仿宋_GB2312"/>
          <w:b/>
          <w:bCs/>
          <w:sz w:val="32"/>
          <w:szCs w:val="32"/>
        </w:rPr>
        <w:t>1、项目背景：</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按照自治区党委统一安排，结合12345热线工作实际，对涉及兵地通办、网信办、石榴云、新广行风热线标识的工单，设立专人专岗，进行及时处理。严格按照一般性困难诉求24小时内办结反馈，特殊紧急诉求6小时内办结反馈的要求限时办理。进一步明确话务、审核、质检、督办岗位职责，明确分工，责任到人。</w:t>
      </w:r>
    </w:p>
    <w:p>
      <w:pPr>
        <w:pStyle w:val="13"/>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项目主要内容：库尔勒市行政服务中心负责12345热线建设、管理及各类政务服务热线归并优化工作，建立热线工作统筹协调机制，强化热线平台与部门业务系统互联互通和信息共享，推动热线与各类线上线下政务服务平台、政府网站联动融合；协调各相关部门政务热线州域范围内统一受理、统一对外提供服务，实现热线服务“一个号码”、事项办理“一贯到底”。保证政务热线畅通，及时。搭建政府和群众及企业沟通的有效桥梁作用。保障保证“12345”政务热线24时小时服务在线，接通率9</w:t>
      </w:r>
      <w:r>
        <w:rPr>
          <w:rFonts w:hint="eastAsia" w:eastAsia="仿宋_GB2312"/>
          <w:color w:val="000000"/>
          <w:spacing w:val="17"/>
          <w:sz w:val="32"/>
          <w:szCs w:val="32"/>
          <w:lang w:val="en-US" w:eastAsia="zh-CN"/>
        </w:rPr>
        <w:t>7</w:t>
      </w:r>
      <w:r>
        <w:rPr>
          <w:rFonts w:hint="eastAsia" w:eastAsia="仿宋_GB2312"/>
          <w:color w:val="000000"/>
          <w:spacing w:val="17"/>
          <w:sz w:val="32"/>
          <w:szCs w:val="32"/>
        </w:rPr>
        <w:t>%，周接通量不少于1700通；及时转办，督办，催办，反馈各类非紧急类热线，高效、便捷的为企业和群众提供强有力的服务。</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项目实施情况：</w:t>
      </w:r>
      <w:r>
        <w:rPr>
          <w:rFonts w:hint="eastAsia" w:eastAsia="仿宋_GB2312"/>
          <w:color w:val="000000"/>
          <w:spacing w:val="17"/>
          <w:sz w:val="32"/>
          <w:szCs w:val="32"/>
        </w:rPr>
        <w:t>已完成提高接诉即办办理水平，达到24小时在线，周接通量2300通；热线接通率显著提升。强化热线数据运用，做好数据分析，健全联动机制，助业精准施政，切实提高群众和企业的满意度，形成智能客服，智能回访。</w:t>
      </w:r>
    </w:p>
    <w:p>
      <w:pPr>
        <w:spacing w:line="560" w:lineRule="exact"/>
        <w:ind w:firstLine="643" w:firstLineChars="200"/>
        <w:rPr>
          <w:rFonts w:eastAsia="仿宋_GB2312"/>
          <w:b/>
          <w:bCs/>
          <w:sz w:val="32"/>
          <w:szCs w:val="32"/>
        </w:rPr>
      </w:pPr>
      <w:r>
        <w:rPr>
          <w:rFonts w:eastAsia="仿宋_GB2312"/>
          <w:b/>
          <w:bCs/>
          <w:sz w:val="32"/>
          <w:szCs w:val="32"/>
        </w:rPr>
        <w:t>3.资金投入和使用情况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（1）资金投入情况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该项目年初预算数</w:t>
      </w:r>
      <w:r>
        <w:rPr>
          <w:rFonts w:hint="eastAsia" w:eastAsia="仿宋_GB2312"/>
          <w:color w:val="000000"/>
          <w:spacing w:val="17"/>
          <w:sz w:val="32"/>
          <w:szCs w:val="32"/>
        </w:rPr>
        <w:t>50</w:t>
      </w:r>
      <w:r>
        <w:rPr>
          <w:rFonts w:eastAsia="仿宋_GB2312"/>
          <w:color w:val="000000"/>
          <w:spacing w:val="17"/>
          <w:sz w:val="32"/>
          <w:szCs w:val="32"/>
        </w:rPr>
        <w:t>万元，全年预算数</w:t>
      </w:r>
      <w:r>
        <w:rPr>
          <w:rFonts w:hint="eastAsia" w:eastAsia="仿宋_GB2312"/>
          <w:color w:val="000000"/>
          <w:spacing w:val="17"/>
          <w:sz w:val="32"/>
          <w:szCs w:val="32"/>
        </w:rPr>
        <w:t>53.89</w:t>
      </w:r>
      <w:r>
        <w:rPr>
          <w:rFonts w:eastAsia="仿宋_GB2312"/>
          <w:color w:val="000000"/>
          <w:spacing w:val="17"/>
          <w:sz w:val="32"/>
          <w:szCs w:val="32"/>
        </w:rPr>
        <w:t>万元，该项目资金已全部落实到位，资金来源为</w:t>
      </w:r>
      <w:r>
        <w:rPr>
          <w:rFonts w:hint="eastAsia" w:eastAsia="仿宋_GB2312"/>
          <w:color w:val="000000"/>
          <w:spacing w:val="17"/>
          <w:sz w:val="32"/>
          <w:szCs w:val="32"/>
        </w:rPr>
        <w:t>财政拨款</w:t>
      </w:r>
      <w:r>
        <w:rPr>
          <w:rFonts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（2）资金使用情况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该项目年初预算数</w:t>
      </w:r>
      <w:r>
        <w:rPr>
          <w:rFonts w:hint="eastAsia" w:eastAsia="仿宋_GB2312"/>
          <w:color w:val="000000"/>
          <w:spacing w:val="17"/>
          <w:sz w:val="32"/>
          <w:szCs w:val="32"/>
        </w:rPr>
        <w:t>50</w:t>
      </w:r>
      <w:r>
        <w:rPr>
          <w:rFonts w:eastAsia="仿宋_GB2312"/>
          <w:color w:val="000000"/>
          <w:spacing w:val="17"/>
          <w:sz w:val="32"/>
          <w:szCs w:val="32"/>
        </w:rPr>
        <w:t>万元，全年预算数</w:t>
      </w:r>
      <w:r>
        <w:rPr>
          <w:rFonts w:hint="eastAsia" w:eastAsia="仿宋_GB2312"/>
          <w:color w:val="000000"/>
          <w:spacing w:val="17"/>
          <w:sz w:val="32"/>
          <w:szCs w:val="32"/>
        </w:rPr>
        <w:t>53.89</w:t>
      </w:r>
      <w:r>
        <w:rPr>
          <w:rFonts w:eastAsia="仿宋_GB2312"/>
          <w:color w:val="000000"/>
          <w:spacing w:val="17"/>
          <w:sz w:val="32"/>
          <w:szCs w:val="32"/>
        </w:rPr>
        <w:t>万元</w:t>
      </w:r>
      <w:r>
        <w:rPr>
          <w:rFonts w:hint="eastAsia" w:eastAsia="仿宋_GB2312"/>
          <w:color w:val="000000"/>
          <w:spacing w:val="17"/>
          <w:sz w:val="32"/>
          <w:szCs w:val="32"/>
        </w:rPr>
        <w:t>，全年执行数53.89万元，</w:t>
      </w:r>
      <w:r>
        <w:rPr>
          <w:rFonts w:eastAsia="仿宋_GB2312"/>
          <w:color w:val="000000"/>
          <w:spacing w:val="17"/>
          <w:sz w:val="32"/>
          <w:szCs w:val="32"/>
        </w:rPr>
        <w:t>预算执行率为</w:t>
      </w:r>
      <w:r>
        <w:rPr>
          <w:rFonts w:hint="eastAsia" w:eastAsia="仿宋_GB2312"/>
          <w:color w:val="000000"/>
          <w:spacing w:val="17"/>
          <w:sz w:val="32"/>
          <w:szCs w:val="32"/>
        </w:rPr>
        <w:t>100</w:t>
      </w:r>
      <w:r>
        <w:rPr>
          <w:rFonts w:eastAsia="仿宋_GB2312"/>
          <w:color w:val="000000"/>
          <w:spacing w:val="17"/>
          <w:sz w:val="32"/>
          <w:szCs w:val="32"/>
        </w:rPr>
        <w:t>%</w:t>
      </w:r>
      <w:r>
        <w:rPr>
          <w:rFonts w:hint="eastAsia" w:eastAsia="仿宋_GB2312"/>
          <w:color w:val="000000"/>
          <w:spacing w:val="17"/>
          <w:sz w:val="32"/>
          <w:szCs w:val="32"/>
        </w:rPr>
        <w:t>，</w:t>
      </w:r>
      <w:r>
        <w:rPr>
          <w:rFonts w:eastAsia="仿宋_GB2312"/>
          <w:color w:val="000000"/>
          <w:spacing w:val="17"/>
          <w:sz w:val="32"/>
          <w:szCs w:val="32"/>
        </w:rPr>
        <w:t>主要用于：</w:t>
      </w:r>
      <w:r>
        <w:rPr>
          <w:rFonts w:hint="eastAsia" w:eastAsia="仿宋_GB2312"/>
          <w:color w:val="000000"/>
          <w:spacing w:val="17"/>
          <w:sz w:val="32"/>
          <w:szCs w:val="32"/>
        </w:rPr>
        <w:t>“12345”政务热线服务年费53.89万元，按季度拨付到位。</w:t>
      </w:r>
    </w:p>
    <w:p>
      <w:pPr>
        <w:spacing w:line="600" w:lineRule="exact"/>
        <w:ind w:firstLine="643" w:firstLineChars="200"/>
        <w:outlineLvl w:val="0"/>
        <w:rPr>
          <w:rFonts w:eastAsia="楷体_GB2312"/>
          <w:b/>
          <w:bCs/>
          <w:sz w:val="32"/>
          <w:szCs w:val="32"/>
        </w:rPr>
      </w:pPr>
      <w:r>
        <w:rPr>
          <w:rFonts w:eastAsia="楷体_GB2312"/>
          <w:b/>
          <w:bCs/>
          <w:sz w:val="32"/>
          <w:szCs w:val="32"/>
        </w:rPr>
        <w:t>（二）项目绩效目标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1.总体目标目标</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目标</w:t>
      </w:r>
      <w:r>
        <w:rPr>
          <w:rFonts w:eastAsia="仿宋_GB2312"/>
          <w:color w:val="000000"/>
          <w:spacing w:val="17"/>
          <w:sz w:val="32"/>
          <w:szCs w:val="32"/>
        </w:rPr>
        <w:t>1：用于保障保证“12345”政务热线24时小时服务在线，接通率9</w:t>
      </w:r>
      <w:r>
        <w:rPr>
          <w:rFonts w:hint="eastAsia" w:eastAsia="仿宋_GB2312"/>
          <w:color w:val="000000"/>
          <w:spacing w:val="17"/>
          <w:sz w:val="32"/>
          <w:szCs w:val="32"/>
          <w:lang w:val="en-US" w:eastAsia="zh-CN"/>
        </w:rPr>
        <w:t>7</w:t>
      </w:r>
      <w:r>
        <w:rPr>
          <w:rFonts w:eastAsia="仿宋_GB2312"/>
          <w:color w:val="000000"/>
          <w:spacing w:val="17"/>
          <w:sz w:val="32"/>
          <w:szCs w:val="32"/>
        </w:rPr>
        <w:t>%，周接通量不少于1</w:t>
      </w:r>
      <w:r>
        <w:rPr>
          <w:rFonts w:hint="eastAsia" w:eastAsia="仿宋_GB2312"/>
          <w:color w:val="000000"/>
          <w:spacing w:val="17"/>
          <w:sz w:val="32"/>
          <w:szCs w:val="32"/>
        </w:rPr>
        <w:t>7</w:t>
      </w:r>
      <w:r>
        <w:rPr>
          <w:rFonts w:eastAsia="仿宋_GB2312"/>
          <w:color w:val="000000"/>
          <w:spacing w:val="17"/>
          <w:sz w:val="32"/>
          <w:szCs w:val="32"/>
        </w:rPr>
        <w:t>00通；</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目标2：及时转办，督办，催办，反馈各类非紧急类热线，高效，便捷的为企业和群众提供强有力的服务。</w:t>
      </w:r>
    </w:p>
    <w:p>
      <w:pPr>
        <w:spacing w:line="360" w:lineRule="auto"/>
        <w:ind w:firstLine="708" w:firstLineChars="200"/>
        <w:rPr>
          <w:rFonts w:eastAsia="仿宋_GB2312"/>
          <w:color w:val="000000"/>
          <w:spacing w:val="17"/>
          <w:sz w:val="32"/>
          <w:szCs w:val="32"/>
        </w:rPr>
      </w:pPr>
      <w:r>
        <w:rPr>
          <w:rFonts w:hint="eastAsia" w:eastAsia="仿宋_GB2312"/>
          <w:color w:val="000000"/>
          <w:spacing w:val="17"/>
          <w:sz w:val="32"/>
          <w:szCs w:val="32"/>
        </w:rPr>
        <w:t>2.</w:t>
      </w:r>
      <w:r>
        <w:rPr>
          <w:rFonts w:eastAsia="仿宋_GB2312"/>
          <w:color w:val="000000"/>
          <w:spacing w:val="17"/>
          <w:sz w:val="32"/>
          <w:szCs w:val="32"/>
        </w:rPr>
        <w:t>阶段性目标</w:t>
      </w:r>
    </w:p>
    <w:p>
      <w:pPr>
        <w:pStyle w:val="5"/>
        <w:spacing w:line="590" w:lineRule="exact"/>
        <w:ind w:firstLine="708" w:firstLineChars="200"/>
        <w:rPr>
          <w:rFonts w:ascii="Times New Roman" w:hAnsi="Times New Roman" w:eastAsia="方正仿宋简体" w:cs="Times New Roman"/>
          <w:spacing w:val="4"/>
          <w:sz w:val="31"/>
          <w:szCs w:val="31"/>
        </w:rPr>
      </w:pPr>
      <w:r>
        <w:rPr>
          <w:rFonts w:hint="eastAsia" w:ascii="Times New Roman" w:hAnsi="Times New Roman" w:eastAsia="仿宋_GB2312" w:cs="Times New Roman"/>
          <w:color w:val="000000"/>
          <w:spacing w:val="17"/>
          <w:sz w:val="32"/>
          <w:szCs w:val="32"/>
        </w:rPr>
        <w:t>“12345”政务热线充分发挥数据参谋辅政作用，利用群众反映问题“大数据”，加强社情民意分析研判，梳理事件办理中的堵点、难点和盲点，形成热点事件分析和工作建议，以专报的形式，定期上报市委、市政府，为市委、市政府办好群众实事提供重要决策参考。2024年一季度计划有序推进双线联动工作机制。2024年，12345热线和110报警服务台严格落实</w:t>
      </w:r>
      <w:r>
        <w:rPr>
          <w:rFonts w:ascii="Times New Roman" w:hAnsi="Times New Roman" w:eastAsia="仿宋_GB2312" w:cs="Times New Roman"/>
          <w:color w:val="000000"/>
          <w:spacing w:val="17"/>
          <w:sz w:val="32"/>
          <w:szCs w:val="32"/>
        </w:rPr>
        <w:t>分流转办、日常</w:t>
      </w:r>
      <w:r>
        <w:rPr>
          <w:rFonts w:hint="eastAsia" w:ascii="Times New Roman" w:hAnsi="Times New Roman" w:eastAsia="仿宋_GB2312" w:cs="Times New Roman"/>
          <w:color w:val="000000"/>
          <w:spacing w:val="17"/>
          <w:sz w:val="32"/>
          <w:szCs w:val="32"/>
        </w:rPr>
        <w:t>对接</w:t>
      </w:r>
      <w:r>
        <w:rPr>
          <w:rFonts w:ascii="Times New Roman" w:hAnsi="Times New Roman" w:eastAsia="仿宋_GB2312" w:cs="Times New Roman"/>
          <w:color w:val="000000"/>
          <w:spacing w:val="17"/>
          <w:sz w:val="32"/>
          <w:szCs w:val="32"/>
        </w:rPr>
        <w:t>、应急联动、会商交流、滋扰治理等工作机制</w:t>
      </w:r>
      <w:r>
        <w:rPr>
          <w:rFonts w:hint="eastAsia" w:ascii="Times New Roman" w:hAnsi="Times New Roman" w:eastAsia="仿宋_GB2312" w:cs="Times New Roman"/>
          <w:color w:val="000000"/>
          <w:spacing w:val="17"/>
          <w:sz w:val="32"/>
          <w:szCs w:val="32"/>
        </w:rPr>
        <w:t>，并结合双方工作实际向群众宣传110、12345职责范围，逐渐形成“危难找警察，服务找政府”的社会共识。二季度助力基层减负工作落到实处。自基层减负专项工作开展以来，</w:t>
      </w:r>
      <w:r>
        <w:rPr>
          <w:rFonts w:hint="eastAsia" w:ascii="Times New Roman" w:hAnsi="Times New Roman" w:eastAsia="仿宋_GB2312" w:cs="Times New Roman"/>
          <w:color w:val="000000"/>
          <w:spacing w:val="17"/>
          <w:sz w:val="32"/>
          <w:szCs w:val="32"/>
          <w:lang w:eastAsia="zh-CN"/>
        </w:rPr>
        <w:t>经</w:t>
      </w:r>
      <w:r>
        <w:rPr>
          <w:rFonts w:hint="eastAsia" w:ascii="Times New Roman" w:hAnsi="Times New Roman" w:eastAsia="仿宋_GB2312" w:cs="Times New Roman"/>
          <w:color w:val="000000"/>
          <w:spacing w:val="17"/>
          <w:sz w:val="32"/>
          <w:szCs w:val="32"/>
        </w:rPr>
        <w:t>基层减负办核实，反映情况属实的问题，热线将根据职能部门分类，及时报送到基层减负，力争减负工作取得实效。三季度积极响应配合不正之风专项整治工作行动的开展。将深入开展热线与纪检监察部门联动，定期推送潜在案件线索，为纪检部门精准执纪问责提供支撑，有效发挥“信息哨兵”的作用。四季度持续推动供暖服务诉求高效解决。针对冬季供暖期发生群众反映的供暖类诉求，12345热线将做好迅速响应准备，及时与各县市住建局、供热企业精准对接，通过为供热企业开通直办账号，强化住建部门对接督办，保障全州各县市供暖平稳运行，供暖类诉求得到高效解决。</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1.绩效评价完整性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报告的撰写结构上，按照统一的格式和规范进行编排，内容层次分明、条理清晰。首先对项目的背景、目标和预算安排进行了简要介绍，为后续的绩效评价提供了必要的背景信息；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2.绩效评价的目的</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（1）评估项目实施效果</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（2）提升资源利用效率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（3）强化项目管理责任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（4）为决策提供支持</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（5）促进项目持续改进</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3.绩效评价的对象</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本项目预算绩效评价报告的评价对象是</w:t>
      </w:r>
      <w:r>
        <w:rPr>
          <w:rFonts w:hint="eastAsia" w:eastAsia="仿宋_GB2312"/>
          <w:color w:val="000000"/>
          <w:spacing w:val="17"/>
          <w:sz w:val="32"/>
          <w:szCs w:val="32"/>
        </w:rPr>
        <w:t>部门专项－“12345”政务热线服务费</w:t>
      </w:r>
      <w:r>
        <w:rPr>
          <w:rFonts w:eastAsia="仿宋_GB2312"/>
          <w:color w:val="000000"/>
          <w:spacing w:val="17"/>
          <w:sz w:val="32"/>
          <w:szCs w:val="32"/>
        </w:rPr>
        <w:t>及其预算执行情况。该项目由</w:t>
      </w:r>
      <w:r>
        <w:rPr>
          <w:rFonts w:hint="eastAsia" w:eastAsia="仿宋_GB2312"/>
          <w:color w:val="000000"/>
          <w:spacing w:val="17"/>
          <w:sz w:val="32"/>
          <w:szCs w:val="32"/>
        </w:rPr>
        <w:t>库尔勒市行政服务中心</w:t>
      </w:r>
      <w:r>
        <w:rPr>
          <w:rFonts w:eastAsia="仿宋_GB2312"/>
          <w:color w:val="000000"/>
          <w:spacing w:val="17"/>
          <w:sz w:val="32"/>
          <w:szCs w:val="32"/>
        </w:rPr>
        <w:t>负责实施，旨在提高接诉办理水平，达到24小时内在线，热线接通率提升，引导热线逐步从“接受诉求”到“主动服务”转变。强化结果运用，用好用活热线数据资源，做好数据分析，当好参谋助手，健全联动机制，助力精准施政，切实提升企业群众满意度。项目预算涵盖从</w:t>
      </w:r>
      <w:r>
        <w:rPr>
          <w:rFonts w:hint="eastAsia" w:eastAsia="仿宋_GB2312"/>
          <w:color w:val="000000"/>
          <w:spacing w:val="17"/>
          <w:sz w:val="32"/>
          <w:szCs w:val="32"/>
        </w:rPr>
        <w:t>2024年1月1日</w:t>
      </w:r>
      <w:r>
        <w:rPr>
          <w:rFonts w:eastAsia="仿宋_GB2312"/>
          <w:color w:val="000000"/>
          <w:spacing w:val="17"/>
          <w:sz w:val="32"/>
          <w:szCs w:val="32"/>
        </w:rPr>
        <w:t>至</w:t>
      </w:r>
      <w:r>
        <w:rPr>
          <w:rFonts w:hint="eastAsia" w:eastAsia="仿宋_GB2312"/>
          <w:color w:val="000000"/>
          <w:spacing w:val="17"/>
          <w:sz w:val="32"/>
          <w:szCs w:val="32"/>
        </w:rPr>
        <w:t>2024年12月31日</w:t>
      </w:r>
      <w:r>
        <w:rPr>
          <w:rFonts w:eastAsia="仿宋_GB2312"/>
          <w:color w:val="000000"/>
          <w:spacing w:val="17"/>
          <w:sz w:val="32"/>
          <w:szCs w:val="32"/>
        </w:rPr>
        <w:t>的全部资金投入与支出，涉及资金总额为</w:t>
      </w:r>
      <w:r>
        <w:rPr>
          <w:rFonts w:hint="eastAsia" w:eastAsia="仿宋_GB2312"/>
          <w:color w:val="000000"/>
          <w:spacing w:val="17"/>
          <w:sz w:val="32"/>
          <w:szCs w:val="32"/>
        </w:rPr>
        <w:t>53.89</w:t>
      </w:r>
      <w:r>
        <w:rPr>
          <w:rFonts w:eastAsia="仿宋_GB2312"/>
          <w:color w:val="000000"/>
          <w:spacing w:val="17"/>
          <w:sz w:val="32"/>
          <w:szCs w:val="32"/>
        </w:rPr>
        <w:t>万元。</w:t>
      </w:r>
    </w:p>
    <w:p>
      <w:pPr>
        <w:spacing w:line="560" w:lineRule="exact"/>
        <w:ind w:firstLine="640" w:firstLineChars="200"/>
        <w:rPr>
          <w:rFonts w:eastAsia="仿宋_GB2312"/>
          <w:color w:val="000000"/>
          <w:sz w:val="32"/>
          <w:szCs w:val="32"/>
        </w:rPr>
      </w:pPr>
      <w:r>
        <w:rPr>
          <w:rFonts w:eastAsia="仿宋_GB2312"/>
          <w:color w:val="000000"/>
          <w:sz w:val="32"/>
          <w:szCs w:val="32"/>
        </w:rPr>
        <w:t>4.绩效评价的范围</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本项目预算绩效评价报告的评价范围广泛而全面，涵盖了从项目立项至评价时点期间的所有关键预算活动和财务流程。具体而言，评价范围包括但不限于以下几个方面：</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项目预算编制与执行：全面审视项目预算的编制依据、合理性、科学性以及实际执行情况，包括预算调整的原因和效果。</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资金管理：深入分析项目资金的分配、使用和监管情况，确保资金使用的合规性、高效性和透明度。</w:t>
      </w:r>
    </w:p>
    <w:p>
      <w:pPr>
        <w:spacing w:line="560" w:lineRule="exact"/>
        <w:ind w:firstLine="640" w:firstLineChars="200"/>
        <w:rPr>
          <w:rFonts w:eastAsia="仿宋_GB2312"/>
          <w:color w:val="000000"/>
          <w:sz w:val="32"/>
          <w:szCs w:val="32"/>
        </w:rPr>
      </w:pPr>
      <w:r>
        <w:rPr>
          <w:rFonts w:eastAsia="仿宋_GB2312"/>
          <w:color w:val="000000"/>
          <w:sz w:val="32"/>
          <w:szCs w:val="32"/>
        </w:rPr>
        <w:t>项目实施进度与产出：评估项目是否按照既定计划顺利推进，各项任务是否按时完成，以及项目产出的数量、质量和时效性是否符合预期。</w:t>
      </w:r>
    </w:p>
    <w:p>
      <w:pPr>
        <w:spacing w:line="560" w:lineRule="exact"/>
        <w:ind w:firstLine="640" w:firstLineChars="200"/>
        <w:rPr>
          <w:rFonts w:eastAsia="仿宋_GB2312"/>
          <w:color w:val="000000"/>
          <w:sz w:val="32"/>
          <w:szCs w:val="32"/>
        </w:rPr>
      </w:pPr>
      <w:r>
        <w:rPr>
          <w:rFonts w:eastAsia="仿宋_GB2312"/>
          <w:color w:val="000000"/>
          <w:sz w:val="32"/>
          <w:szCs w:val="32"/>
        </w:rPr>
        <w:t>社会、</w:t>
      </w:r>
      <w:r>
        <w:rPr>
          <w:rFonts w:hint="eastAsia" w:eastAsia="仿宋_GB2312"/>
          <w:color w:val="000000"/>
          <w:sz w:val="32"/>
          <w:szCs w:val="32"/>
        </w:rPr>
        <w:t>经济</w:t>
      </w:r>
      <w:r>
        <w:rPr>
          <w:rFonts w:eastAsia="仿宋_GB2312"/>
          <w:color w:val="000000"/>
          <w:sz w:val="32"/>
          <w:szCs w:val="32"/>
        </w:rPr>
        <w:t>等影响：考察项目对社会、经济等方面的综合影响。</w:t>
      </w:r>
    </w:p>
    <w:p>
      <w:pPr>
        <w:spacing w:line="560" w:lineRule="exact"/>
        <w:ind w:firstLine="643" w:firstLineChars="200"/>
      </w:pPr>
      <w:r>
        <w:rPr>
          <w:rFonts w:eastAsia="楷体_GB2312"/>
          <w:b/>
          <w:bCs/>
          <w:sz w:val="32"/>
          <w:szCs w:val="32"/>
        </w:rPr>
        <w:t>（二）绩效评价原则、评价指标体系（详情见表1）、评价方法、评价标准。</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该项目权重总计得分100分。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3"/>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pPr>
        <w:pStyle w:val="13"/>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w:t>
      </w:r>
      <w:r>
        <w:rPr>
          <w:rFonts w:hint="eastAsia" w:eastAsia="仿宋_GB2312"/>
          <w:color w:val="000000"/>
          <w:spacing w:val="17"/>
          <w:sz w:val="32"/>
          <w:szCs w:val="32"/>
        </w:rPr>
        <w:t>该项目只有</w:t>
      </w:r>
      <w:r>
        <w:rPr>
          <w:rFonts w:eastAsia="仿宋_GB2312"/>
          <w:color w:val="000000"/>
          <w:spacing w:val="17"/>
          <w:sz w:val="32"/>
          <w:szCs w:val="32"/>
        </w:rPr>
        <w:t>定量指标，</w:t>
      </w:r>
      <w:r>
        <w:rPr>
          <w:rFonts w:hint="eastAsia" w:eastAsia="仿宋_GB2312"/>
          <w:color w:val="000000"/>
          <w:spacing w:val="17"/>
          <w:sz w:val="32"/>
          <w:szCs w:val="32"/>
        </w:rPr>
        <w:t>定</w:t>
      </w:r>
      <w:r>
        <w:rPr>
          <w:rFonts w:hint="eastAsia" w:eastAsia="仿宋_GB2312"/>
          <w:color w:val="000000"/>
          <w:spacing w:val="17"/>
          <w:sz w:val="32"/>
          <w:szCs w:val="32"/>
          <w:lang w:eastAsia="zh-CN"/>
        </w:rPr>
        <w:t>量</w:t>
      </w:r>
      <w:r>
        <w:rPr>
          <w:rFonts w:hint="eastAsia" w:eastAsia="仿宋_GB2312"/>
          <w:color w:val="000000"/>
          <w:spacing w:val="17"/>
          <w:sz w:val="32"/>
          <w:szCs w:val="32"/>
        </w:rPr>
        <w:t>指标</w:t>
      </w:r>
      <w:r>
        <w:rPr>
          <w:rFonts w:eastAsia="仿宋_GB2312"/>
          <w:color w:val="000000"/>
          <w:spacing w:val="17"/>
          <w:sz w:val="32"/>
          <w:szCs w:val="32"/>
        </w:rPr>
        <w:t>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本次项目支出绩效自评采用因素分析法。本项目为部门专项－“12345”政务热线服务费，接听各类非紧急类事项的诉求，内容涵盖面广，形式复杂多样，涉及各种各样的社会问题</w:t>
      </w:r>
      <w:r>
        <w:rPr>
          <w:rFonts w:hint="eastAsia" w:eastAsia="仿宋_GB2312"/>
          <w:color w:val="000000"/>
          <w:spacing w:val="17"/>
          <w:sz w:val="32"/>
          <w:szCs w:val="32"/>
          <w:lang w:eastAsia="zh-CN"/>
        </w:rPr>
        <w:t>，</w:t>
      </w:r>
      <w:r>
        <w:rPr>
          <w:rFonts w:hint="eastAsia" w:eastAsia="仿宋_GB2312"/>
          <w:color w:val="000000"/>
          <w:spacing w:val="17"/>
          <w:sz w:val="32"/>
          <w:szCs w:val="32"/>
        </w:rPr>
        <w:t>原因复杂，鉴于该项目的实际情况，采用因素分析法进行绩效评价。</w:t>
      </w:r>
    </w:p>
    <w:p>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绩效评价标准通常包括计划标准、行业标准、历史标准等，用于对绩效指标完成情况进行比较、分析、评价。本次评价主要采用了计划标准。</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本项目为部门专项－“12345”政务热线服务费，为公共服务职能部门接听各类非紧急类事项的诉求设立的，明确了项目要达成的具体目标和要求，才能更加具体，更加量化，如接听率，转办率等，评价时能够更准确将实际完成情况与计划标准进行对比，清晰地判断出项目是否达到预期以及偏差的程度。</w:t>
      </w:r>
    </w:p>
    <w:p>
      <w:pPr>
        <w:pStyle w:val="13"/>
        <w:numPr>
          <w:ilvl w:val="0"/>
          <w:numId w:val="1"/>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（1）前期准备与规划</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在项目绩效评价工作启动之初，成立了专门的评价工作小组，小组成员由</w:t>
      </w:r>
      <w:r>
        <w:rPr>
          <w:rFonts w:hint="eastAsia" w:eastAsia="仿宋_GB2312"/>
          <w:color w:val="000000"/>
          <w:spacing w:val="17"/>
          <w:sz w:val="32"/>
          <w:szCs w:val="32"/>
        </w:rPr>
        <w:t>“12345”政务服务热线负责人，</w:t>
      </w:r>
      <w:r>
        <w:rPr>
          <w:rFonts w:eastAsia="仿宋_GB2312"/>
          <w:color w:val="000000"/>
          <w:spacing w:val="17"/>
          <w:sz w:val="32"/>
          <w:szCs w:val="32"/>
        </w:rPr>
        <w:t>项目管理专业人员及相关领域技术骨干组成，确保从多角度、全方位对项目绩效进行评价。同时，明确了评价工作的目标、范围、重点及时间安排，制定了详细的工作计划，为评价工作的顺利开展奠定了坚实基础。</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（2）指标体系构建</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（3）数据收集与整理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广泛收集与项目相关的各类数据，包括</w:t>
      </w:r>
      <w:r>
        <w:rPr>
          <w:rFonts w:hint="eastAsia" w:eastAsia="仿宋_GB2312"/>
          <w:color w:val="000000"/>
          <w:spacing w:val="17"/>
          <w:sz w:val="32"/>
          <w:szCs w:val="32"/>
        </w:rPr>
        <w:t>时适</w:t>
      </w:r>
      <w:r>
        <w:rPr>
          <w:rFonts w:eastAsia="仿宋_GB2312"/>
          <w:color w:val="000000"/>
          <w:spacing w:val="17"/>
          <w:sz w:val="32"/>
          <w:szCs w:val="32"/>
        </w:rPr>
        <w:t>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（4）数据分析与评估</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（5）报告撰写与反馈</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（6）后续跟踪与改进</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2"/>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（一）评价情况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本项目的综合评价基于对项目各方面绩效的深入分析与评估。从项目目标的达成情况来看，</w:t>
      </w:r>
      <w:r>
        <w:rPr>
          <w:rFonts w:hint="eastAsia" w:eastAsia="仿宋_GB2312"/>
          <w:color w:val="000000"/>
          <w:spacing w:val="17"/>
          <w:sz w:val="32"/>
          <w:szCs w:val="32"/>
        </w:rPr>
        <w:t>“12345”政务服务热线当好政府与群众密切联系的桥梁，秉持 “有态度，有温度”的政务热线原则，认真根据自治区党委关于办理群众诉求的要求，提级提速提效办好群众反映的急事难事。发挥“减压阀”、“灭火器”的作用，持续提升企业和群众的满意度，努力打造更便捷、高效、规范的政务服务</w:t>
      </w:r>
      <w:r>
        <w:rPr>
          <w:rFonts w:eastAsia="仿宋_GB2312"/>
          <w:color w:val="000000"/>
          <w:spacing w:val="17"/>
          <w:sz w:val="32"/>
          <w:szCs w:val="32"/>
        </w:rPr>
        <w:t>等方面表现出色，达到了预期的标准与要求。同时，项目也在完善平台功能，开展智能化改造</w:t>
      </w:r>
      <w:r>
        <w:rPr>
          <w:rFonts w:hint="eastAsia" w:eastAsia="仿宋_GB2312"/>
          <w:color w:val="000000"/>
          <w:spacing w:val="17"/>
          <w:sz w:val="32"/>
          <w:szCs w:val="32"/>
        </w:rPr>
        <w:t>方面</w:t>
      </w:r>
      <w:r>
        <w:rPr>
          <w:rFonts w:eastAsia="仿宋_GB2312"/>
          <w:color w:val="000000"/>
          <w:spacing w:val="17"/>
          <w:sz w:val="32"/>
          <w:szCs w:val="32"/>
        </w:rPr>
        <w:t>取得了显著的成效，如智能客服、智能回访、智能质检能力</w:t>
      </w:r>
      <w:r>
        <w:rPr>
          <w:rFonts w:hint="eastAsia" w:eastAsia="仿宋_GB2312"/>
          <w:color w:val="000000"/>
          <w:spacing w:val="17"/>
          <w:sz w:val="32"/>
          <w:szCs w:val="32"/>
        </w:rPr>
        <w:t>的提升</w:t>
      </w:r>
      <w:r>
        <w:rPr>
          <w:rFonts w:eastAsia="仿宋_GB2312"/>
          <w:color w:val="000000"/>
          <w:spacing w:val="17"/>
          <w:sz w:val="32"/>
          <w:szCs w:val="32"/>
        </w:rPr>
        <w:t>等。</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在项目管理方面，</w:t>
      </w:r>
      <w:r>
        <w:rPr>
          <w:rFonts w:hint="eastAsia" w:eastAsia="仿宋_GB2312"/>
          <w:color w:val="000000"/>
          <w:spacing w:val="17"/>
          <w:sz w:val="32"/>
          <w:szCs w:val="32"/>
        </w:rPr>
        <w:t>库尔勒市行政服务中心</w:t>
      </w:r>
      <w:r>
        <w:rPr>
          <w:rFonts w:eastAsia="仿宋_GB2312"/>
          <w:color w:val="000000"/>
          <w:spacing w:val="17"/>
          <w:sz w:val="32"/>
          <w:szCs w:val="32"/>
        </w:rPr>
        <w:t>通过有效的规划、组织与协调，项目得以顺利实施，并在预算与时间上保持了良好的控制。</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从项目效益的角度来看，本项目不仅实现了预期的社会效益、</w:t>
      </w:r>
      <w:r>
        <w:rPr>
          <w:rFonts w:hint="eastAsia" w:eastAsia="仿宋_GB2312"/>
          <w:color w:val="000000"/>
          <w:spacing w:val="17"/>
          <w:sz w:val="32"/>
          <w:szCs w:val="32"/>
        </w:rPr>
        <w:t>经济效益</w:t>
      </w:r>
      <w:r>
        <w:rPr>
          <w:rFonts w:eastAsia="仿宋_GB2312"/>
          <w:color w:val="000000"/>
          <w:spacing w:val="17"/>
          <w:sz w:val="32"/>
          <w:szCs w:val="32"/>
        </w:rPr>
        <w:t>等方面产生了积极的影响。具体而言，深化</w:t>
      </w:r>
      <w:r>
        <w:rPr>
          <w:rFonts w:hint="eastAsia" w:eastAsia="仿宋_GB2312"/>
          <w:color w:val="000000"/>
          <w:spacing w:val="17"/>
          <w:sz w:val="32"/>
          <w:szCs w:val="32"/>
        </w:rPr>
        <w:t>“</w:t>
      </w:r>
      <w:r>
        <w:rPr>
          <w:rFonts w:eastAsia="仿宋_GB2312"/>
          <w:color w:val="000000"/>
          <w:spacing w:val="17"/>
          <w:sz w:val="32"/>
          <w:szCs w:val="32"/>
        </w:rPr>
        <w:t>12345</w:t>
      </w:r>
      <w:r>
        <w:rPr>
          <w:rFonts w:hint="eastAsia" w:eastAsia="仿宋_GB2312"/>
          <w:color w:val="000000"/>
          <w:spacing w:val="17"/>
          <w:sz w:val="32"/>
          <w:szCs w:val="32"/>
        </w:rPr>
        <w:t>”</w:t>
      </w:r>
      <w:r>
        <w:rPr>
          <w:rFonts w:eastAsia="仿宋_GB2312"/>
          <w:color w:val="000000"/>
          <w:spacing w:val="17"/>
          <w:sz w:val="32"/>
          <w:szCs w:val="32"/>
        </w:rPr>
        <w:t>平台应用，</w:t>
      </w:r>
      <w:r>
        <w:rPr>
          <w:rFonts w:hint="eastAsia" w:eastAsia="仿宋_GB2312"/>
          <w:color w:val="000000"/>
          <w:spacing w:val="17"/>
          <w:sz w:val="32"/>
          <w:szCs w:val="32"/>
        </w:rPr>
        <w:t>提升政务热线的知晓率，当好政府的“总客服”，充分解决企业和群众的“急，难，愁，盼”</w:t>
      </w:r>
      <w:r>
        <w:rPr>
          <w:rFonts w:eastAsia="仿宋_GB2312"/>
          <w:color w:val="000000"/>
          <w:spacing w:val="17"/>
          <w:sz w:val="32"/>
          <w:szCs w:val="32"/>
        </w:rPr>
        <w:t>等方面的提升，为项目的利益相关者带来了实实在在的利益。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综上所述，</w:t>
      </w:r>
      <w:r>
        <w:rPr>
          <w:rFonts w:hint="eastAsia" w:eastAsia="仿宋_GB2312"/>
          <w:color w:val="000000"/>
          <w:spacing w:val="17"/>
          <w:sz w:val="32"/>
          <w:szCs w:val="32"/>
        </w:rPr>
        <w:t>部门专项－“12345”政务热线服务费</w:t>
      </w:r>
      <w:r>
        <w:rPr>
          <w:rFonts w:eastAsia="仿宋_GB2312"/>
          <w:color w:val="000000"/>
          <w:spacing w:val="17"/>
          <w:sz w:val="32"/>
          <w:szCs w:val="32"/>
        </w:rPr>
        <w:t>在绩效评价中表现出色，达到了项目的预期目标，并在多个方面取得了显著的成效。</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pPr>
        <w:pStyle w:val="13"/>
        <w:widowControl w:val="0"/>
        <w:spacing w:before="0" w:after="0" w:line="560" w:lineRule="exact"/>
        <w:ind w:firstLine="708" w:firstLineChars="200"/>
        <w:jc w:val="both"/>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分，属于“优”。其中，项目决策类指标权重为20分，得分为</w:t>
      </w:r>
      <w:r>
        <w:rPr>
          <w:rFonts w:hint="eastAsia" w:ascii="Times New Roman" w:hAnsi="Times New Roman" w:eastAsia="仿宋_GB2312"/>
          <w:b w:val="0"/>
          <w:bCs w:val="0"/>
          <w:color w:val="000000"/>
          <w:spacing w:val="17"/>
          <w:kern w:val="2"/>
        </w:rPr>
        <w:t>20</w:t>
      </w:r>
      <w:r>
        <w:rPr>
          <w:rFonts w:ascii="Times New Roman" w:hAnsi="Times New Roman" w:eastAsia="仿宋_GB2312"/>
          <w:b w:val="0"/>
          <w:bCs w:val="0"/>
          <w:color w:val="000000"/>
          <w:spacing w:val="17"/>
          <w:kern w:val="2"/>
        </w:rPr>
        <w:t>分，得分率为</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%。项目过程类指标权重为20分，得分为</w:t>
      </w:r>
      <w:r>
        <w:rPr>
          <w:rFonts w:hint="eastAsia" w:ascii="Times New Roman" w:hAnsi="Times New Roman" w:eastAsia="仿宋_GB2312"/>
          <w:b w:val="0"/>
          <w:bCs w:val="0"/>
          <w:color w:val="000000"/>
          <w:spacing w:val="17"/>
          <w:kern w:val="2"/>
        </w:rPr>
        <w:t>20</w:t>
      </w:r>
      <w:r>
        <w:rPr>
          <w:rFonts w:ascii="Times New Roman" w:hAnsi="Times New Roman" w:eastAsia="仿宋_GB2312"/>
          <w:b w:val="0"/>
          <w:bCs w:val="0"/>
          <w:color w:val="000000"/>
          <w:spacing w:val="17"/>
          <w:kern w:val="2"/>
        </w:rPr>
        <w:t>分，得分率为</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%。项目产出类指标权重为40分，得分</w:t>
      </w:r>
      <w:r>
        <w:rPr>
          <w:rFonts w:hint="eastAsia" w:ascii="Times New Roman" w:hAnsi="Times New Roman" w:eastAsia="仿宋_GB2312"/>
          <w:b w:val="0"/>
          <w:bCs w:val="0"/>
          <w:color w:val="000000"/>
          <w:spacing w:val="17"/>
          <w:kern w:val="2"/>
        </w:rPr>
        <w:t>为40</w:t>
      </w:r>
      <w:r>
        <w:rPr>
          <w:rFonts w:ascii="Times New Roman" w:hAnsi="Times New Roman" w:eastAsia="仿宋_GB2312"/>
          <w:b w:val="0"/>
          <w:bCs w:val="0"/>
          <w:color w:val="000000"/>
          <w:spacing w:val="17"/>
          <w:kern w:val="2"/>
        </w:rPr>
        <w:t>分，得分率为</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%。项目效益类指标权重为20分，得分</w:t>
      </w:r>
      <w:r>
        <w:rPr>
          <w:rFonts w:hint="eastAsia" w:ascii="Times New Roman" w:hAnsi="Times New Roman" w:eastAsia="仿宋_GB2312"/>
          <w:b w:val="0"/>
          <w:bCs w:val="0"/>
          <w:color w:val="000000"/>
          <w:spacing w:val="17"/>
          <w:kern w:val="2"/>
        </w:rPr>
        <w:t>20</w:t>
      </w:r>
      <w:r>
        <w:rPr>
          <w:rFonts w:ascii="Times New Roman" w:hAnsi="Times New Roman" w:eastAsia="仿宋_GB2312"/>
          <w:b w:val="0"/>
          <w:bCs w:val="0"/>
          <w:color w:val="000000"/>
          <w:spacing w:val="17"/>
          <w:kern w:val="2"/>
        </w:rPr>
        <w:t>分，得分率为</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%。具体打分情况详见：附件1综合评分表。</w:t>
      </w:r>
    </w:p>
    <w:p>
      <w:pPr>
        <w:pStyle w:val="13"/>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eastAsia="仿宋_GB2312"/>
                <w:b/>
                <w:bCs/>
                <w:color w:val="000000"/>
                <w:szCs w:val="21"/>
              </w:rPr>
            </w:pPr>
            <w:r>
              <w:rPr>
                <w:rFonts w:eastAsia="仿宋_GB2312"/>
                <w:b/>
                <w:bCs/>
                <w:color w:val="000000"/>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color w:val="000000"/>
                <w:szCs w:val="21"/>
              </w:rPr>
            </w:pPr>
            <w:r>
              <w:rPr>
                <w:rFonts w:hint="eastAsia" w:eastAsia="仿宋_GB2312"/>
                <w:color w:val="000000"/>
                <w:szCs w:val="21"/>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eastAsia="仿宋_GB2312"/>
                <w:b/>
                <w:bCs/>
                <w:color w:val="000000"/>
                <w:szCs w:val="21"/>
              </w:rPr>
            </w:pPr>
            <w:r>
              <w:rPr>
                <w:rFonts w:hint="eastAsia" w:eastAsia="仿宋_GB2312"/>
                <w:b/>
                <w:bCs/>
                <w:color w:val="000000"/>
                <w:szCs w:val="21"/>
              </w:rPr>
              <w:t>100</w:t>
            </w:r>
          </w:p>
        </w:tc>
      </w:tr>
    </w:tbl>
    <w:p>
      <w:pPr>
        <w:spacing w:line="560" w:lineRule="exact"/>
        <w:ind w:firstLine="640" w:firstLineChars="200"/>
        <w:rPr>
          <w:rFonts w:eastAsia="黑体"/>
          <w:sz w:val="32"/>
          <w:szCs w:val="32"/>
        </w:rPr>
      </w:pPr>
      <w:r>
        <w:rPr>
          <w:rFonts w:eastAsia="黑体"/>
          <w:sz w:val="32"/>
          <w:szCs w:val="32"/>
        </w:rPr>
        <w:t>四、绩效评价指标分析</w:t>
      </w:r>
    </w:p>
    <w:p>
      <w:pPr>
        <w:pStyle w:val="13"/>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项目决策类指标包括项目立项、绩效目标和资金投入三方面的内容，由</w:t>
      </w:r>
      <w:r>
        <w:rPr>
          <w:rFonts w:hint="eastAsia" w:eastAsia="仿宋_GB2312"/>
          <w:color w:val="000000"/>
          <w:spacing w:val="17"/>
          <w:sz w:val="32"/>
          <w:szCs w:val="32"/>
        </w:rPr>
        <w:t>6</w:t>
      </w:r>
      <w:r>
        <w:rPr>
          <w:rFonts w:eastAsia="仿宋_GB2312"/>
          <w:color w:val="000000"/>
          <w:spacing w:val="17"/>
          <w:sz w:val="32"/>
          <w:szCs w:val="32"/>
        </w:rPr>
        <w:t>个三级指标构成，权重分值为20分，实际得分</w:t>
      </w:r>
      <w:r>
        <w:rPr>
          <w:rFonts w:hint="eastAsia" w:eastAsia="仿宋_GB2312"/>
          <w:color w:val="000000"/>
          <w:spacing w:val="17"/>
          <w:sz w:val="32"/>
          <w:szCs w:val="32"/>
        </w:rPr>
        <w:t>20</w:t>
      </w:r>
      <w:r>
        <w:rPr>
          <w:rFonts w:eastAsia="仿宋_GB2312"/>
          <w:color w:val="000000"/>
          <w:spacing w:val="17"/>
          <w:sz w:val="32"/>
          <w:szCs w:val="32"/>
        </w:rPr>
        <w:t>分，得分率为</w:t>
      </w:r>
      <w:r>
        <w:rPr>
          <w:rFonts w:hint="eastAsia" w:eastAsia="仿宋_GB2312"/>
          <w:color w:val="000000"/>
          <w:spacing w:val="17"/>
          <w:sz w:val="32"/>
          <w:szCs w:val="32"/>
        </w:rPr>
        <w:t>100</w:t>
      </w:r>
      <w:r>
        <w:rPr>
          <w:rFonts w:eastAsia="仿宋_GB2312"/>
          <w:color w:val="000000"/>
          <w:spacing w:val="17"/>
          <w:sz w:val="32"/>
          <w:szCs w:val="32"/>
        </w:rPr>
        <w:t>%。</w:t>
      </w:r>
    </w:p>
    <w:p>
      <w:pPr>
        <w:pStyle w:val="21"/>
        <w:spacing w:line="560" w:lineRule="exact"/>
        <w:ind w:firstLine="640"/>
        <w:rPr>
          <w:rFonts w:eastAsia="仿宋_GB2312"/>
          <w:b/>
          <w:bCs/>
          <w:sz w:val="32"/>
          <w:szCs w:val="32"/>
        </w:rPr>
      </w:pPr>
      <w:r>
        <w:rPr>
          <w:rFonts w:eastAsia="仿宋_GB2312"/>
          <w:b/>
          <w:bCs/>
          <w:sz w:val="32"/>
          <w:szCs w:val="32"/>
        </w:rPr>
        <w:t>1.项目立项</w:t>
      </w:r>
    </w:p>
    <w:p>
      <w:pPr>
        <w:spacing w:line="600" w:lineRule="exact"/>
        <w:ind w:firstLine="640" w:firstLineChars="200"/>
        <w:outlineLvl w:val="0"/>
        <w:rPr>
          <w:rFonts w:eastAsia="仿宋_GB2312"/>
          <w:sz w:val="32"/>
          <w:szCs w:val="32"/>
        </w:rPr>
      </w:pPr>
      <w:r>
        <w:rPr>
          <w:rFonts w:eastAsia="仿宋_GB2312"/>
          <w:sz w:val="32"/>
          <w:szCs w:val="32"/>
        </w:rPr>
        <w:t>（1）立项依据充分性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该项目立项符合</w:t>
      </w:r>
      <w:r>
        <w:rPr>
          <w:rFonts w:hint="eastAsia" w:eastAsia="仿宋_GB2312"/>
          <w:color w:val="000000"/>
          <w:spacing w:val="17"/>
          <w:sz w:val="32"/>
          <w:szCs w:val="32"/>
        </w:rPr>
        <w:t>国务院办公厅《关于进一步优化地方政务服务便民热线工作方案的通知》[2020]53号文，通过多种渠道</w:t>
      </w:r>
      <w:r>
        <w:rPr>
          <w:rFonts w:eastAsia="仿宋_GB2312"/>
          <w:color w:val="000000"/>
          <w:spacing w:val="17"/>
          <w:sz w:val="32"/>
          <w:szCs w:val="32"/>
        </w:rPr>
        <w:t>为群众企业提供</w:t>
      </w:r>
      <w:r>
        <w:rPr>
          <w:rFonts w:hint="eastAsia" w:eastAsia="仿宋_GB2312"/>
          <w:color w:val="000000"/>
          <w:spacing w:val="17"/>
          <w:sz w:val="32"/>
          <w:szCs w:val="32"/>
        </w:rPr>
        <w:t>了</w:t>
      </w:r>
      <w:r>
        <w:rPr>
          <w:rFonts w:eastAsia="仿宋_GB2312"/>
          <w:color w:val="000000"/>
          <w:spacing w:val="17"/>
          <w:sz w:val="32"/>
          <w:szCs w:val="32"/>
        </w:rPr>
        <w:t>政务咨询、民生诉求、政民互动、投诉举报、效能监察等多渠道、高效率的公共服务</w:t>
      </w:r>
      <w:r>
        <w:rPr>
          <w:rFonts w:hint="eastAsia" w:eastAsia="仿宋_GB2312"/>
          <w:color w:val="000000"/>
          <w:spacing w:val="17"/>
          <w:sz w:val="32"/>
          <w:szCs w:val="32"/>
        </w:rPr>
        <w:t>，</w:t>
      </w:r>
      <w:r>
        <w:rPr>
          <w:rFonts w:eastAsia="仿宋_GB2312"/>
          <w:color w:val="000000"/>
          <w:spacing w:val="17"/>
          <w:sz w:val="32"/>
          <w:szCs w:val="32"/>
        </w:rPr>
        <w:t>符合行业规划要求，围绕本年度工作重点和工作计划制定经费预算，属于公共财政支持范围。本项目与部门内部其他相关项目不重复。部门发展规划及职能文件等归档完整。</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此项权重分值为3分，得分为3分。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（2）立项程序规范性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经过必要</w:t>
      </w:r>
      <w:r>
        <w:rPr>
          <w:rFonts w:hint="eastAsia" w:eastAsia="仿宋_GB2312"/>
          <w:color w:val="000000"/>
          <w:spacing w:val="17"/>
          <w:sz w:val="32"/>
          <w:szCs w:val="32"/>
        </w:rPr>
        <w:t>的</w:t>
      </w:r>
      <w:r>
        <w:rPr>
          <w:rFonts w:eastAsia="仿宋_GB2312"/>
          <w:color w:val="000000"/>
          <w:spacing w:val="17"/>
          <w:sz w:val="32"/>
          <w:szCs w:val="32"/>
        </w:rPr>
        <w:t>集体决策，保障了程序的规范性。</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此项权重分值为3分，得分为3分。</w:t>
      </w:r>
    </w:p>
    <w:p>
      <w:pPr>
        <w:pStyle w:val="21"/>
        <w:spacing w:line="560" w:lineRule="exact"/>
        <w:ind w:firstLine="640"/>
        <w:rPr>
          <w:rFonts w:eastAsia="仿宋_GB2312"/>
          <w:b/>
          <w:bCs/>
          <w:sz w:val="32"/>
          <w:szCs w:val="32"/>
        </w:rPr>
      </w:pPr>
      <w:r>
        <w:rPr>
          <w:rFonts w:eastAsia="仿宋_GB2312"/>
          <w:b/>
          <w:bCs/>
          <w:sz w:val="32"/>
          <w:szCs w:val="32"/>
        </w:rPr>
        <w:t>2.绩效目标</w:t>
      </w:r>
    </w:p>
    <w:p>
      <w:pPr>
        <w:spacing w:line="600" w:lineRule="exact"/>
        <w:ind w:firstLine="640" w:firstLineChars="200"/>
        <w:outlineLvl w:val="0"/>
        <w:rPr>
          <w:rFonts w:eastAsia="仿宋_GB2312"/>
          <w:sz w:val="32"/>
          <w:szCs w:val="32"/>
        </w:rPr>
      </w:pPr>
      <w:r>
        <w:rPr>
          <w:rFonts w:eastAsia="仿宋_GB2312"/>
          <w:sz w:val="32"/>
          <w:szCs w:val="32"/>
        </w:rPr>
        <w:t>（1）绩效目标合理性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此项权重分值为3分，得分为3分。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（2）绩效指标明确性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项目设置了明确的预期产出效益和效果，将绩效目标细化分解为具体的绩效指标，绩效目标与项目目标任务数相对应，绩效目标设定的绩效指标清晰、细化、可衡量。</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此项权重分值为3分，得分为3分。</w:t>
      </w:r>
    </w:p>
    <w:p>
      <w:pPr>
        <w:pStyle w:val="21"/>
        <w:spacing w:line="560" w:lineRule="exact"/>
        <w:ind w:firstLine="640"/>
        <w:rPr>
          <w:rFonts w:eastAsia="仿宋_GB2312"/>
          <w:b/>
          <w:bCs/>
          <w:sz w:val="32"/>
          <w:szCs w:val="32"/>
        </w:rPr>
      </w:pPr>
      <w:r>
        <w:rPr>
          <w:rFonts w:eastAsia="仿宋_GB2312"/>
          <w:b/>
          <w:bCs/>
          <w:sz w:val="32"/>
          <w:szCs w:val="32"/>
        </w:rPr>
        <w:t>3.资金投入</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（1）预算编制科学性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（2）资金分配合理性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pStyle w:val="13"/>
        <w:numPr>
          <w:ilvl w:val="0"/>
          <w:numId w:val="3"/>
        </w:numPr>
        <w:spacing w:before="0" w:after="0" w:line="560" w:lineRule="exact"/>
        <w:ind w:firstLine="643" w:firstLineChars="200"/>
        <w:jc w:val="both"/>
        <w:rPr>
          <w:rFonts w:ascii="Times New Roman" w:hAnsi="Times New Roman" w:eastAsia="楷体"/>
        </w:rPr>
      </w:pPr>
      <w:r>
        <w:rPr>
          <w:rFonts w:ascii="Times New Roman" w:hAnsi="Times New Roman" w:eastAsia="楷体"/>
        </w:rPr>
        <w:t>项目过程情况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项目过程类指标包括资金管理和组织实施两方面的内容，由</w:t>
      </w:r>
      <w:r>
        <w:rPr>
          <w:rFonts w:hint="eastAsia" w:eastAsia="仿宋_GB2312"/>
          <w:color w:val="000000"/>
          <w:spacing w:val="17"/>
          <w:sz w:val="32"/>
          <w:szCs w:val="32"/>
        </w:rPr>
        <w:t>5</w:t>
      </w:r>
      <w:r>
        <w:rPr>
          <w:rFonts w:eastAsia="仿宋_GB2312"/>
          <w:color w:val="000000"/>
          <w:spacing w:val="17"/>
          <w:sz w:val="32"/>
          <w:szCs w:val="32"/>
        </w:rPr>
        <w:t>个三级指标构成，权重分值为20分，实际得分</w:t>
      </w:r>
      <w:r>
        <w:rPr>
          <w:rFonts w:hint="eastAsia" w:eastAsia="仿宋_GB2312"/>
          <w:color w:val="000000"/>
          <w:spacing w:val="17"/>
          <w:sz w:val="32"/>
          <w:szCs w:val="32"/>
        </w:rPr>
        <w:t>20</w:t>
      </w:r>
      <w:r>
        <w:rPr>
          <w:rFonts w:eastAsia="仿宋_GB2312"/>
          <w:color w:val="000000"/>
          <w:spacing w:val="17"/>
          <w:sz w:val="32"/>
          <w:szCs w:val="32"/>
        </w:rPr>
        <w:t>分，得分率为</w:t>
      </w:r>
      <w:r>
        <w:rPr>
          <w:rFonts w:hint="eastAsia" w:eastAsia="仿宋_GB2312"/>
          <w:color w:val="000000"/>
          <w:spacing w:val="17"/>
          <w:sz w:val="32"/>
          <w:szCs w:val="32"/>
        </w:rPr>
        <w:t>100</w:t>
      </w:r>
      <w:r>
        <w:rPr>
          <w:rFonts w:eastAsia="仿宋_GB2312"/>
          <w:color w:val="000000"/>
          <w:spacing w:val="17"/>
          <w:sz w:val="32"/>
          <w:szCs w:val="32"/>
        </w:rPr>
        <w:t>%。</w:t>
      </w:r>
    </w:p>
    <w:p>
      <w:pPr>
        <w:pStyle w:val="21"/>
        <w:spacing w:line="560" w:lineRule="exact"/>
        <w:ind w:firstLine="640"/>
        <w:rPr>
          <w:rFonts w:eastAsia="仿宋_GB2312"/>
          <w:b/>
          <w:bCs/>
          <w:sz w:val="32"/>
          <w:szCs w:val="32"/>
        </w:rPr>
      </w:pPr>
      <w:r>
        <w:rPr>
          <w:rFonts w:eastAsia="仿宋_GB2312"/>
          <w:b/>
          <w:bCs/>
          <w:sz w:val="32"/>
          <w:szCs w:val="32"/>
        </w:rPr>
        <w:t>1.资金管理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（1）资金到位率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本项目总投资</w:t>
      </w:r>
      <w:r>
        <w:rPr>
          <w:rFonts w:hint="eastAsia" w:eastAsia="仿宋_GB2312"/>
          <w:color w:val="000000"/>
          <w:spacing w:val="17"/>
          <w:sz w:val="32"/>
          <w:szCs w:val="32"/>
        </w:rPr>
        <w:t>53.89</w:t>
      </w:r>
      <w:r>
        <w:rPr>
          <w:rFonts w:eastAsia="仿宋_GB2312"/>
          <w:color w:val="000000"/>
          <w:spacing w:val="17"/>
          <w:sz w:val="32"/>
          <w:szCs w:val="32"/>
        </w:rPr>
        <w:t>万元，财政资金及时足额到位，到位率</w:t>
      </w:r>
      <w:r>
        <w:rPr>
          <w:rFonts w:hint="eastAsia" w:eastAsia="仿宋_GB2312"/>
          <w:color w:val="000000"/>
          <w:spacing w:val="17"/>
          <w:sz w:val="32"/>
          <w:szCs w:val="32"/>
        </w:rPr>
        <w:t>100</w:t>
      </w:r>
      <w:r>
        <w:rPr>
          <w:rFonts w:eastAsia="仿宋_GB2312"/>
          <w:color w:val="000000"/>
          <w:spacing w:val="17"/>
          <w:sz w:val="32"/>
          <w:szCs w:val="32"/>
        </w:rPr>
        <w:t>%，预算资金按计划进度执行。</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（2）预算执行率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预算编制较为详细，项目资金支出总体能够按照预算执行，预算资金支出</w:t>
      </w:r>
      <w:r>
        <w:rPr>
          <w:rFonts w:hint="eastAsia" w:eastAsia="仿宋_GB2312"/>
          <w:color w:val="000000"/>
          <w:spacing w:val="17"/>
          <w:sz w:val="32"/>
          <w:szCs w:val="32"/>
        </w:rPr>
        <w:t>53.89</w:t>
      </w:r>
      <w:r>
        <w:rPr>
          <w:rFonts w:eastAsia="仿宋_GB2312"/>
          <w:color w:val="000000"/>
          <w:spacing w:val="17"/>
          <w:sz w:val="32"/>
          <w:szCs w:val="32"/>
        </w:rPr>
        <w:t>万元，预算执行率为</w:t>
      </w:r>
      <w:r>
        <w:rPr>
          <w:rFonts w:hint="eastAsia" w:eastAsia="仿宋_GB2312"/>
          <w:color w:val="000000"/>
          <w:spacing w:val="17"/>
          <w:sz w:val="32"/>
          <w:szCs w:val="32"/>
        </w:rPr>
        <w:t>100</w:t>
      </w:r>
      <w:r>
        <w:rPr>
          <w:rFonts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（3）资金使用合规性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本项目的资金使用严格遵循了</w:t>
      </w:r>
      <w:r>
        <w:rPr>
          <w:rFonts w:hint="eastAsia" w:eastAsia="仿宋_GB2312"/>
          <w:color w:val="000000"/>
          <w:spacing w:val="17"/>
          <w:sz w:val="32"/>
          <w:szCs w:val="32"/>
        </w:rPr>
        <w:t>市政服字[2024]17号《关于申请将库尔勒市行政服务中心2025年政府购买“12345”政务热线服务费列入预算的报告》、库财字[2024]8号《关于库尔勒市行政服务中心2024年预算批复》及相关</w:t>
      </w:r>
      <w:r>
        <w:rPr>
          <w:rFonts w:eastAsia="仿宋_GB2312"/>
          <w:color w:val="000000"/>
          <w:spacing w:val="17"/>
          <w:sz w:val="32"/>
          <w:szCs w:val="32"/>
        </w:rPr>
        <w:t>法律法规与财务制度，确保了资金的合规性与安全性。在资金使用过程中，我们建立了完善的财务管理体系，对资金的流动进行了全程监控与记录。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pStyle w:val="21"/>
        <w:spacing w:line="560" w:lineRule="exact"/>
        <w:ind w:firstLine="640"/>
        <w:rPr>
          <w:rFonts w:eastAsia="仿宋_GB2312"/>
          <w:b/>
          <w:bCs/>
          <w:sz w:val="32"/>
          <w:szCs w:val="32"/>
        </w:rPr>
      </w:pPr>
      <w:r>
        <w:rPr>
          <w:rFonts w:eastAsia="仿宋_GB2312"/>
          <w:b/>
          <w:bCs/>
          <w:sz w:val="32"/>
          <w:szCs w:val="32"/>
        </w:rPr>
        <w:t>2.组织实施</w:t>
      </w:r>
    </w:p>
    <w:p>
      <w:pPr>
        <w:spacing w:line="600" w:lineRule="exact"/>
        <w:ind w:firstLine="640" w:firstLineChars="200"/>
        <w:outlineLvl w:val="0"/>
        <w:rPr>
          <w:rFonts w:eastAsia="仿宋_GB2312"/>
          <w:sz w:val="32"/>
          <w:szCs w:val="32"/>
        </w:rPr>
      </w:pPr>
      <w:r>
        <w:rPr>
          <w:rFonts w:eastAsia="仿宋_GB2312"/>
          <w:sz w:val="32"/>
          <w:szCs w:val="32"/>
        </w:rPr>
        <w:t>（1）管理制度健全性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本项目拥有一套完善、健全的管理制度体系，</w:t>
      </w:r>
      <w:r>
        <w:rPr>
          <w:rFonts w:hint="eastAsia" w:eastAsia="仿宋_GB2312"/>
          <w:color w:val="000000"/>
          <w:spacing w:val="17"/>
          <w:sz w:val="32"/>
          <w:szCs w:val="32"/>
        </w:rPr>
        <w:t>《12345政务服务热线分工制度》明确了各级政府部门在热线工作中的职责，细化了指导，协调和监督及日常运行管理工作。《12345政务服务热线受理范围》受理各类非紧急类诉求，涵盖经济调节、市场管理、社会管理、公共服务各领域的咨询，求助，投诉，举报和意见建议。《运行流程制度》遵循一号对外，属地管理，分类处置，分级负责，限时办结，督查的运行机制。对受理分类处理，即时答复，诉求按原则派发工单位至承办单位在规定时间内受理工单位，及时联系诉求人，按职责处理。制度的建立，</w:t>
      </w:r>
      <w:r>
        <w:rPr>
          <w:rFonts w:eastAsia="仿宋_GB2312"/>
          <w:color w:val="000000"/>
          <w:spacing w:val="17"/>
          <w:sz w:val="32"/>
          <w:szCs w:val="32"/>
        </w:rPr>
        <w:t>为项目的成功实施提供了坚实的制度保障</w:t>
      </w:r>
      <w:r>
        <w:rPr>
          <w:rFonts w:hint="eastAsia" w:eastAsia="仿宋_GB2312"/>
          <w:color w:val="000000"/>
          <w:spacing w:val="17"/>
          <w:sz w:val="32"/>
          <w:szCs w:val="32"/>
        </w:rPr>
        <w:t>，</w:t>
      </w:r>
      <w:r>
        <w:rPr>
          <w:rFonts w:eastAsia="仿宋_GB2312"/>
          <w:color w:val="000000"/>
          <w:spacing w:val="17"/>
          <w:sz w:val="32"/>
          <w:szCs w:val="32"/>
        </w:rPr>
        <w:t>项目管理制度的制定紧密结合了项目的特点与实际情况，涵盖了项目的策划、组织、实施、监控与收尾等各个环节。</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在制度设计上，我们注重了制度的科学性与可操作性，确保制度能够切实指导项目的执行与管理。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（2）制度执行有效性</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综上所述，本项目的管理制度在执行过程中表现出了高度的有效性，既确保了项目的顺利进行，又实现了项目目标的有效达成。</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此项权重分值为4分，得分为4分。</w:t>
      </w:r>
    </w:p>
    <w:p>
      <w:pPr>
        <w:pStyle w:val="7"/>
        <w:numPr>
          <w:ilvl w:val="0"/>
          <w:numId w:val="3"/>
        </w:numPr>
        <w:spacing w:line="560" w:lineRule="exact"/>
        <w:ind w:firstLine="640"/>
        <w:rPr>
          <w:rFonts w:eastAsia="楷体_GB2312"/>
          <w:b/>
          <w:bCs/>
          <w:sz w:val="32"/>
          <w:szCs w:val="32"/>
        </w:rPr>
      </w:pPr>
      <w:r>
        <w:rPr>
          <w:rFonts w:eastAsia="楷体_GB2312"/>
          <w:b/>
          <w:bCs/>
          <w:sz w:val="32"/>
          <w:szCs w:val="32"/>
        </w:rPr>
        <w:t>项目产出情况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项目产出类指标包括产出数量、产出质量、产出时效、产出成本四方面的内容，由</w:t>
      </w:r>
      <w:r>
        <w:rPr>
          <w:rFonts w:hint="eastAsia" w:eastAsia="仿宋_GB2312"/>
          <w:color w:val="000000"/>
          <w:spacing w:val="17"/>
          <w:sz w:val="32"/>
          <w:szCs w:val="32"/>
        </w:rPr>
        <w:t>5</w:t>
      </w:r>
      <w:r>
        <w:rPr>
          <w:rFonts w:eastAsia="仿宋_GB2312"/>
          <w:color w:val="000000"/>
          <w:spacing w:val="17"/>
          <w:sz w:val="32"/>
          <w:szCs w:val="32"/>
        </w:rPr>
        <w:t>个三级指标构成，权重分为</w:t>
      </w:r>
      <w:r>
        <w:rPr>
          <w:rFonts w:hint="eastAsia" w:eastAsia="仿宋_GB2312"/>
          <w:color w:val="000000"/>
          <w:spacing w:val="17"/>
          <w:sz w:val="32"/>
          <w:szCs w:val="32"/>
        </w:rPr>
        <w:t>40</w:t>
      </w:r>
      <w:r>
        <w:rPr>
          <w:rFonts w:eastAsia="仿宋_GB2312"/>
          <w:color w:val="000000"/>
          <w:spacing w:val="17"/>
          <w:sz w:val="32"/>
          <w:szCs w:val="32"/>
        </w:rPr>
        <w:t>分，实际得分</w:t>
      </w:r>
      <w:r>
        <w:rPr>
          <w:rFonts w:hint="eastAsia" w:eastAsia="仿宋_GB2312"/>
          <w:color w:val="000000"/>
          <w:spacing w:val="17"/>
          <w:sz w:val="32"/>
          <w:szCs w:val="32"/>
        </w:rPr>
        <w:t>40</w:t>
      </w:r>
      <w:r>
        <w:rPr>
          <w:rFonts w:eastAsia="仿宋_GB2312"/>
          <w:color w:val="000000"/>
          <w:spacing w:val="17"/>
          <w:sz w:val="32"/>
          <w:szCs w:val="32"/>
        </w:rPr>
        <w:t>分，得分率为</w:t>
      </w:r>
      <w:r>
        <w:rPr>
          <w:rFonts w:hint="eastAsia" w:eastAsia="仿宋_GB2312"/>
          <w:color w:val="000000"/>
          <w:spacing w:val="17"/>
          <w:sz w:val="32"/>
          <w:szCs w:val="32"/>
        </w:rPr>
        <w:t>100</w:t>
      </w:r>
      <w:r>
        <w:rPr>
          <w:rFonts w:eastAsia="仿宋_GB2312"/>
          <w:color w:val="000000"/>
          <w:spacing w:val="17"/>
          <w:sz w:val="32"/>
          <w:szCs w:val="32"/>
        </w:rPr>
        <w:t>%。具体产出指标完成情况如下：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fldChar w:fldCharType="begin"/>
      </w:r>
      <w:r>
        <w:rPr>
          <w:rFonts w:eastAsia="仿宋_GB2312"/>
          <w:color w:val="000000"/>
          <w:spacing w:val="17"/>
          <w:sz w:val="32"/>
          <w:szCs w:val="32"/>
        </w:rPr>
        <w:instrText xml:space="preserve"> = 1 \* GB3 </w:instrText>
      </w:r>
      <w:r>
        <w:rPr>
          <w:rFonts w:eastAsia="仿宋_GB2312"/>
          <w:color w:val="000000"/>
          <w:spacing w:val="17"/>
          <w:sz w:val="32"/>
          <w:szCs w:val="32"/>
        </w:rPr>
        <w:fldChar w:fldCharType="separate"/>
      </w:r>
      <w:r>
        <w:rPr>
          <w:rFonts w:eastAsia="仿宋_GB2312"/>
          <w:color w:val="000000"/>
          <w:spacing w:val="17"/>
          <w:sz w:val="32"/>
          <w:szCs w:val="32"/>
        </w:rPr>
        <w:t>①</w:t>
      </w:r>
      <w:r>
        <w:rPr>
          <w:rFonts w:eastAsia="仿宋_GB2312"/>
          <w:color w:val="000000"/>
          <w:spacing w:val="17"/>
          <w:sz w:val="32"/>
          <w:szCs w:val="32"/>
        </w:rPr>
        <w:fldChar w:fldCharType="end"/>
      </w:r>
      <w:r>
        <w:rPr>
          <w:rFonts w:eastAsia="仿宋_GB2312"/>
          <w:color w:val="000000"/>
          <w:spacing w:val="17"/>
          <w:sz w:val="32"/>
          <w:szCs w:val="32"/>
        </w:rPr>
        <w:t>数量指标：</w:t>
      </w:r>
    </w:p>
    <w:p>
      <w:pPr>
        <w:spacing w:line="560" w:lineRule="exact"/>
        <w:ind w:firstLine="708" w:firstLineChars="200"/>
        <w:rPr>
          <w:rFonts w:hint="eastAsia" w:eastAsia="仿宋_GB2312"/>
          <w:color w:val="000000"/>
          <w:spacing w:val="17"/>
          <w:sz w:val="32"/>
          <w:szCs w:val="32"/>
        </w:rPr>
      </w:pPr>
      <w:r>
        <w:rPr>
          <w:rFonts w:eastAsia="仿宋_GB2312"/>
          <w:color w:val="000000"/>
          <w:spacing w:val="17"/>
          <w:sz w:val="32"/>
          <w:szCs w:val="32"/>
        </w:rPr>
        <w:t>指标1：政务热线周接通量，指标值：</w:t>
      </w:r>
      <w:r>
        <w:rPr>
          <w:rFonts w:hint="eastAsia" w:eastAsia="仿宋_GB2312"/>
          <w:color w:val="000000"/>
          <w:spacing w:val="17"/>
          <w:sz w:val="32"/>
          <w:szCs w:val="32"/>
        </w:rPr>
        <w:t>&gt;=1700通</w:t>
      </w:r>
      <w:r>
        <w:rPr>
          <w:rFonts w:eastAsia="仿宋_GB2312"/>
          <w:color w:val="000000"/>
          <w:spacing w:val="17"/>
          <w:sz w:val="32"/>
          <w:szCs w:val="32"/>
        </w:rPr>
        <w:t>，实际完成值：</w:t>
      </w:r>
      <w:r>
        <w:rPr>
          <w:rFonts w:hint="eastAsia" w:eastAsia="仿宋_GB2312"/>
          <w:color w:val="000000"/>
          <w:spacing w:val="17"/>
          <w:sz w:val="32"/>
          <w:szCs w:val="32"/>
        </w:rPr>
        <w:t>2300通</w:t>
      </w:r>
      <w:r>
        <w:rPr>
          <w:rFonts w:eastAsia="仿宋_GB2312"/>
          <w:color w:val="000000"/>
          <w:spacing w:val="17"/>
          <w:sz w:val="32"/>
          <w:szCs w:val="32"/>
        </w:rPr>
        <w:t>，指标完成率</w:t>
      </w:r>
      <w:r>
        <w:rPr>
          <w:rFonts w:hint="eastAsia" w:eastAsia="仿宋_GB2312"/>
          <w:color w:val="000000"/>
          <w:spacing w:val="17"/>
          <w:sz w:val="32"/>
          <w:szCs w:val="32"/>
        </w:rPr>
        <w:t>135.29</w:t>
      </w:r>
      <w:r>
        <w:rPr>
          <w:rFonts w:eastAsia="仿宋_GB2312"/>
          <w:color w:val="000000"/>
          <w:spacing w:val="17"/>
          <w:sz w:val="32"/>
          <w:szCs w:val="32"/>
        </w:rPr>
        <w:t xml:space="preserve"> %</w:t>
      </w:r>
      <w:r>
        <w:rPr>
          <w:rFonts w:hint="eastAsia" w:eastAsia="仿宋_GB2312"/>
          <w:color w:val="000000"/>
          <w:spacing w:val="17"/>
          <w:sz w:val="32"/>
          <w:szCs w:val="32"/>
        </w:rPr>
        <w:t>。</w:t>
      </w:r>
      <w:r>
        <w:rPr>
          <w:rFonts w:eastAsia="仿宋_GB2312"/>
          <w:color w:val="000000"/>
          <w:spacing w:val="17"/>
          <w:sz w:val="32"/>
          <w:szCs w:val="32"/>
        </w:rPr>
        <w:t>偏差原因：话务员人数增加，接通量增加。改进措施：增加年初指标设定实际合理性。</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fldChar w:fldCharType="begin"/>
      </w:r>
      <w:r>
        <w:rPr>
          <w:rFonts w:eastAsia="仿宋_GB2312"/>
          <w:color w:val="000000"/>
          <w:spacing w:val="17"/>
          <w:sz w:val="32"/>
          <w:szCs w:val="32"/>
        </w:rPr>
        <w:instrText xml:space="preserve"> = 2 \* GB3 </w:instrText>
      </w:r>
      <w:r>
        <w:rPr>
          <w:rFonts w:eastAsia="仿宋_GB2312"/>
          <w:color w:val="000000"/>
          <w:spacing w:val="17"/>
          <w:sz w:val="32"/>
          <w:szCs w:val="32"/>
        </w:rPr>
        <w:fldChar w:fldCharType="separate"/>
      </w:r>
      <w:r>
        <w:rPr>
          <w:rFonts w:eastAsia="仿宋_GB2312"/>
          <w:color w:val="000000"/>
          <w:spacing w:val="17"/>
          <w:sz w:val="32"/>
          <w:szCs w:val="32"/>
        </w:rPr>
        <w:t>②</w:t>
      </w:r>
      <w:r>
        <w:rPr>
          <w:rFonts w:eastAsia="仿宋_GB2312"/>
          <w:color w:val="000000"/>
          <w:spacing w:val="17"/>
          <w:sz w:val="32"/>
          <w:szCs w:val="32"/>
        </w:rPr>
        <w:fldChar w:fldCharType="end"/>
      </w:r>
      <w:r>
        <w:rPr>
          <w:rFonts w:eastAsia="仿宋_GB2312"/>
          <w:color w:val="000000"/>
          <w:spacing w:val="17"/>
          <w:sz w:val="32"/>
          <w:szCs w:val="32"/>
        </w:rPr>
        <w:t>质量指标：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1</w:t>
      </w:r>
      <w:r>
        <w:rPr>
          <w:rFonts w:eastAsia="仿宋_GB2312"/>
          <w:color w:val="000000"/>
          <w:spacing w:val="17"/>
          <w:sz w:val="32"/>
          <w:szCs w:val="32"/>
        </w:rPr>
        <w:t>：政务热线电话接通率，指标值：</w:t>
      </w:r>
      <w:r>
        <w:rPr>
          <w:rFonts w:hint="eastAsia" w:eastAsia="仿宋_GB2312"/>
          <w:color w:val="000000"/>
          <w:spacing w:val="17"/>
          <w:sz w:val="32"/>
          <w:szCs w:val="32"/>
        </w:rPr>
        <w:t>&gt;=97%</w:t>
      </w:r>
      <w:r>
        <w:rPr>
          <w:rFonts w:eastAsia="仿宋_GB2312"/>
          <w:color w:val="000000"/>
          <w:spacing w:val="17"/>
          <w:sz w:val="32"/>
          <w:szCs w:val="32"/>
        </w:rPr>
        <w:t>，实际完成值：</w:t>
      </w:r>
      <w:r>
        <w:rPr>
          <w:rFonts w:hint="eastAsia" w:eastAsia="仿宋_GB2312"/>
          <w:color w:val="000000"/>
          <w:spacing w:val="17"/>
          <w:sz w:val="32"/>
          <w:szCs w:val="32"/>
        </w:rPr>
        <w:t>97%</w:t>
      </w:r>
      <w:r>
        <w:rPr>
          <w:rFonts w:eastAsia="仿宋_GB2312"/>
          <w:color w:val="000000"/>
          <w:spacing w:val="17"/>
          <w:sz w:val="32"/>
          <w:szCs w:val="32"/>
        </w:rPr>
        <w:t>，指标完成率</w:t>
      </w:r>
      <w:r>
        <w:rPr>
          <w:rFonts w:hint="eastAsia" w:eastAsia="仿宋_GB2312"/>
          <w:color w:val="000000"/>
          <w:spacing w:val="17"/>
          <w:sz w:val="32"/>
          <w:szCs w:val="32"/>
        </w:rPr>
        <w:t>100.00</w:t>
      </w:r>
      <w:r>
        <w:rPr>
          <w:rFonts w:eastAsia="仿宋_GB2312"/>
          <w:color w:val="000000"/>
          <w:spacing w:val="17"/>
          <w:sz w:val="32"/>
          <w:szCs w:val="32"/>
        </w:rPr>
        <w:t xml:space="preserve"> %</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2</w:t>
      </w:r>
      <w:r>
        <w:rPr>
          <w:rFonts w:eastAsia="仿宋_GB2312"/>
          <w:color w:val="000000"/>
          <w:spacing w:val="17"/>
          <w:sz w:val="32"/>
          <w:szCs w:val="32"/>
        </w:rPr>
        <w:t>：资金使用合规率，指标值：</w:t>
      </w:r>
      <w:r>
        <w:rPr>
          <w:rFonts w:hint="eastAsia" w:eastAsia="仿宋_GB2312"/>
          <w:color w:val="000000"/>
          <w:spacing w:val="17"/>
          <w:sz w:val="32"/>
          <w:szCs w:val="32"/>
        </w:rPr>
        <w:t>＝100%</w:t>
      </w:r>
      <w:r>
        <w:rPr>
          <w:rFonts w:eastAsia="仿宋_GB2312"/>
          <w:color w:val="000000"/>
          <w:spacing w:val="17"/>
          <w:sz w:val="32"/>
          <w:szCs w:val="32"/>
        </w:rPr>
        <w:t>，实际完成值：</w:t>
      </w:r>
      <w:r>
        <w:rPr>
          <w:rFonts w:hint="eastAsia" w:eastAsia="仿宋_GB2312"/>
          <w:color w:val="000000"/>
          <w:spacing w:val="17"/>
          <w:sz w:val="32"/>
          <w:szCs w:val="32"/>
        </w:rPr>
        <w:t>100%</w:t>
      </w:r>
      <w:r>
        <w:rPr>
          <w:rFonts w:eastAsia="仿宋_GB2312"/>
          <w:color w:val="000000"/>
          <w:spacing w:val="17"/>
          <w:sz w:val="32"/>
          <w:szCs w:val="32"/>
        </w:rPr>
        <w:t>，指标完成率</w:t>
      </w:r>
      <w:r>
        <w:rPr>
          <w:rFonts w:hint="eastAsia" w:eastAsia="仿宋_GB2312"/>
          <w:color w:val="000000"/>
          <w:spacing w:val="17"/>
          <w:sz w:val="32"/>
          <w:szCs w:val="32"/>
        </w:rPr>
        <w:t>100.00</w:t>
      </w:r>
      <w:r>
        <w:rPr>
          <w:rFonts w:eastAsia="仿宋_GB2312"/>
          <w:color w:val="000000"/>
          <w:spacing w:val="17"/>
          <w:sz w:val="32"/>
          <w:szCs w:val="32"/>
        </w:rPr>
        <w:t>%</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fldChar w:fldCharType="begin"/>
      </w:r>
      <w:r>
        <w:rPr>
          <w:rFonts w:eastAsia="仿宋_GB2312"/>
          <w:color w:val="000000"/>
          <w:spacing w:val="17"/>
          <w:sz w:val="32"/>
          <w:szCs w:val="32"/>
        </w:rPr>
        <w:instrText xml:space="preserve"> = 3 \* GB3 </w:instrText>
      </w:r>
      <w:r>
        <w:rPr>
          <w:rFonts w:eastAsia="仿宋_GB2312"/>
          <w:color w:val="000000"/>
          <w:spacing w:val="17"/>
          <w:sz w:val="32"/>
          <w:szCs w:val="32"/>
        </w:rPr>
        <w:fldChar w:fldCharType="separate"/>
      </w:r>
      <w:r>
        <w:rPr>
          <w:rFonts w:eastAsia="仿宋_GB2312"/>
          <w:color w:val="000000"/>
          <w:spacing w:val="17"/>
          <w:sz w:val="32"/>
          <w:szCs w:val="32"/>
        </w:rPr>
        <w:t>③</w:t>
      </w:r>
      <w:r>
        <w:rPr>
          <w:rFonts w:eastAsia="仿宋_GB2312"/>
          <w:color w:val="000000"/>
          <w:spacing w:val="17"/>
          <w:sz w:val="32"/>
          <w:szCs w:val="32"/>
        </w:rPr>
        <w:fldChar w:fldCharType="end"/>
      </w:r>
      <w:r>
        <w:rPr>
          <w:rFonts w:eastAsia="仿宋_GB2312"/>
          <w:color w:val="000000"/>
          <w:spacing w:val="17"/>
          <w:sz w:val="32"/>
          <w:szCs w:val="32"/>
        </w:rPr>
        <w:t>时效指标：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1</w:t>
      </w:r>
      <w:r>
        <w:rPr>
          <w:rFonts w:eastAsia="仿宋_GB2312"/>
          <w:color w:val="000000"/>
          <w:spacing w:val="17"/>
          <w:sz w:val="32"/>
          <w:szCs w:val="32"/>
        </w:rPr>
        <w:t>：资金支付及时率，指标值：</w:t>
      </w:r>
      <w:r>
        <w:rPr>
          <w:rFonts w:hint="eastAsia" w:eastAsia="仿宋_GB2312"/>
          <w:color w:val="000000"/>
          <w:spacing w:val="17"/>
          <w:sz w:val="32"/>
          <w:szCs w:val="32"/>
        </w:rPr>
        <w:t>＝100%</w:t>
      </w:r>
      <w:r>
        <w:rPr>
          <w:rFonts w:eastAsia="仿宋_GB2312"/>
          <w:color w:val="000000"/>
          <w:spacing w:val="17"/>
          <w:sz w:val="32"/>
          <w:szCs w:val="32"/>
        </w:rPr>
        <w:t>，实际完成值：</w:t>
      </w:r>
      <w:r>
        <w:rPr>
          <w:rFonts w:hint="eastAsia" w:eastAsia="仿宋_GB2312"/>
          <w:color w:val="000000"/>
          <w:spacing w:val="17"/>
          <w:sz w:val="32"/>
          <w:szCs w:val="32"/>
        </w:rPr>
        <w:t>100%</w:t>
      </w:r>
      <w:r>
        <w:rPr>
          <w:rFonts w:eastAsia="仿宋_GB2312"/>
          <w:color w:val="000000"/>
          <w:spacing w:val="17"/>
          <w:sz w:val="32"/>
          <w:szCs w:val="32"/>
        </w:rPr>
        <w:t>，指标完成率</w:t>
      </w:r>
      <w:r>
        <w:rPr>
          <w:rFonts w:hint="eastAsia" w:eastAsia="仿宋_GB2312"/>
          <w:color w:val="000000"/>
          <w:spacing w:val="17"/>
          <w:sz w:val="32"/>
          <w:szCs w:val="32"/>
        </w:rPr>
        <w:t>100</w:t>
      </w:r>
      <w:r>
        <w:rPr>
          <w:rFonts w:eastAsia="仿宋_GB2312"/>
          <w:color w:val="000000"/>
          <w:spacing w:val="17"/>
          <w:sz w:val="32"/>
          <w:szCs w:val="32"/>
        </w:rPr>
        <w:t xml:space="preserve"> </w:t>
      </w:r>
      <w:r>
        <w:rPr>
          <w:rFonts w:hint="eastAsia" w:eastAsia="仿宋_GB2312"/>
          <w:color w:val="000000"/>
          <w:spacing w:val="17"/>
          <w:sz w:val="32"/>
          <w:szCs w:val="32"/>
        </w:rPr>
        <w:t>.00</w:t>
      </w:r>
      <w:r>
        <w:rPr>
          <w:rFonts w:eastAsia="仿宋_GB2312"/>
          <w:color w:val="000000"/>
          <w:spacing w:val="17"/>
          <w:sz w:val="32"/>
          <w:szCs w:val="32"/>
        </w:rPr>
        <w:t>%</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fldChar w:fldCharType="begin"/>
      </w:r>
      <w:r>
        <w:rPr>
          <w:rFonts w:eastAsia="仿宋_GB2312"/>
          <w:color w:val="000000"/>
          <w:spacing w:val="17"/>
          <w:sz w:val="32"/>
          <w:szCs w:val="32"/>
        </w:rPr>
        <w:instrText xml:space="preserve"> = 4 \* GB3 </w:instrText>
      </w:r>
      <w:r>
        <w:rPr>
          <w:rFonts w:eastAsia="仿宋_GB2312"/>
          <w:color w:val="000000"/>
          <w:spacing w:val="17"/>
          <w:sz w:val="32"/>
          <w:szCs w:val="32"/>
        </w:rPr>
        <w:fldChar w:fldCharType="separate"/>
      </w:r>
      <w:r>
        <w:rPr>
          <w:rFonts w:eastAsia="仿宋_GB2312"/>
          <w:color w:val="000000"/>
          <w:spacing w:val="17"/>
          <w:sz w:val="32"/>
          <w:szCs w:val="32"/>
        </w:rPr>
        <w:t>④</w:t>
      </w:r>
      <w:r>
        <w:rPr>
          <w:rFonts w:eastAsia="仿宋_GB2312"/>
          <w:color w:val="000000"/>
          <w:spacing w:val="17"/>
          <w:sz w:val="32"/>
          <w:szCs w:val="32"/>
        </w:rPr>
        <w:fldChar w:fldCharType="end"/>
      </w:r>
      <w:r>
        <w:rPr>
          <w:rFonts w:eastAsia="仿宋_GB2312"/>
          <w:color w:val="000000"/>
          <w:spacing w:val="17"/>
          <w:sz w:val="32"/>
          <w:szCs w:val="32"/>
        </w:rPr>
        <w:t>成本指标：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1</w:t>
      </w:r>
      <w:r>
        <w:rPr>
          <w:rFonts w:eastAsia="仿宋_GB2312"/>
          <w:color w:val="000000"/>
          <w:spacing w:val="17"/>
          <w:sz w:val="32"/>
          <w:szCs w:val="32"/>
        </w:rPr>
        <w:t>：政务热线年服务费，指标值：</w:t>
      </w:r>
      <w:r>
        <w:rPr>
          <w:rFonts w:hint="eastAsia" w:eastAsia="仿宋_GB2312"/>
          <w:color w:val="000000"/>
          <w:spacing w:val="17"/>
          <w:sz w:val="32"/>
          <w:szCs w:val="32"/>
        </w:rPr>
        <w:t>&lt;=53.89万元</w:t>
      </w:r>
      <w:r>
        <w:rPr>
          <w:rFonts w:eastAsia="仿宋_GB2312"/>
          <w:color w:val="000000"/>
          <w:spacing w:val="17"/>
          <w:sz w:val="32"/>
          <w:szCs w:val="32"/>
        </w:rPr>
        <w:t>，实际完成值：</w:t>
      </w:r>
      <w:r>
        <w:rPr>
          <w:rFonts w:hint="eastAsia" w:eastAsia="仿宋_GB2312"/>
          <w:color w:val="000000"/>
          <w:spacing w:val="17"/>
          <w:sz w:val="32"/>
          <w:szCs w:val="32"/>
        </w:rPr>
        <w:t>53.89万元</w:t>
      </w:r>
      <w:r>
        <w:rPr>
          <w:rFonts w:eastAsia="仿宋_GB2312"/>
          <w:color w:val="000000"/>
          <w:spacing w:val="17"/>
          <w:sz w:val="32"/>
          <w:szCs w:val="32"/>
        </w:rPr>
        <w:t>，指标完成率</w:t>
      </w:r>
      <w:r>
        <w:rPr>
          <w:rFonts w:hint="eastAsia" w:eastAsia="仿宋_GB2312"/>
          <w:color w:val="000000"/>
          <w:spacing w:val="17"/>
          <w:sz w:val="32"/>
          <w:szCs w:val="32"/>
        </w:rPr>
        <w:t>100.00</w:t>
      </w:r>
      <w:r>
        <w:rPr>
          <w:rFonts w:eastAsia="仿宋_GB2312"/>
          <w:color w:val="000000"/>
          <w:spacing w:val="17"/>
          <w:sz w:val="32"/>
          <w:szCs w:val="32"/>
        </w:rPr>
        <w:t xml:space="preserve"> %</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pStyle w:val="7"/>
        <w:numPr>
          <w:ilvl w:val="0"/>
          <w:numId w:val="3"/>
        </w:numPr>
        <w:spacing w:line="560" w:lineRule="exact"/>
        <w:ind w:firstLine="640"/>
        <w:rPr>
          <w:rFonts w:eastAsia="楷体_GB2312"/>
          <w:b/>
          <w:bCs/>
          <w:sz w:val="32"/>
          <w:szCs w:val="32"/>
        </w:rPr>
      </w:pPr>
      <w:r>
        <w:rPr>
          <w:rFonts w:eastAsia="楷体_GB2312"/>
          <w:b/>
          <w:bCs/>
          <w:sz w:val="32"/>
          <w:szCs w:val="32"/>
        </w:rPr>
        <w:t>项目效益情况</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项目效益类指标包括项目实施效益和满意度两方面的内容，由</w:t>
      </w:r>
      <w:r>
        <w:rPr>
          <w:rFonts w:hint="eastAsia" w:eastAsia="仿宋_GB2312"/>
          <w:color w:val="000000"/>
          <w:spacing w:val="17"/>
          <w:sz w:val="32"/>
          <w:szCs w:val="32"/>
        </w:rPr>
        <w:t>2</w:t>
      </w:r>
      <w:r>
        <w:rPr>
          <w:rFonts w:eastAsia="仿宋_GB2312"/>
          <w:color w:val="000000"/>
          <w:spacing w:val="17"/>
          <w:sz w:val="32"/>
          <w:szCs w:val="32"/>
        </w:rPr>
        <w:t>个三级指标构成，权重分为</w:t>
      </w:r>
      <w:r>
        <w:rPr>
          <w:rFonts w:hint="eastAsia" w:eastAsia="仿宋_GB2312"/>
          <w:color w:val="000000"/>
          <w:spacing w:val="17"/>
          <w:sz w:val="32"/>
          <w:szCs w:val="32"/>
        </w:rPr>
        <w:t>20</w:t>
      </w:r>
      <w:r>
        <w:rPr>
          <w:rFonts w:eastAsia="仿宋_GB2312"/>
          <w:color w:val="000000"/>
          <w:spacing w:val="17"/>
          <w:sz w:val="32"/>
          <w:szCs w:val="32"/>
        </w:rPr>
        <w:t>分，实际得分</w:t>
      </w:r>
      <w:r>
        <w:rPr>
          <w:rFonts w:hint="eastAsia" w:eastAsia="仿宋_GB2312"/>
          <w:color w:val="000000"/>
          <w:spacing w:val="17"/>
          <w:sz w:val="32"/>
          <w:szCs w:val="32"/>
        </w:rPr>
        <w:t>20</w:t>
      </w:r>
      <w:r>
        <w:rPr>
          <w:rFonts w:eastAsia="仿宋_GB2312"/>
          <w:color w:val="000000"/>
          <w:spacing w:val="17"/>
          <w:sz w:val="32"/>
          <w:szCs w:val="32"/>
        </w:rPr>
        <w:t>分，得分率为</w:t>
      </w:r>
      <w:r>
        <w:rPr>
          <w:rFonts w:hint="eastAsia" w:eastAsia="仿宋_GB2312"/>
          <w:color w:val="000000"/>
          <w:spacing w:val="17"/>
          <w:sz w:val="32"/>
          <w:szCs w:val="32"/>
        </w:rPr>
        <w:t>100</w:t>
      </w:r>
      <w:r>
        <w:rPr>
          <w:rFonts w:eastAsia="仿宋_GB2312"/>
          <w:color w:val="000000"/>
          <w:spacing w:val="17"/>
          <w:sz w:val="32"/>
          <w:szCs w:val="32"/>
        </w:rPr>
        <w:t>%。具体效益指标及满意度指标完成情况如下：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1.实施效益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①社会效益指标：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1</w:t>
      </w:r>
      <w:r>
        <w:rPr>
          <w:rFonts w:eastAsia="仿宋_GB2312"/>
          <w:color w:val="000000"/>
          <w:spacing w:val="17"/>
          <w:sz w:val="32"/>
          <w:szCs w:val="32"/>
        </w:rPr>
        <w:t>：政务热线知晓率，指标值：</w:t>
      </w:r>
      <w:r>
        <w:rPr>
          <w:rFonts w:hint="eastAsia" w:eastAsia="仿宋_GB2312"/>
          <w:color w:val="000000"/>
          <w:spacing w:val="17"/>
          <w:sz w:val="32"/>
          <w:szCs w:val="32"/>
        </w:rPr>
        <w:t>&gt;=95%</w:t>
      </w:r>
      <w:r>
        <w:rPr>
          <w:rFonts w:eastAsia="仿宋_GB2312"/>
          <w:color w:val="000000"/>
          <w:spacing w:val="17"/>
          <w:sz w:val="32"/>
          <w:szCs w:val="32"/>
        </w:rPr>
        <w:t>，实际完成值：</w:t>
      </w:r>
      <w:r>
        <w:rPr>
          <w:rFonts w:hint="eastAsia" w:eastAsia="仿宋_GB2312"/>
          <w:color w:val="000000"/>
          <w:spacing w:val="17"/>
          <w:sz w:val="32"/>
          <w:szCs w:val="32"/>
        </w:rPr>
        <w:t>95%</w:t>
      </w:r>
      <w:r>
        <w:rPr>
          <w:rFonts w:eastAsia="仿宋_GB2312"/>
          <w:color w:val="000000"/>
          <w:spacing w:val="17"/>
          <w:sz w:val="32"/>
          <w:szCs w:val="32"/>
        </w:rPr>
        <w:t>，指标完成率</w:t>
      </w:r>
      <w:r>
        <w:rPr>
          <w:rFonts w:hint="eastAsia" w:eastAsia="仿宋_GB2312"/>
          <w:color w:val="000000"/>
          <w:spacing w:val="17"/>
          <w:sz w:val="32"/>
          <w:szCs w:val="32"/>
        </w:rPr>
        <w:t>100</w:t>
      </w:r>
      <w:r>
        <w:rPr>
          <w:rFonts w:eastAsia="仿宋_GB2312"/>
          <w:color w:val="000000"/>
          <w:spacing w:val="17"/>
          <w:sz w:val="32"/>
          <w:szCs w:val="32"/>
        </w:rPr>
        <w:t xml:space="preserve"> %</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2.满意度</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w:t>
      </w:r>
      <w:r>
        <w:rPr>
          <w:rFonts w:hint="eastAsia" w:eastAsia="仿宋_GB2312"/>
          <w:color w:val="000000"/>
          <w:spacing w:val="17"/>
          <w:sz w:val="32"/>
          <w:szCs w:val="32"/>
        </w:rPr>
        <w:t>1</w:t>
      </w:r>
      <w:r>
        <w:rPr>
          <w:rFonts w:eastAsia="仿宋_GB2312"/>
          <w:color w:val="000000"/>
          <w:spacing w:val="17"/>
          <w:sz w:val="32"/>
          <w:szCs w:val="32"/>
        </w:rPr>
        <w:t>：满意度，指标值：</w:t>
      </w:r>
      <w:r>
        <w:rPr>
          <w:rFonts w:hint="eastAsia" w:eastAsia="仿宋_GB2312"/>
          <w:color w:val="000000"/>
          <w:spacing w:val="17"/>
          <w:sz w:val="32"/>
          <w:szCs w:val="32"/>
        </w:rPr>
        <w:t>&gt;=95%</w:t>
      </w:r>
      <w:r>
        <w:rPr>
          <w:rFonts w:eastAsia="仿宋_GB2312"/>
          <w:color w:val="000000"/>
          <w:spacing w:val="17"/>
          <w:sz w:val="32"/>
          <w:szCs w:val="32"/>
        </w:rPr>
        <w:t>，实际完成值：</w:t>
      </w:r>
      <w:r>
        <w:rPr>
          <w:rFonts w:hint="eastAsia" w:eastAsia="仿宋_GB2312"/>
          <w:color w:val="000000"/>
          <w:spacing w:val="17"/>
          <w:sz w:val="32"/>
          <w:szCs w:val="32"/>
        </w:rPr>
        <w:t>95%</w:t>
      </w:r>
      <w:r>
        <w:rPr>
          <w:rFonts w:eastAsia="仿宋_GB2312"/>
          <w:color w:val="000000"/>
          <w:spacing w:val="17"/>
          <w:sz w:val="32"/>
          <w:szCs w:val="32"/>
        </w:rPr>
        <w:t>，指标完成率</w:t>
      </w:r>
      <w:r>
        <w:rPr>
          <w:rFonts w:hint="eastAsia" w:eastAsia="仿宋_GB2312"/>
          <w:color w:val="000000"/>
          <w:spacing w:val="17"/>
          <w:sz w:val="32"/>
          <w:szCs w:val="32"/>
        </w:rPr>
        <w:t>100</w:t>
      </w:r>
      <w:r>
        <w:rPr>
          <w:rFonts w:eastAsia="仿宋_GB2312"/>
          <w:color w:val="000000"/>
          <w:spacing w:val="17"/>
          <w:sz w:val="32"/>
          <w:szCs w:val="32"/>
        </w:rPr>
        <w:t xml:space="preserve"> %</w:t>
      </w:r>
      <w:r>
        <w:rPr>
          <w:rFonts w:hint="eastAsia" w:eastAsia="仿宋_GB2312"/>
          <w:color w:val="000000"/>
          <w:spacing w:val="17"/>
          <w:sz w:val="32"/>
          <w:szCs w:val="32"/>
        </w:rPr>
        <w:t>。</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此项权重分值为10分，得分为10分。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（五）预算执行进度与绩效指标总体完成率偏差</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“12345”政务服务热线</w:t>
      </w:r>
      <w:r>
        <w:rPr>
          <w:rFonts w:eastAsia="仿宋_GB2312"/>
          <w:color w:val="000000"/>
          <w:spacing w:val="17"/>
          <w:sz w:val="32"/>
          <w:szCs w:val="32"/>
        </w:rPr>
        <w:t>项目年初预算</w:t>
      </w:r>
      <w:r>
        <w:rPr>
          <w:rFonts w:hint="eastAsia" w:eastAsia="仿宋_GB2312"/>
          <w:color w:val="000000"/>
          <w:spacing w:val="17"/>
          <w:sz w:val="32"/>
          <w:szCs w:val="32"/>
        </w:rPr>
        <w:t>50</w:t>
      </w:r>
      <w:r>
        <w:rPr>
          <w:rFonts w:eastAsia="仿宋_GB2312"/>
          <w:color w:val="000000"/>
          <w:spacing w:val="17"/>
          <w:sz w:val="32"/>
          <w:szCs w:val="32"/>
        </w:rPr>
        <w:t>万元，全年预算</w:t>
      </w:r>
      <w:r>
        <w:rPr>
          <w:rFonts w:hint="eastAsia" w:eastAsia="仿宋_GB2312"/>
          <w:color w:val="000000"/>
          <w:spacing w:val="17"/>
          <w:sz w:val="32"/>
          <w:szCs w:val="32"/>
        </w:rPr>
        <w:t>53.89</w:t>
      </w:r>
      <w:r>
        <w:rPr>
          <w:rFonts w:eastAsia="仿宋_GB2312"/>
          <w:color w:val="000000"/>
          <w:spacing w:val="17"/>
          <w:sz w:val="32"/>
          <w:szCs w:val="32"/>
        </w:rPr>
        <w:t>万元，</w:t>
      </w:r>
      <w:r>
        <w:rPr>
          <w:rFonts w:hint="eastAsia" w:eastAsia="仿宋_GB2312"/>
          <w:color w:val="000000"/>
          <w:spacing w:val="17"/>
          <w:sz w:val="32"/>
          <w:szCs w:val="32"/>
        </w:rPr>
        <w:t>全年</w:t>
      </w:r>
      <w:r>
        <w:rPr>
          <w:rFonts w:eastAsia="仿宋_GB2312"/>
          <w:color w:val="000000"/>
          <w:spacing w:val="17"/>
          <w:sz w:val="32"/>
          <w:szCs w:val="32"/>
        </w:rPr>
        <w:t>实际支出</w:t>
      </w:r>
      <w:r>
        <w:rPr>
          <w:rFonts w:hint="eastAsia" w:eastAsia="仿宋_GB2312"/>
          <w:color w:val="000000"/>
          <w:spacing w:val="17"/>
          <w:sz w:val="32"/>
          <w:szCs w:val="32"/>
        </w:rPr>
        <w:t>53.89</w:t>
      </w:r>
      <w:r>
        <w:rPr>
          <w:rFonts w:eastAsia="仿宋_GB2312"/>
          <w:color w:val="000000"/>
          <w:spacing w:val="17"/>
          <w:sz w:val="32"/>
          <w:szCs w:val="32"/>
        </w:rPr>
        <w:t>万元，预算执行率为</w:t>
      </w:r>
      <w:r>
        <w:rPr>
          <w:rFonts w:hint="eastAsia" w:eastAsia="仿宋_GB2312"/>
          <w:color w:val="000000"/>
          <w:spacing w:val="17"/>
          <w:sz w:val="32"/>
          <w:szCs w:val="32"/>
        </w:rPr>
        <w:t>100</w:t>
      </w:r>
      <w:r>
        <w:rPr>
          <w:rFonts w:eastAsia="仿宋_GB2312"/>
          <w:color w:val="000000"/>
          <w:spacing w:val="17"/>
          <w:sz w:val="32"/>
          <w:szCs w:val="32"/>
        </w:rPr>
        <w:t>%，项目绩效指标总体完成率为</w:t>
      </w:r>
      <w:r>
        <w:rPr>
          <w:rFonts w:hint="eastAsia" w:eastAsia="仿宋_GB2312"/>
          <w:color w:val="000000"/>
          <w:spacing w:val="17"/>
          <w:sz w:val="32"/>
          <w:szCs w:val="32"/>
        </w:rPr>
        <w:t>105.04</w:t>
      </w:r>
      <w:r>
        <w:rPr>
          <w:rFonts w:eastAsia="仿宋_GB2312"/>
          <w:color w:val="000000"/>
          <w:spacing w:val="17"/>
          <w:sz w:val="32"/>
          <w:szCs w:val="32"/>
        </w:rPr>
        <w:t>%，总体偏差率为</w:t>
      </w:r>
      <w:r>
        <w:rPr>
          <w:rFonts w:hint="eastAsia" w:eastAsia="仿宋_GB2312"/>
          <w:color w:val="000000"/>
          <w:spacing w:val="17"/>
          <w:sz w:val="32"/>
          <w:szCs w:val="32"/>
        </w:rPr>
        <w:t>5.04</w:t>
      </w:r>
      <w:r>
        <w:rPr>
          <w:rFonts w:eastAsia="仿宋_GB2312"/>
          <w:color w:val="000000"/>
          <w:spacing w:val="17"/>
          <w:sz w:val="32"/>
          <w:szCs w:val="32"/>
        </w:rPr>
        <w:t>%</w:t>
      </w:r>
      <w:r>
        <w:rPr>
          <w:rFonts w:hint="eastAsia" w:eastAsia="仿宋_GB2312"/>
          <w:color w:val="000000"/>
          <w:spacing w:val="17"/>
          <w:sz w:val="32"/>
          <w:szCs w:val="32"/>
        </w:rPr>
        <w:t>，偏差原因：话务员人数增加，接通量增加，改进措施：增加年初指标设定实际合理性。</w:t>
      </w:r>
    </w:p>
    <w:p>
      <w:pPr>
        <w:spacing w:line="560" w:lineRule="exact"/>
        <w:ind w:firstLine="640" w:firstLineChars="200"/>
        <w:rPr>
          <w:rStyle w:val="20"/>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pPr>
        <w:spacing w:line="560" w:lineRule="exact"/>
        <w:ind w:firstLine="627" w:firstLineChars="200"/>
        <w:rPr>
          <w:rFonts w:ascii="Times New Roman" w:hAnsi="Times New Roman" w:eastAsia="楷体_GB2312" w:cs="Times New Roman"/>
          <w:b/>
          <w:bCs/>
          <w:kern w:val="2"/>
          <w:sz w:val="32"/>
          <w:szCs w:val="32"/>
          <w:lang w:val="en-US" w:eastAsia="zh-CN" w:bidi="ar-SA"/>
        </w:rPr>
      </w:pPr>
      <w:r>
        <w:rPr>
          <w:rFonts w:eastAsia="楷体"/>
          <w:b/>
          <w:spacing w:val="-4"/>
          <w:sz w:val="32"/>
          <w:szCs w:val="32"/>
        </w:rPr>
        <w:t>（一）</w:t>
      </w:r>
      <w:r>
        <w:rPr>
          <w:rFonts w:ascii="Times New Roman" w:hAnsi="Times New Roman" w:eastAsia="楷体_GB2312" w:cs="Times New Roman"/>
          <w:b/>
          <w:bCs/>
          <w:kern w:val="2"/>
          <w:sz w:val="32"/>
          <w:szCs w:val="32"/>
          <w:lang w:val="en-US" w:eastAsia="zh-CN" w:bidi="ar-SA"/>
        </w:rPr>
        <w:t>主要经验及做法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健全考核督查体系：修订热线管理办法考核细则，细化绩效考评细则，全面管控受理总量、直接答复率、工单办结率、问题解决率、群众满意率等指标。完善工单办理流程，健全工单签收、审核、转办、督办、联办、回访机制，明确流转时限、办理标准、答复规范等要素。</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知识库建设与应用：扩充、规范、更新、完善各部门和乡镇的政策知识库，涵盖法律法规、新颁布政策以及供水、供暖收费等民生类常见问题。接到一般类诉求时，工作人员可通过知识库信息直接解答，减少群众等待时间，提升咨询类问题服务质效 。</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3.创新工作机制：</w:t>
      </w:r>
      <w:r>
        <w:rPr>
          <w:rFonts w:hint="eastAsia" w:eastAsia="仿宋_GB2312"/>
          <w:color w:val="000000"/>
          <w:spacing w:val="17"/>
          <w:sz w:val="32"/>
          <w:szCs w:val="32"/>
        </w:rPr>
        <w:t>（一）</w:t>
      </w:r>
      <w:r>
        <w:rPr>
          <w:rFonts w:eastAsia="仿宋_GB2312"/>
          <w:color w:val="000000"/>
          <w:spacing w:val="17"/>
          <w:sz w:val="32"/>
          <w:szCs w:val="32"/>
        </w:rPr>
        <w:t>按紧急程度分类处置工单，并联合多部门协同攻坚复杂问题。12345 热线通过此机制，动态追踪热点问题解决进展，确保民生诉求快速响应</w:t>
      </w:r>
      <w:r>
        <w:rPr>
          <w:rFonts w:hint="eastAsia" w:eastAsia="仿宋_GB2312"/>
          <w:color w:val="000000"/>
          <w:spacing w:val="17"/>
          <w:sz w:val="32"/>
          <w:szCs w:val="32"/>
        </w:rPr>
        <w:t>。（二）</w:t>
      </w:r>
      <w:r>
        <w:rPr>
          <w:rFonts w:eastAsia="仿宋_GB2312"/>
          <w:color w:val="000000"/>
          <w:spacing w:val="17"/>
          <w:sz w:val="32"/>
          <w:szCs w:val="32"/>
        </w:rPr>
        <w:t>工单全量回访：推行工单全量回访制度，对不满意评价进行深度分析，针对性发布民情预警，倒逼承办单位破解 “难点堵点痛点”</w:t>
      </w:r>
      <w:r>
        <w:rPr>
          <w:rFonts w:hint="eastAsia" w:eastAsia="仿宋_GB2312"/>
          <w:color w:val="000000"/>
          <w:spacing w:val="17"/>
          <w:sz w:val="32"/>
          <w:szCs w:val="32"/>
        </w:rPr>
        <w:t>、（三）</w:t>
      </w:r>
      <w:r>
        <w:rPr>
          <w:rFonts w:eastAsia="仿宋_GB2312"/>
          <w:color w:val="000000"/>
          <w:spacing w:val="17"/>
          <w:sz w:val="32"/>
          <w:szCs w:val="32"/>
        </w:rPr>
        <w:t>即接即办机制：创新提出 “即接即办” 机制，根据诉求类型规定不同的办理时限，并对超期未办或群众不满意的工单启动分级督办机制 。</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4.数字赋能与智能化升级：</w:t>
      </w:r>
      <w:r>
        <w:rPr>
          <w:rFonts w:hint="eastAsia" w:eastAsia="仿宋_GB2312"/>
          <w:color w:val="000000"/>
          <w:spacing w:val="17"/>
          <w:sz w:val="32"/>
          <w:szCs w:val="32"/>
        </w:rPr>
        <w:t>（一）</w:t>
      </w:r>
      <w:r>
        <w:rPr>
          <w:rFonts w:eastAsia="仿宋_GB2312"/>
          <w:color w:val="000000"/>
          <w:spacing w:val="17"/>
          <w:sz w:val="32"/>
          <w:szCs w:val="32"/>
        </w:rPr>
        <w:t>整合政务平台：整合</w:t>
      </w:r>
      <w:r>
        <w:rPr>
          <w:rFonts w:hint="eastAsia" w:eastAsia="仿宋_GB2312"/>
          <w:color w:val="000000"/>
          <w:spacing w:val="17"/>
          <w:sz w:val="32"/>
          <w:szCs w:val="32"/>
        </w:rPr>
        <w:t>政务服务</w:t>
      </w:r>
      <w:r>
        <w:rPr>
          <w:rFonts w:eastAsia="仿宋_GB2312"/>
          <w:color w:val="000000"/>
          <w:spacing w:val="17"/>
          <w:sz w:val="32"/>
          <w:szCs w:val="32"/>
        </w:rPr>
        <w:t>网留言、市长信箱等政务平台，实现跨渠道诉求 “一网通办” 。</w:t>
      </w:r>
      <w:r>
        <w:rPr>
          <w:rFonts w:hint="eastAsia" w:eastAsia="仿宋_GB2312"/>
          <w:color w:val="000000"/>
          <w:spacing w:val="17"/>
          <w:sz w:val="32"/>
          <w:szCs w:val="32"/>
        </w:rPr>
        <w:t>（二）</w:t>
      </w:r>
      <w:r>
        <w:rPr>
          <w:rFonts w:eastAsia="仿宋_GB2312"/>
          <w:color w:val="000000"/>
          <w:spacing w:val="17"/>
          <w:sz w:val="32"/>
          <w:szCs w:val="32"/>
        </w:rPr>
        <w:t>升级核心模块：升级工单转派、智能回访等核心模块，提升一次性答复率。创新技术，上线智能回访助手，借助语音识别技术实现工单多点回访、自动分类，提高回访效率和处理精准度</w:t>
      </w:r>
      <w:r>
        <w:rPr>
          <w:rFonts w:hint="eastAsia" w:eastAsia="仿宋_GB2312"/>
          <w:color w:val="000000"/>
          <w:spacing w:val="17"/>
          <w:sz w:val="32"/>
          <w:szCs w:val="32"/>
        </w:rPr>
        <w:t>。（三）</w:t>
      </w:r>
      <w:r>
        <w:rPr>
          <w:rFonts w:eastAsia="仿宋_GB2312"/>
          <w:color w:val="000000"/>
          <w:spacing w:val="17"/>
          <w:sz w:val="32"/>
          <w:szCs w:val="32"/>
        </w:rPr>
        <w:t>数据分析与应用：完成专题分析报告，通过横向比较、纵向比对，梳理高频问题、重点区域，为行业部门落实应对措施提供参考依据；优化功能，实现 “诉求展示更直观、统计分析更精准、热点预警更及时” 等建设目标，将数据统计从实证分析向预测预警拓展 。</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5.强化沟通协调：</w:t>
      </w:r>
      <w:r>
        <w:rPr>
          <w:rFonts w:hint="eastAsia" w:eastAsia="仿宋_GB2312"/>
          <w:color w:val="000000"/>
          <w:spacing w:val="17"/>
          <w:sz w:val="32"/>
          <w:szCs w:val="32"/>
        </w:rPr>
        <w:t>（一）</w:t>
      </w:r>
      <w:r>
        <w:rPr>
          <w:rFonts w:eastAsia="仿宋_GB2312"/>
          <w:color w:val="000000"/>
          <w:spacing w:val="17"/>
          <w:sz w:val="32"/>
          <w:szCs w:val="32"/>
        </w:rPr>
        <w:t>明确派单原则：明确有利于诉求能快速反应、快速处理</w:t>
      </w:r>
      <w:r>
        <w:rPr>
          <w:rFonts w:hint="eastAsia" w:eastAsia="仿宋_GB2312"/>
          <w:color w:val="000000"/>
          <w:spacing w:val="17"/>
          <w:sz w:val="32"/>
          <w:szCs w:val="32"/>
        </w:rPr>
        <w:t>、</w:t>
      </w:r>
      <w:r>
        <w:rPr>
          <w:rFonts w:eastAsia="仿宋_GB2312"/>
          <w:color w:val="000000"/>
          <w:spacing w:val="17"/>
          <w:sz w:val="32"/>
          <w:szCs w:val="32"/>
        </w:rPr>
        <w:t>利于诉求能从根本上得到解决</w:t>
      </w:r>
      <w:r>
        <w:rPr>
          <w:rFonts w:hint="eastAsia" w:eastAsia="仿宋_GB2312"/>
          <w:color w:val="000000"/>
          <w:spacing w:val="17"/>
          <w:sz w:val="32"/>
          <w:szCs w:val="32"/>
        </w:rPr>
        <w:t>、</w:t>
      </w:r>
      <w:r>
        <w:rPr>
          <w:rFonts w:eastAsia="仿宋_GB2312"/>
          <w:color w:val="000000"/>
          <w:spacing w:val="17"/>
          <w:sz w:val="32"/>
          <w:szCs w:val="32"/>
        </w:rPr>
        <w:t>属地管理和部门指导相统筹</w:t>
      </w:r>
      <w:r>
        <w:rPr>
          <w:rFonts w:hint="eastAsia" w:eastAsia="仿宋_GB2312"/>
          <w:color w:val="000000"/>
          <w:spacing w:val="17"/>
          <w:sz w:val="32"/>
          <w:szCs w:val="32"/>
        </w:rPr>
        <w:t>、</w:t>
      </w:r>
      <w:r>
        <w:rPr>
          <w:rFonts w:eastAsia="仿宋_GB2312"/>
          <w:color w:val="000000"/>
          <w:spacing w:val="17"/>
          <w:sz w:val="32"/>
          <w:szCs w:val="32"/>
        </w:rPr>
        <w:t>谁主管、谁负责、谁监管、谁负责等派单原则，提升派单精准度</w:t>
      </w:r>
      <w:r>
        <w:rPr>
          <w:rFonts w:hint="eastAsia" w:eastAsia="仿宋_GB2312"/>
          <w:color w:val="000000"/>
          <w:spacing w:val="17"/>
          <w:sz w:val="32"/>
          <w:szCs w:val="32"/>
        </w:rPr>
        <w:t>。（二）</w:t>
      </w:r>
      <w:r>
        <w:rPr>
          <w:rFonts w:eastAsia="仿宋_GB2312"/>
          <w:color w:val="000000"/>
          <w:spacing w:val="17"/>
          <w:sz w:val="32"/>
          <w:szCs w:val="32"/>
        </w:rPr>
        <w:t>多管齐下：分类协调日常个性和长期共性问题，对敏感性、集中性、紧急性等个别工单事项召开专题协调会；会同相关部门</w:t>
      </w:r>
      <w:r>
        <w:rPr>
          <w:rFonts w:hint="eastAsia" w:eastAsia="仿宋_GB2312"/>
          <w:color w:val="000000"/>
          <w:spacing w:val="17"/>
          <w:sz w:val="32"/>
          <w:szCs w:val="32"/>
        </w:rPr>
        <w:t>对</w:t>
      </w:r>
      <w:r>
        <w:rPr>
          <w:rFonts w:eastAsia="仿宋_GB2312"/>
          <w:color w:val="000000"/>
          <w:spacing w:val="17"/>
          <w:sz w:val="32"/>
          <w:szCs w:val="32"/>
        </w:rPr>
        <w:t>多次反映等共性问题召开联合审定会议；对重大疑难、存在推诿等事项提请分管领导介入协调，同时将有关情况汇总报送至纪委监委 。</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6.提升服务意识与能力：</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开展热线工单业务培训</w:t>
      </w:r>
      <w:r>
        <w:rPr>
          <w:rFonts w:hint="eastAsia" w:eastAsia="仿宋_GB2312"/>
          <w:color w:val="000000"/>
          <w:spacing w:val="17"/>
          <w:sz w:val="32"/>
          <w:szCs w:val="32"/>
        </w:rPr>
        <w:t>，</w:t>
      </w:r>
      <w:r>
        <w:rPr>
          <w:rFonts w:eastAsia="仿宋_GB2312"/>
          <w:color w:val="000000"/>
          <w:spacing w:val="17"/>
          <w:sz w:val="32"/>
          <w:szCs w:val="32"/>
        </w:rPr>
        <w:t>建立现场协调督办机制，组织承办单位到现场一线了解核实工单诉求问题情况，找准根源，指定牵头和配合部门，解决市民诉求</w:t>
      </w:r>
      <w:r>
        <w:rPr>
          <w:rFonts w:hint="eastAsia" w:eastAsia="仿宋_GB2312"/>
          <w:color w:val="000000"/>
          <w:spacing w:val="17"/>
          <w:sz w:val="32"/>
          <w:szCs w:val="32"/>
        </w:rPr>
        <w:t>。</w:t>
      </w:r>
      <w:r>
        <w:rPr>
          <w:rFonts w:eastAsia="仿宋_GB2312"/>
          <w:color w:val="000000"/>
          <w:spacing w:val="17"/>
          <w:sz w:val="32"/>
          <w:szCs w:val="32"/>
        </w:rPr>
        <w:t>开展岗位技能竞赛活动，以赛促学、以赛促练、以赛促干，树立岗位标兵，提升热线工作者为民服务意识、理论知识水平和业务实践能力</w:t>
      </w:r>
      <w:r>
        <w:rPr>
          <w:rFonts w:hint="eastAsia" w:eastAsia="仿宋_GB2312"/>
          <w:color w:val="000000"/>
          <w:spacing w:val="17"/>
          <w:sz w:val="32"/>
          <w:szCs w:val="32"/>
        </w:rPr>
        <w:t>。</w:t>
      </w:r>
    </w:p>
    <w:p>
      <w:pPr>
        <w:keepNext/>
        <w:keepLines/>
        <w:numPr>
          <w:ilvl w:val="0"/>
          <w:numId w:val="4"/>
        </w:numPr>
        <w:spacing w:line="560" w:lineRule="exact"/>
        <w:ind w:firstLine="643" w:firstLineChars="200"/>
        <w:rPr>
          <w:rFonts w:eastAsia="楷体_GB2312"/>
          <w:b/>
          <w:bCs/>
          <w:sz w:val="32"/>
          <w:szCs w:val="32"/>
        </w:rPr>
      </w:pPr>
      <w:r>
        <w:rPr>
          <w:rFonts w:eastAsia="楷体_GB2312"/>
          <w:b/>
          <w:bCs/>
          <w:sz w:val="32"/>
          <w:szCs w:val="32"/>
        </w:rPr>
        <w:t>存在的问题及原因分析</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1.相关绩效管理方面专业知识</w:t>
      </w:r>
      <w:r>
        <w:rPr>
          <w:rFonts w:hint="eastAsia" w:eastAsia="仿宋_GB2312"/>
          <w:color w:val="000000"/>
          <w:spacing w:val="17"/>
          <w:sz w:val="32"/>
          <w:szCs w:val="32"/>
          <w:lang w:eastAsia="zh-CN"/>
        </w:rPr>
        <w:t>专业性不强。主要原因是对绩效管管理专业知识缺乏</w:t>
      </w:r>
      <w:r>
        <w:rPr>
          <w:rFonts w:eastAsia="仿宋_GB2312"/>
          <w:color w:val="000000"/>
          <w:spacing w:val="17"/>
          <w:sz w:val="32"/>
          <w:szCs w:val="32"/>
        </w:rPr>
        <w:t>系统性学习</w:t>
      </w:r>
      <w:r>
        <w:rPr>
          <w:rFonts w:hint="eastAsia" w:eastAsia="仿宋_GB2312"/>
          <w:color w:val="000000"/>
          <w:spacing w:val="17"/>
          <w:sz w:val="32"/>
          <w:szCs w:val="32"/>
          <w:lang w:eastAsia="zh-CN"/>
        </w:rPr>
        <w:t>，绩效</w:t>
      </w:r>
      <w:r>
        <w:rPr>
          <w:rFonts w:eastAsia="仿宋_GB2312"/>
          <w:color w:val="000000"/>
          <w:spacing w:val="17"/>
          <w:sz w:val="32"/>
          <w:szCs w:val="32"/>
        </w:rPr>
        <w:t>评价工作还存在自我审定的局限性，影响评价质量。</w:t>
      </w:r>
    </w:p>
    <w:p>
      <w:pPr>
        <w:spacing w:line="560" w:lineRule="exact"/>
        <w:ind w:firstLine="708" w:firstLineChars="200"/>
        <w:rPr>
          <w:rFonts w:hint="eastAsia" w:eastAsia="仿宋_GB2312"/>
          <w:color w:val="000000"/>
          <w:spacing w:val="17"/>
          <w:sz w:val="32"/>
          <w:szCs w:val="32"/>
          <w:lang w:eastAsia="zh-CN"/>
        </w:rPr>
      </w:pPr>
      <w:r>
        <w:rPr>
          <w:rFonts w:hint="eastAsia" w:eastAsia="仿宋_GB2312"/>
          <w:color w:val="000000"/>
          <w:spacing w:val="17"/>
          <w:sz w:val="32"/>
          <w:szCs w:val="32"/>
          <w:lang w:val="en-US" w:eastAsia="zh-CN"/>
        </w:rPr>
        <w:t>2、</w:t>
      </w:r>
      <w:r>
        <w:rPr>
          <w:rFonts w:eastAsia="仿宋_GB2312"/>
          <w:color w:val="000000"/>
          <w:spacing w:val="17"/>
          <w:sz w:val="32"/>
          <w:szCs w:val="32"/>
        </w:rPr>
        <w:t>各项指标的设置</w:t>
      </w:r>
      <w:r>
        <w:rPr>
          <w:rFonts w:hint="eastAsia" w:eastAsia="仿宋_GB2312"/>
          <w:color w:val="000000"/>
          <w:spacing w:val="17"/>
          <w:sz w:val="32"/>
          <w:szCs w:val="32"/>
          <w:lang w:eastAsia="zh-CN"/>
        </w:rPr>
        <w:t>缺乏精细化。主要原因是</w:t>
      </w:r>
      <w:r>
        <w:rPr>
          <w:rFonts w:eastAsia="仿宋_GB2312"/>
          <w:color w:val="000000"/>
          <w:spacing w:val="17"/>
          <w:sz w:val="32"/>
          <w:szCs w:val="32"/>
        </w:rPr>
        <w:t>在绩效</w:t>
      </w:r>
      <w:r>
        <w:rPr>
          <w:rFonts w:hint="eastAsia" w:eastAsia="仿宋_GB2312"/>
          <w:color w:val="000000"/>
          <w:spacing w:val="17"/>
          <w:sz w:val="32"/>
          <w:szCs w:val="32"/>
          <w:lang w:eastAsia="zh-CN"/>
        </w:rPr>
        <w:t>管理评价</w:t>
      </w:r>
      <w:r>
        <w:rPr>
          <w:rFonts w:eastAsia="仿宋_GB2312"/>
          <w:color w:val="000000"/>
          <w:spacing w:val="17"/>
          <w:sz w:val="32"/>
          <w:szCs w:val="32"/>
        </w:rPr>
        <w:t>过程中，</w:t>
      </w:r>
      <w:r>
        <w:rPr>
          <w:rFonts w:hint="eastAsia" w:eastAsia="仿宋_GB2312"/>
          <w:color w:val="000000"/>
          <w:spacing w:val="17"/>
          <w:sz w:val="32"/>
          <w:szCs w:val="32"/>
          <w:lang w:eastAsia="zh-CN"/>
        </w:rPr>
        <w:t>与我单位项目绩效相关类的专业性知识缺乏，造成年初对各项指标的设置模糊，界定不准确。</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lang w:val="en-US" w:eastAsia="zh-CN"/>
        </w:rPr>
        <w:t>3.</w:t>
      </w:r>
      <w:r>
        <w:rPr>
          <w:rFonts w:eastAsia="仿宋_GB2312"/>
          <w:color w:val="000000"/>
          <w:spacing w:val="17"/>
          <w:sz w:val="32"/>
          <w:szCs w:val="32"/>
        </w:rPr>
        <w:t>绩效工作</w:t>
      </w:r>
      <w:r>
        <w:rPr>
          <w:rFonts w:hint="eastAsia" w:eastAsia="仿宋_GB2312"/>
          <w:color w:val="000000"/>
          <w:spacing w:val="17"/>
          <w:sz w:val="32"/>
          <w:szCs w:val="32"/>
          <w:lang w:eastAsia="zh-CN"/>
        </w:rPr>
        <w:t>衔接</w:t>
      </w:r>
      <w:r>
        <w:rPr>
          <w:rFonts w:eastAsia="仿宋_GB2312"/>
          <w:color w:val="000000"/>
          <w:spacing w:val="17"/>
          <w:sz w:val="32"/>
          <w:szCs w:val="32"/>
        </w:rPr>
        <w:t>不到位。</w:t>
      </w:r>
      <w:r>
        <w:rPr>
          <w:rFonts w:hint="eastAsia" w:eastAsia="仿宋_GB2312"/>
          <w:color w:val="000000"/>
          <w:spacing w:val="17"/>
          <w:sz w:val="32"/>
          <w:szCs w:val="32"/>
          <w:lang w:eastAsia="zh-CN"/>
        </w:rPr>
        <w:t>主要原因是负责绩效工作的</w:t>
      </w:r>
      <w:r>
        <w:rPr>
          <w:rFonts w:eastAsia="仿宋_GB2312"/>
          <w:color w:val="000000"/>
          <w:spacing w:val="17"/>
          <w:sz w:val="32"/>
          <w:szCs w:val="32"/>
        </w:rPr>
        <w:t>人员流动频繁，轮岗、调动</w:t>
      </w:r>
      <w:r>
        <w:rPr>
          <w:rFonts w:hint="eastAsia" w:eastAsia="仿宋_GB2312"/>
          <w:color w:val="000000"/>
          <w:spacing w:val="17"/>
          <w:sz w:val="32"/>
          <w:szCs w:val="32"/>
        </w:rPr>
        <w:t>等</w:t>
      </w:r>
      <w:r>
        <w:rPr>
          <w:rFonts w:eastAsia="仿宋_GB2312"/>
          <w:color w:val="000000"/>
          <w:spacing w:val="17"/>
          <w:sz w:val="32"/>
          <w:szCs w:val="32"/>
        </w:rPr>
        <w:t>因素</w:t>
      </w:r>
      <w:r>
        <w:rPr>
          <w:rFonts w:hint="eastAsia" w:eastAsia="仿宋_GB2312"/>
          <w:color w:val="000000"/>
          <w:spacing w:val="17"/>
          <w:sz w:val="32"/>
          <w:szCs w:val="32"/>
          <w:lang w:eastAsia="zh-CN"/>
        </w:rPr>
        <w:t>造成绩效工作缺乏延续性。</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lang w:val="en-US" w:eastAsia="zh-CN"/>
        </w:rPr>
        <w:t>4</w:t>
      </w:r>
      <w:r>
        <w:rPr>
          <w:rFonts w:eastAsia="仿宋_GB2312"/>
          <w:color w:val="000000"/>
          <w:spacing w:val="17"/>
          <w:sz w:val="32"/>
          <w:szCs w:val="32"/>
        </w:rPr>
        <w:t>.</w:t>
      </w:r>
      <w:r>
        <w:rPr>
          <w:rFonts w:hint="eastAsia" w:eastAsia="仿宋_GB2312"/>
          <w:color w:val="000000"/>
          <w:spacing w:val="17"/>
          <w:sz w:val="32"/>
          <w:szCs w:val="32"/>
          <w:lang w:eastAsia="zh-CN"/>
        </w:rPr>
        <w:t>国家新出台</w:t>
      </w:r>
      <w:r>
        <w:rPr>
          <w:rFonts w:eastAsia="仿宋_GB2312"/>
          <w:color w:val="000000"/>
          <w:spacing w:val="17"/>
          <w:sz w:val="32"/>
          <w:szCs w:val="32"/>
        </w:rPr>
        <w:t>相关</w:t>
      </w:r>
      <w:r>
        <w:rPr>
          <w:rFonts w:hint="eastAsia" w:eastAsia="仿宋_GB2312"/>
          <w:color w:val="000000"/>
          <w:spacing w:val="17"/>
          <w:sz w:val="32"/>
          <w:szCs w:val="32"/>
          <w:lang w:eastAsia="zh-CN"/>
        </w:rPr>
        <w:t>行业</w:t>
      </w:r>
      <w:r>
        <w:rPr>
          <w:rFonts w:eastAsia="仿宋_GB2312"/>
          <w:color w:val="000000"/>
          <w:spacing w:val="17"/>
          <w:sz w:val="32"/>
          <w:szCs w:val="32"/>
        </w:rPr>
        <w:t>绩效管理专业知识</w:t>
      </w:r>
      <w:r>
        <w:rPr>
          <w:rFonts w:hint="eastAsia" w:eastAsia="仿宋_GB2312"/>
          <w:color w:val="000000"/>
          <w:spacing w:val="17"/>
          <w:sz w:val="32"/>
          <w:szCs w:val="32"/>
          <w:lang w:eastAsia="zh-CN"/>
        </w:rPr>
        <w:t>更新不及时。主要原因是目前国家暂</w:t>
      </w:r>
      <w:r>
        <w:rPr>
          <w:rFonts w:hint="eastAsia" w:eastAsia="仿宋_GB2312"/>
          <w:color w:val="000000"/>
          <w:spacing w:val="17"/>
          <w:sz w:val="32"/>
          <w:szCs w:val="32"/>
        </w:rPr>
        <w:t>没有出台专业标准化的相关行业项目指标设定标准</w:t>
      </w:r>
      <w:r>
        <w:rPr>
          <w:rFonts w:hint="eastAsia" w:eastAsia="仿宋_GB2312"/>
          <w:color w:val="000000"/>
          <w:spacing w:val="17"/>
          <w:sz w:val="32"/>
          <w:szCs w:val="32"/>
          <w:lang w:eastAsia="zh-CN"/>
        </w:rPr>
        <w:t>，应及时参</w:t>
      </w:r>
      <w:bookmarkStart w:id="3" w:name="_GoBack"/>
      <w:bookmarkEnd w:id="3"/>
      <w:r>
        <w:rPr>
          <w:rFonts w:hint="eastAsia" w:eastAsia="仿宋_GB2312"/>
          <w:color w:val="000000"/>
          <w:spacing w:val="17"/>
          <w:sz w:val="32"/>
          <w:szCs w:val="32"/>
          <w:lang w:eastAsia="zh-CN"/>
        </w:rPr>
        <w:t>考相类似的项目指标设定标准，力争行业指标更贴近实际</w:t>
      </w:r>
      <w:r>
        <w:rPr>
          <w:rFonts w:hint="eastAsia" w:eastAsia="仿宋_GB2312"/>
          <w:color w:val="000000"/>
          <w:spacing w:val="17"/>
          <w:sz w:val="32"/>
          <w:szCs w:val="32"/>
        </w:rPr>
        <w:t>。</w:t>
      </w:r>
    </w:p>
    <w:p>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1.多进行有关绩效管理工作方面的培训。积极</w:t>
      </w:r>
      <w:r>
        <w:rPr>
          <w:rFonts w:hint="eastAsia" w:eastAsia="仿宋_GB2312"/>
          <w:color w:val="000000"/>
          <w:spacing w:val="17"/>
          <w:sz w:val="32"/>
          <w:szCs w:val="32"/>
        </w:rPr>
        <w:t>参加</w:t>
      </w:r>
      <w:r>
        <w:rPr>
          <w:rFonts w:eastAsia="仿宋_GB2312"/>
          <w:color w:val="000000"/>
          <w:spacing w:val="17"/>
          <w:sz w:val="32"/>
          <w:szCs w:val="32"/>
        </w:rPr>
        <w:t>第三方开展绩效管理工作</w:t>
      </w:r>
      <w:r>
        <w:rPr>
          <w:rFonts w:hint="eastAsia" w:eastAsia="仿宋_GB2312"/>
          <w:color w:val="000000"/>
          <w:spacing w:val="17"/>
          <w:sz w:val="32"/>
          <w:szCs w:val="32"/>
        </w:rPr>
        <w:t>的</w:t>
      </w:r>
      <w:r>
        <w:rPr>
          <w:rFonts w:eastAsia="仿宋_GB2312"/>
          <w:color w:val="000000"/>
          <w:spacing w:val="17"/>
          <w:sz w:val="32"/>
          <w:szCs w:val="32"/>
        </w:rPr>
        <w:t>培训，进一步夯实业务基础，提高我单位绩效人员水平。</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2.专门设定对绩效工作人员定职、定岗、定责等相关制度措施，进一步提升我单位绩效管理工作业务水平，扎实做好绩效管理工作。</w:t>
      </w:r>
    </w:p>
    <w:p>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3</w:t>
      </w:r>
      <w:r>
        <w:rPr>
          <w:rFonts w:eastAsia="仿宋_GB2312"/>
          <w:color w:val="000000"/>
          <w:spacing w:val="17"/>
          <w:sz w:val="32"/>
          <w:szCs w:val="32"/>
        </w:rPr>
        <w:t>.进一步完善项目评价过程中有关数据和资料的收集、整理、审核及分析。项目启动时同步做好档案的归纳与整理，及时整理、收集、汇总，健全档案资料。项目后续管理有待进一步加强和跟踪。</w:t>
      </w:r>
    </w:p>
    <w:p>
      <w:pPr>
        <w:spacing w:line="560" w:lineRule="exact"/>
        <w:ind w:firstLine="708" w:firstLineChars="200"/>
        <w:rPr>
          <w:rFonts w:eastAsia="仿宋_GB2312"/>
          <w:sz w:val="32"/>
          <w:szCs w:val="32"/>
        </w:rPr>
      </w:pPr>
      <w:r>
        <w:rPr>
          <w:rFonts w:eastAsia="仿宋_GB2312"/>
          <w:color w:val="000000"/>
          <w:spacing w:val="17"/>
          <w:sz w:val="32"/>
          <w:szCs w:val="32"/>
        </w:rPr>
        <w:t>5.进一步加强对绩效管理工作的组织领导，提高对预算绩效管理工作重要性的认识，总结经验查找问题，抓紧研究制定更全面更完善的绩效评价管理办法。建立绩效工作考核制度，加大对全面实施预算绩效管理和绩效管理工作的学习力度，让“花钱必问效，无效必问责”的理念深入工作每个环节。</w:t>
      </w:r>
    </w:p>
    <w:p>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0" w:name="page8"/>
      <w:bookmarkEnd w:id="0"/>
      <w:r>
        <w:rPr>
          <w:rFonts w:eastAsia="黑体"/>
          <w:sz w:val="32"/>
          <w:szCs w:val="32"/>
        </w:rPr>
        <w:t>明的问题</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本项目无其他需说明的问题。</w:t>
      </w:r>
    </w:p>
    <w:p>
      <w:pPr>
        <w:pStyle w:val="15"/>
        <w:spacing w:after="0" w:line="560" w:lineRule="exact"/>
        <w:ind w:left="0" w:leftChars="0" w:firstLine="640"/>
        <w:rPr>
          <w:rFonts w:ascii="Times New Roman" w:hAnsi="Times New Roman" w:eastAsia="仿宋_GB2312"/>
          <w:sz w:val="32"/>
          <w:szCs w:val="32"/>
        </w:rPr>
      </w:pPr>
    </w:p>
    <w:p>
      <w:pPr>
        <w:pStyle w:val="15"/>
        <w:spacing w:after="0" w:line="560" w:lineRule="exact"/>
        <w:ind w:left="0" w:leftChars="0" w:firstLine="640"/>
        <w:rPr>
          <w:rFonts w:ascii="Times New Roman" w:hAnsi="Times New Roman" w:eastAsia="仿宋_GB2312"/>
          <w:sz w:val="32"/>
          <w:szCs w:val="32"/>
        </w:rPr>
      </w:pPr>
    </w:p>
    <w:p>
      <w:pPr>
        <w:pStyle w:val="15"/>
        <w:spacing w:after="0" w:line="560" w:lineRule="exact"/>
        <w:ind w:left="0" w:leftChars="0" w:firstLine="640"/>
        <w:rPr>
          <w:rFonts w:ascii="Times New Roman" w:hAnsi="Times New Roman" w:eastAsia="仿宋_GB2312"/>
          <w:sz w:val="32"/>
          <w:szCs w:val="32"/>
        </w:rPr>
      </w:pPr>
    </w:p>
    <w:p>
      <w:pPr>
        <w:pStyle w:val="15"/>
        <w:spacing w:after="0" w:line="560" w:lineRule="exact"/>
        <w:ind w:left="0" w:leftChars="0" w:firstLine="0" w:firstLineChars="0"/>
        <w:rPr>
          <w:rFonts w:ascii="Times New Roman" w:hAnsi="Times New Roman" w:eastAsia="仿宋_GB2312"/>
          <w:sz w:val="32"/>
          <w:szCs w:val="32"/>
        </w:rPr>
      </w:pPr>
    </w:p>
    <w:p>
      <w:pPr>
        <w:spacing w:line="560" w:lineRule="exact"/>
        <w:ind w:firstLine="640" w:firstLineChars="200"/>
        <w:rPr>
          <w:rFonts w:eastAsia="黑体"/>
          <w:sz w:val="32"/>
          <w:szCs w:val="32"/>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eastAsia="黑体"/>
          <w:sz w:val="32"/>
          <w:szCs w:val="32"/>
        </w:rPr>
      </w:pPr>
      <w:r>
        <w:rPr>
          <w:rFonts w:hint="eastAsia" w:eastAsia="黑体"/>
          <w:sz w:val="32"/>
          <w:szCs w:val="32"/>
        </w:rPr>
        <w:t>附件1</w:t>
      </w:r>
    </w:p>
    <w:p>
      <w:pPr>
        <w:pStyle w:val="21"/>
        <w:ind w:firstLine="562"/>
        <w:jc w:val="center"/>
        <w:rPr>
          <w:rFonts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yellow"/>
        </w:rPr>
        <w:t>“12345”政务服务热线项目</w:t>
      </w:r>
      <w:r>
        <w:rPr>
          <w:rFonts w:hint="eastAsia" w:ascii="仿宋_GB2312" w:hAnsi="仿宋_GB2312" w:eastAsia="仿宋_GB2312" w:cs="仿宋_GB2312"/>
          <w:b/>
          <w:bCs/>
          <w:sz w:val="28"/>
          <w:szCs w:val="40"/>
        </w:rPr>
        <w:t>绩效评价指标体系及综合评分表</w:t>
      </w:r>
      <w:bookmarkEnd w:id="1"/>
      <w:bookmarkEnd w:id="2"/>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394"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2055"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p>
          <w:p>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p>
          <w:p>
            <w:pPr>
              <w:spacing w:line="0" w:lineRule="atLeast"/>
              <w:jc w:val="center"/>
              <w:rPr>
                <w:rFonts w:eastAsia="仿宋_GB2312"/>
                <w:color w:val="000000"/>
                <w:kern w:val="0"/>
                <w:sz w:val="18"/>
                <w:szCs w:val="18"/>
              </w:rPr>
            </w:pPr>
            <w:r>
              <w:rPr>
                <w:rFonts w:eastAsia="仿宋_GB2312"/>
                <w:color w:val="000000"/>
                <w:kern w:val="0"/>
                <w:sz w:val="18"/>
                <w:szCs w:val="18"/>
              </w:rPr>
              <w:t>过程</w:t>
            </w:r>
          </w:p>
          <w:p>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continue"/>
            <w:shd w:val="clear" w:color="auto" w:fill="FFFFFF"/>
            <w:vAlign w:val="center"/>
          </w:tcPr>
          <w:p>
            <w:pPr>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eastAsia="仿宋_GB2312"/>
                <w:color w:val="000000"/>
                <w:kern w:val="0"/>
                <w:sz w:val="18"/>
                <w:szCs w:val="18"/>
              </w:rPr>
            </w:pPr>
          </w:p>
        </w:tc>
        <w:tc>
          <w:tcPr>
            <w:tcW w:w="394" w:type="pct"/>
            <w:shd w:val="clear" w:color="auto" w:fill="FFFFFF"/>
            <w:vAlign w:val="center"/>
          </w:tcPr>
          <w:p>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394" w:type="pct"/>
            <w:vMerge w:val="restar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2055" w:type="pct"/>
            <w:shd w:val="clear" w:color="auto"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394" w:type="pct"/>
            <w:vMerge w:val="continue"/>
            <w:shd w:val="clear" w:color="auto" w:fill="FFFFFF"/>
            <w:vAlign w:val="center"/>
          </w:tcPr>
          <w:p>
            <w:pPr>
              <w:widowControl/>
              <w:spacing w:line="0" w:lineRule="atLeast"/>
              <w:jc w:val="center"/>
              <w:rPr>
                <w:rFonts w:eastAsia="仿宋_GB2312"/>
                <w:color w:val="000000"/>
                <w:kern w:val="0"/>
                <w:sz w:val="18"/>
                <w:szCs w:val="18"/>
              </w:rPr>
            </w:pPr>
          </w:p>
        </w:tc>
        <w:tc>
          <w:tcPr>
            <w:tcW w:w="422" w:type="pct"/>
            <w:shd w:val="clear" w:color="auto" w:fill="FFFFFF"/>
            <w:vAlign w:val="center"/>
          </w:tcPr>
          <w:p>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10</w:t>
            </w:r>
          </w:p>
        </w:tc>
      </w:tr>
    </w:tbl>
    <w:p/>
    <w:p/>
    <w:p/>
    <w:p>
      <w:pPr>
        <w:sectPr>
          <w:pgSz w:w="16838" w:h="11906" w:orient="landscape"/>
          <w:pgMar w:top="1380" w:right="1440" w:bottom="1558" w:left="1440" w:header="851" w:footer="992" w:gutter="0"/>
          <w:cols w:space="425" w:num="1"/>
          <w:docGrid w:type="lines" w:linePitch="312" w:charSpace="0"/>
        </w:sectPr>
      </w:pPr>
    </w:p>
    <w:p>
      <w:pPr>
        <w:spacing w:line="240" w:lineRule="atLeast"/>
        <w:jc w:val="center"/>
      </w:pPr>
      <w:r>
        <w:drawing>
          <wp:inline distT="0" distB="0" distL="114300" distR="114300">
            <wp:extent cx="7589520" cy="523367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stretch>
                      <a:fillRect/>
                    </a:stretch>
                  </pic:blipFill>
                  <pic:spPr>
                    <a:xfrm>
                      <a:off x="0" y="0"/>
                      <a:ext cx="7589520" cy="5233670"/>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0"/>
          <w:jc w:val="center"/>
        </w:pPr>
        <w:r>
          <w:fldChar w:fldCharType="begin"/>
        </w:r>
        <w:r>
          <w:instrText xml:space="preserve">PAGE   \* MERGEFORMAT</w:instrText>
        </w:r>
        <w:r>
          <w:fldChar w:fldCharType="separate"/>
        </w:r>
        <w:r>
          <w:rPr>
            <w:lang w:val="zh-CN"/>
          </w:rPr>
          <w:t>20</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diOGM5NzlhN2JhOTc3OTljZTBmY2FhN2MzNTk3ODEifQ=="/>
  </w:docVars>
  <w:rsids>
    <w:rsidRoot w:val="FF6C4049"/>
    <w:rsid w:val="006E672E"/>
    <w:rsid w:val="006F7242"/>
    <w:rsid w:val="007B168A"/>
    <w:rsid w:val="008B2CFE"/>
    <w:rsid w:val="00CA71AB"/>
    <w:rsid w:val="00CF155C"/>
    <w:rsid w:val="00DF5EA8"/>
    <w:rsid w:val="00F26FF6"/>
    <w:rsid w:val="0115626B"/>
    <w:rsid w:val="013174FF"/>
    <w:rsid w:val="01610122"/>
    <w:rsid w:val="01EA509F"/>
    <w:rsid w:val="02510197"/>
    <w:rsid w:val="03EC461B"/>
    <w:rsid w:val="0461077D"/>
    <w:rsid w:val="04A71040"/>
    <w:rsid w:val="0503253D"/>
    <w:rsid w:val="052B3C2A"/>
    <w:rsid w:val="06134198"/>
    <w:rsid w:val="062647AC"/>
    <w:rsid w:val="063C17A2"/>
    <w:rsid w:val="06B06B97"/>
    <w:rsid w:val="072E323E"/>
    <w:rsid w:val="07397B77"/>
    <w:rsid w:val="07511066"/>
    <w:rsid w:val="08835798"/>
    <w:rsid w:val="08CB6F8B"/>
    <w:rsid w:val="09812554"/>
    <w:rsid w:val="0A9D6358"/>
    <w:rsid w:val="0AD007F3"/>
    <w:rsid w:val="0D2C7710"/>
    <w:rsid w:val="0D526751"/>
    <w:rsid w:val="0D9B0CA0"/>
    <w:rsid w:val="0E1F055E"/>
    <w:rsid w:val="0E3C619F"/>
    <w:rsid w:val="0FEA3F5C"/>
    <w:rsid w:val="100F38EC"/>
    <w:rsid w:val="101D2C6B"/>
    <w:rsid w:val="10342DE5"/>
    <w:rsid w:val="11170296"/>
    <w:rsid w:val="11906888"/>
    <w:rsid w:val="11A05518"/>
    <w:rsid w:val="11A54AD6"/>
    <w:rsid w:val="11C33CF2"/>
    <w:rsid w:val="12C66037"/>
    <w:rsid w:val="12CD1ABC"/>
    <w:rsid w:val="13471461"/>
    <w:rsid w:val="139D47BA"/>
    <w:rsid w:val="13B90F01"/>
    <w:rsid w:val="155E4C4D"/>
    <w:rsid w:val="15F72B23"/>
    <w:rsid w:val="164B2D32"/>
    <w:rsid w:val="165E5BD3"/>
    <w:rsid w:val="16736AE1"/>
    <w:rsid w:val="17CB2716"/>
    <w:rsid w:val="181066D2"/>
    <w:rsid w:val="1A6C3B5F"/>
    <w:rsid w:val="1AC56F63"/>
    <w:rsid w:val="1AE638C1"/>
    <w:rsid w:val="1B537749"/>
    <w:rsid w:val="1BD941BF"/>
    <w:rsid w:val="1BEE3E57"/>
    <w:rsid w:val="1C2837E1"/>
    <w:rsid w:val="1C671E73"/>
    <w:rsid w:val="1C793E5F"/>
    <w:rsid w:val="1D322C47"/>
    <w:rsid w:val="1D882411"/>
    <w:rsid w:val="1D9E12FA"/>
    <w:rsid w:val="1DE64426"/>
    <w:rsid w:val="1E00244D"/>
    <w:rsid w:val="1E573A8E"/>
    <w:rsid w:val="1F134F20"/>
    <w:rsid w:val="1F4227E7"/>
    <w:rsid w:val="1F88300C"/>
    <w:rsid w:val="1FA25992"/>
    <w:rsid w:val="1FDF72E1"/>
    <w:rsid w:val="23616034"/>
    <w:rsid w:val="23696C97"/>
    <w:rsid w:val="23841A54"/>
    <w:rsid w:val="23F71FB7"/>
    <w:rsid w:val="24480FA2"/>
    <w:rsid w:val="25227A45"/>
    <w:rsid w:val="26AC3A6A"/>
    <w:rsid w:val="26C51896"/>
    <w:rsid w:val="28AC1556"/>
    <w:rsid w:val="28E94A2B"/>
    <w:rsid w:val="29914D62"/>
    <w:rsid w:val="29FD7273"/>
    <w:rsid w:val="2A4D2511"/>
    <w:rsid w:val="2A611581"/>
    <w:rsid w:val="2B9D7E25"/>
    <w:rsid w:val="2C7C7A3B"/>
    <w:rsid w:val="2F364819"/>
    <w:rsid w:val="2F7B5913"/>
    <w:rsid w:val="2FD63906"/>
    <w:rsid w:val="301064BE"/>
    <w:rsid w:val="303D1276"/>
    <w:rsid w:val="31BF0481"/>
    <w:rsid w:val="320D700B"/>
    <w:rsid w:val="32BF5642"/>
    <w:rsid w:val="33157D24"/>
    <w:rsid w:val="33466A40"/>
    <w:rsid w:val="336E660D"/>
    <w:rsid w:val="351A708D"/>
    <w:rsid w:val="35963854"/>
    <w:rsid w:val="37215DAE"/>
    <w:rsid w:val="37303138"/>
    <w:rsid w:val="3734176A"/>
    <w:rsid w:val="389128BB"/>
    <w:rsid w:val="38A5681A"/>
    <w:rsid w:val="38CA40DD"/>
    <w:rsid w:val="39295349"/>
    <w:rsid w:val="395F2B56"/>
    <w:rsid w:val="39C56BFB"/>
    <w:rsid w:val="3ACF167E"/>
    <w:rsid w:val="3B02279E"/>
    <w:rsid w:val="3BBA0580"/>
    <w:rsid w:val="3BC81E4E"/>
    <w:rsid w:val="3BECE841"/>
    <w:rsid w:val="3C7A0026"/>
    <w:rsid w:val="3CD73DE7"/>
    <w:rsid w:val="3CDE204C"/>
    <w:rsid w:val="3D363C36"/>
    <w:rsid w:val="3D9A1F09"/>
    <w:rsid w:val="3E9C3F6D"/>
    <w:rsid w:val="3F1E31D4"/>
    <w:rsid w:val="3FF7797D"/>
    <w:rsid w:val="40003F7E"/>
    <w:rsid w:val="400950E4"/>
    <w:rsid w:val="40FA7D7D"/>
    <w:rsid w:val="41474963"/>
    <w:rsid w:val="4181006A"/>
    <w:rsid w:val="41F84812"/>
    <w:rsid w:val="438520F3"/>
    <w:rsid w:val="43C230E6"/>
    <w:rsid w:val="43D160A1"/>
    <w:rsid w:val="43DA6E16"/>
    <w:rsid w:val="44720E1D"/>
    <w:rsid w:val="4531120C"/>
    <w:rsid w:val="46472664"/>
    <w:rsid w:val="46690BD8"/>
    <w:rsid w:val="46867720"/>
    <w:rsid w:val="471702B7"/>
    <w:rsid w:val="47561694"/>
    <w:rsid w:val="47846223"/>
    <w:rsid w:val="47F21655"/>
    <w:rsid w:val="48C44061"/>
    <w:rsid w:val="49C03FC2"/>
    <w:rsid w:val="49C32856"/>
    <w:rsid w:val="49F70BF1"/>
    <w:rsid w:val="4A9333C7"/>
    <w:rsid w:val="4AF0127A"/>
    <w:rsid w:val="4B4340EE"/>
    <w:rsid w:val="4BF53540"/>
    <w:rsid w:val="4CF50EBD"/>
    <w:rsid w:val="4D5B30B9"/>
    <w:rsid w:val="4E0D020B"/>
    <w:rsid w:val="4F22484B"/>
    <w:rsid w:val="503D507A"/>
    <w:rsid w:val="506E5051"/>
    <w:rsid w:val="51FA74D0"/>
    <w:rsid w:val="5281645A"/>
    <w:rsid w:val="52AA4A52"/>
    <w:rsid w:val="535774B4"/>
    <w:rsid w:val="53875BF9"/>
    <w:rsid w:val="53A158C9"/>
    <w:rsid w:val="545A29CD"/>
    <w:rsid w:val="56DD2391"/>
    <w:rsid w:val="59943D66"/>
    <w:rsid w:val="59E051FD"/>
    <w:rsid w:val="59E6355E"/>
    <w:rsid w:val="5A441CD8"/>
    <w:rsid w:val="5A992DC3"/>
    <w:rsid w:val="5ABF6F9F"/>
    <w:rsid w:val="5B821531"/>
    <w:rsid w:val="5B944FDF"/>
    <w:rsid w:val="5BFF6039"/>
    <w:rsid w:val="5D76A616"/>
    <w:rsid w:val="5D7F20B9"/>
    <w:rsid w:val="5DAC7D0E"/>
    <w:rsid w:val="5EBB1AB0"/>
    <w:rsid w:val="5F0F0B88"/>
    <w:rsid w:val="5F98B5AF"/>
    <w:rsid w:val="5FFE8511"/>
    <w:rsid w:val="5FFEACE2"/>
    <w:rsid w:val="609D5BF6"/>
    <w:rsid w:val="61073070"/>
    <w:rsid w:val="61B9080E"/>
    <w:rsid w:val="61DF3FED"/>
    <w:rsid w:val="62A40589"/>
    <w:rsid w:val="639E482C"/>
    <w:rsid w:val="642B176B"/>
    <w:rsid w:val="643EE26D"/>
    <w:rsid w:val="64AD785F"/>
    <w:rsid w:val="64B051A5"/>
    <w:rsid w:val="64FD3BB1"/>
    <w:rsid w:val="652214E1"/>
    <w:rsid w:val="656019A0"/>
    <w:rsid w:val="65611D45"/>
    <w:rsid w:val="65F242EE"/>
    <w:rsid w:val="665219FC"/>
    <w:rsid w:val="666D7E19"/>
    <w:rsid w:val="67E94192"/>
    <w:rsid w:val="6825587F"/>
    <w:rsid w:val="68376930"/>
    <w:rsid w:val="68F91E38"/>
    <w:rsid w:val="69D93D3A"/>
    <w:rsid w:val="6A3E610C"/>
    <w:rsid w:val="6B3158B9"/>
    <w:rsid w:val="6B5A74C6"/>
    <w:rsid w:val="6BA02A3F"/>
    <w:rsid w:val="6C1E5A53"/>
    <w:rsid w:val="6CDC2D70"/>
    <w:rsid w:val="6CE44C16"/>
    <w:rsid w:val="6CEC362A"/>
    <w:rsid w:val="6F5C41AC"/>
    <w:rsid w:val="6FAF6C78"/>
    <w:rsid w:val="6FE61A01"/>
    <w:rsid w:val="70576362"/>
    <w:rsid w:val="716167CC"/>
    <w:rsid w:val="718A7AD1"/>
    <w:rsid w:val="71981BA1"/>
    <w:rsid w:val="71F07678"/>
    <w:rsid w:val="71FF10E1"/>
    <w:rsid w:val="72A44BC2"/>
    <w:rsid w:val="7317C656"/>
    <w:rsid w:val="734ED73F"/>
    <w:rsid w:val="73640D32"/>
    <w:rsid w:val="73815D2A"/>
    <w:rsid w:val="73B458B5"/>
    <w:rsid w:val="73C82B32"/>
    <w:rsid w:val="73F94DAE"/>
    <w:rsid w:val="74220495"/>
    <w:rsid w:val="74531672"/>
    <w:rsid w:val="747D1B6F"/>
    <w:rsid w:val="749E5641"/>
    <w:rsid w:val="76271066"/>
    <w:rsid w:val="76887300"/>
    <w:rsid w:val="77392CE4"/>
    <w:rsid w:val="77DD0FBE"/>
    <w:rsid w:val="77FD8BE9"/>
    <w:rsid w:val="78000AED"/>
    <w:rsid w:val="785B1530"/>
    <w:rsid w:val="7999210D"/>
    <w:rsid w:val="799C39C7"/>
    <w:rsid w:val="79A9BD3F"/>
    <w:rsid w:val="7A3B38D8"/>
    <w:rsid w:val="7A6A07E2"/>
    <w:rsid w:val="7B776F12"/>
    <w:rsid w:val="7BD20DD0"/>
    <w:rsid w:val="7BD253AE"/>
    <w:rsid w:val="7BFFFDD0"/>
    <w:rsid w:val="7C04253A"/>
    <w:rsid w:val="7C336E5F"/>
    <w:rsid w:val="7C8D4919"/>
    <w:rsid w:val="7CBF354E"/>
    <w:rsid w:val="7D7A5F86"/>
    <w:rsid w:val="7E4B683A"/>
    <w:rsid w:val="7E5D2CA6"/>
    <w:rsid w:val="7E5E656D"/>
    <w:rsid w:val="7E8F2BCB"/>
    <w:rsid w:val="7F0E11AE"/>
    <w:rsid w:val="7F37BB4E"/>
    <w:rsid w:val="7F385B09"/>
    <w:rsid w:val="7F3E4409"/>
    <w:rsid w:val="7F7264A5"/>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
    <w:pPr>
      <w:keepNext/>
      <w:keepLines/>
      <w:spacing w:before="260" w:after="260" w:line="416" w:lineRule="auto"/>
      <w:outlineLvl w:val="1"/>
    </w:pPr>
    <w:rPr>
      <w:rFonts w:ascii="等线 Light" w:hAnsi="等线 Light" w:eastAsia="等线 Light"/>
      <w:b/>
      <w:bCs/>
      <w:sz w:val="32"/>
      <w:szCs w:val="32"/>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index 6"/>
    <w:basedOn w:val="1"/>
    <w:next w:val="1"/>
    <w:qFormat/>
    <w:uiPriority w:val="0"/>
    <w:pPr>
      <w:ind w:firstLine="840"/>
    </w:pPr>
    <w:rPr>
      <w:rFonts w:ascii="Calibri" w:hAnsi="Calibri" w:cs="Arial"/>
    </w:rPr>
  </w:style>
  <w:style w:type="paragraph" w:styleId="6">
    <w:name w:val="Body Text"/>
    <w:basedOn w:val="1"/>
    <w:next w:val="7"/>
    <w:qFormat/>
    <w:uiPriority w:val="0"/>
    <w:pPr>
      <w:spacing w:after="120"/>
    </w:pPr>
  </w:style>
  <w:style w:type="paragraph" w:styleId="7">
    <w:name w:val="Body Text First Indent"/>
    <w:basedOn w:val="6"/>
    <w:next w:val="5"/>
    <w:qFormat/>
    <w:uiPriority w:val="0"/>
    <w:pPr>
      <w:spacing w:after="0"/>
      <w:ind w:firstLine="200" w:firstLineChars="200"/>
    </w:pPr>
  </w:style>
  <w:style w:type="paragraph" w:styleId="8">
    <w:name w:val="Body Text Indent"/>
    <w:basedOn w:val="1"/>
    <w:qFormat/>
    <w:uiPriority w:val="0"/>
    <w:pPr>
      <w:spacing w:after="120"/>
      <w:ind w:left="420" w:leftChars="200"/>
    </w:pPr>
    <w:rPr>
      <w:rFonts w:ascii="Calibri" w:hAnsi="Calibri"/>
    </w:rPr>
  </w:style>
  <w:style w:type="paragraph" w:styleId="9">
    <w:name w:val="Balloon Text"/>
    <w:basedOn w:val="1"/>
    <w:link w:val="22"/>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1">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kern w:val="0"/>
      <w:sz w:val="24"/>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annotation subject"/>
    <w:basedOn w:val="4"/>
    <w:next w:val="4"/>
    <w:link w:val="25"/>
    <w:qFormat/>
    <w:uiPriority w:val="0"/>
    <w:rPr>
      <w:b/>
      <w:bCs/>
    </w:rPr>
  </w:style>
  <w:style w:type="paragraph" w:styleId="15">
    <w:name w:val="Body Text First Indent 2"/>
    <w:basedOn w:val="8"/>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Char"/>
    <w:basedOn w:val="17"/>
    <w:link w:val="9"/>
    <w:qFormat/>
    <w:uiPriority w:val="0"/>
    <w:rPr>
      <w:rFonts w:ascii="Times New Roman" w:hAnsi="Times New Roman" w:eastAsia="宋体" w:cs="Times New Roman"/>
      <w:kern w:val="2"/>
      <w:sz w:val="18"/>
      <w:szCs w:val="18"/>
    </w:rPr>
  </w:style>
  <w:style w:type="character" w:customStyle="1" w:styleId="23">
    <w:name w:val="页眉 Char"/>
    <w:basedOn w:val="17"/>
    <w:link w:val="11"/>
    <w:qFormat/>
    <w:uiPriority w:val="0"/>
    <w:rPr>
      <w:rFonts w:ascii="Times New Roman" w:hAnsi="Times New Roman" w:eastAsia="宋体" w:cs="Times New Roman"/>
      <w:kern w:val="2"/>
      <w:sz w:val="18"/>
      <w:szCs w:val="18"/>
    </w:rPr>
  </w:style>
  <w:style w:type="character" w:customStyle="1" w:styleId="24">
    <w:name w:val="批注文字 Char"/>
    <w:basedOn w:val="17"/>
    <w:link w:val="4"/>
    <w:qFormat/>
    <w:uiPriority w:val="0"/>
    <w:rPr>
      <w:rFonts w:ascii="Times New Roman" w:hAnsi="Times New Roman" w:eastAsia="宋体" w:cs="Times New Roman"/>
      <w:kern w:val="2"/>
      <w:sz w:val="21"/>
      <w:szCs w:val="24"/>
    </w:rPr>
  </w:style>
  <w:style w:type="character" w:customStyle="1" w:styleId="25">
    <w:name w:val="批注主题 Char"/>
    <w:basedOn w:val="24"/>
    <w:link w:val="14"/>
    <w:qFormat/>
    <w:uiPriority w:val="0"/>
    <w:rPr>
      <w:rFonts w:ascii="Times New Roman" w:hAnsi="Times New Roman" w:eastAsia="宋体" w:cs="Times New Roman"/>
      <w:b/>
      <w:bCs/>
      <w:kern w:val="2"/>
      <w:sz w:val="21"/>
      <w:szCs w:val="24"/>
    </w:rPr>
  </w:style>
  <w:style w:type="paragraph" w:customStyle="1" w:styleId="26">
    <w:name w:val="Char"/>
    <w:basedOn w:val="1"/>
    <w:qFormat/>
    <w:uiPriority w:val="0"/>
    <w:pPr>
      <w:spacing w:line="300" w:lineRule="auto"/>
      <w:ind w:left="360" w:firstLine="560"/>
    </w:pPr>
    <w:rPr>
      <w:rFonts w:ascii="Tahoma" w:hAnsi="Tahoma" w:eastAsia="仿宋_GB2312"/>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13721</Words>
  <Characters>1012</Characters>
  <Lines>8</Lines>
  <Paragraphs>29</Paragraphs>
  <TotalTime>14</TotalTime>
  <ScaleCrop>false</ScaleCrop>
  <LinksUpToDate>false</LinksUpToDate>
  <CharactersWithSpaces>14704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2025-04-28T01:24:00Z</cp:lastPrinted>
  <dcterms:modified xsi:type="dcterms:W3CDTF">2025-08-15T03:23:14Z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