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库尔勒市行政服务中心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（一）贯彻执行党和国家政务服务和“放管服”改革的法律法规和方针政策。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二）负责制定和组织实施库尔勒市行政审批有关规章制度、管理办法；组织协调、指导监督库尔勒市行政审批制度改革工作和开展调查研究；承担库尔勒市政务服务规范化、标准化工作，为“放管服”改革，优化营商环境政策落地提供支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（三）负责推进政务服务“网上办”工作；承接自治区一体化在线政务服务平台运行工作，承担全市政务服务一体化平台数据汇总和行政审批部门“网上办”的组织协调及督促检查。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四）负责对政府各部门进驻、委托事项办理的组织协调、监督管理和指导服务，积极推进与企业和人民群众密切相关的依申请行政权力事项及公共服务事项全部纳入行政服务中心集中办理；负责各部门授权、委托事项在中心“综合窗口”的受理、办理工作。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五）指导各部门对进驻市行政服务中心的政务服务事项进行精简整合，优化工作流程，公开办理程序，强化过程监控；负责协调、监督进驻单位间的业务衔接，会同有关部门拟订“并联审批”事项办理规程并组织实施；组织协调自治区、自治州、库尔勒市重点、重大项目的审批服务，召集跨部门联席会议。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六）负责市行政服务中心的统一管理；负责对进驻市行政服务中心窗口工作人员（含工程建设大厅工作人员）进行管理培训、日常考核、绩效考核、服务质量评价；受理服务对象对行政服务中心办事窗口及工作人员的投诉、意见和建议，会同有关部门对投诉进行调查处理。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七）负责统筹审批服务事项的网上审批管理工作；推进各部门审批服务事项在网上办事大厅的部署、应用和管理工作；推进审批信息共享和审批服务线上线下一体化工作；配合有关部门推进行政审批服务信息化建设。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（八）承担库尔勒市人民政府“12345”在线服务平台的电话接听、工单转办工作，配合相关单位开展政务服务线上投诉建议和“好差评”处理工作。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 xml:space="preserve">（九）对库尔勒市所属各乡、镇、街道（村、社区）开展自治区一体化平台政务服务工作进行业务指导和业务考核。 </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（十）完成市委、市人民政府交办的其他任务。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库尔勒市行政服务中心2024年度，实有人数11人，其中：在职人员7人，较上年无变化；离休人员0人，较上年无变化；退休人员4人，较上年无变化；库尔勒市行政服务中心无下属预算单位。下设</w:t>
      </w:r>
      <w:r>
        <w:rPr>
          <w:rFonts w:hint="eastAsia" w:ascii="仿宋_GB2312" w:eastAsia="仿宋_GB2312"/>
          <w:b w:val="0"/>
          <w:sz w:val="32"/>
          <w:szCs w:val="32"/>
          <w:lang w:val="en-US" w:eastAsia="zh-CN"/>
        </w:rPr>
        <w:t>2</w:t>
      </w:r>
      <w:r>
        <w:rPr>
          <w:rFonts w:hint="eastAsia" w:ascii="仿宋_GB2312" w:eastAsia="仿宋_GB2312"/>
          <w:b w:val="0"/>
          <w:sz w:val="32"/>
          <w:szCs w:val="32"/>
        </w:rPr>
        <w:t>个处室，分别是：</w:t>
      </w:r>
      <w:r>
        <w:rPr>
          <w:rFonts w:hint="eastAsia" w:ascii="仿宋_GB2312" w:eastAsia="仿宋_GB2312"/>
          <w:b w:val="0"/>
          <w:sz w:val="32"/>
          <w:szCs w:val="32"/>
          <w:lang w:eastAsia="zh-CN"/>
        </w:rPr>
        <w:t>行政办公室和督查室</w:t>
      </w:r>
      <w:r>
        <w:rPr>
          <w:rFonts w:hint="eastAsia"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p>
    <w:p>
      <w:pPr>
        <w:widowControl/>
      </w:pPr>
      <w:r>
        <w:rPr>
          <w:rFonts w:hint="eastAsia" w:ascii="方正仿宋_GBK" w:eastAsia="方正仿宋_GBK"/>
          <w:color w:val="auto"/>
          <w:sz w:val="32"/>
          <w:szCs w:val="32"/>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2024年度收入总计280.95万元，其中：本年收入合计280.95万元，使用非财政拨款结余（含专用结余）0.00万元，年初结转和结余0.00万元。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2024年度支出总计280.95万元，其中：本年支出合计280.95万元，结余分配0.00万元，年末结转和结余0.00万元。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lang w:eastAsia="zh-CN"/>
        </w:rPr>
      </w:pPr>
      <w:r>
        <w:rPr>
          <w:rFonts w:hint="eastAsia" w:ascii="仿宋_GB2312" w:eastAsia="仿宋_GB2312"/>
          <w:b w:val="0"/>
          <w:sz w:val="32"/>
          <w:szCs w:val="32"/>
        </w:rPr>
        <w:t>收入支出总体与上年相比，增加20.58万元，增长7.90%，主要原因是：</w:t>
      </w:r>
      <w:r>
        <w:rPr>
          <w:rFonts w:hint="eastAsia" w:ascii="仿宋_GB2312" w:eastAsia="仿宋_GB2312"/>
          <w:b w:val="0"/>
          <w:sz w:val="32"/>
          <w:szCs w:val="32"/>
          <w:lang w:eastAsia="zh-CN"/>
        </w:rPr>
        <w:t>本年度人员工资调增，人员经费增加，导致收入较上年增加。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本年收入280.95万元，其中：财政拨款收入280.95万元,占100.00%；上级补助收入0.00万元,占0.00%；事业收入0.00万元，占0.00%；经营收入0.00万元,占0.00%；附属单位上缴收入0.00万元，占0.00%；其他收入0.00万元，占0.00%。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本年支出280.95万元，其中：基本支出217.88万元，占77.55%；项目支出63.07万元，占22.45%；上缴上级支出0.00万元，占0.00%；经营支出0.00万元，占0.00%；对附属单位补助支出0.00万元，占0.00%。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2024年度财政拨款收入总计280.95万元，其中：年初财政拨款结转和结余0.00万元，本年财政拨款收入280.95万元。财政拨款支出总计280.95万元，其中：年末财政拨款结转和结余0.00万元，本年财政拨款支出280.95万元。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财政拨款收入支出总体与上年相比，增加20.58万元，增长7.90%，主要原因是：</w:t>
      </w:r>
      <w:r>
        <w:rPr>
          <w:rFonts w:hint="eastAsia" w:ascii="仿宋_GB2312" w:eastAsia="仿宋_GB2312"/>
          <w:b w:val="0"/>
          <w:sz w:val="32"/>
          <w:szCs w:val="32"/>
          <w:lang w:eastAsia="zh-CN"/>
        </w:rPr>
        <w:t>本年度人员工资调增，人员经费增加，导致收入较上年增加</w:t>
      </w:r>
      <w:r>
        <w:rPr>
          <w:rFonts w:hint="eastAsia" w:ascii="仿宋_GB2312" w:eastAsia="仿宋_GB2312"/>
          <w:b w:val="0"/>
          <w:sz w:val="32"/>
          <w:szCs w:val="32"/>
        </w:rPr>
        <w:t>。与年初预算相比，年初预算数302.42万元，决算数280.95万元，预决算差异率-7.10%，主要原因是：</w:t>
      </w:r>
      <w:r>
        <w:rPr>
          <w:rFonts w:hint="eastAsia" w:ascii="仿宋_GB2312" w:eastAsia="仿宋_GB2312"/>
          <w:b w:val="0"/>
          <w:sz w:val="32"/>
          <w:szCs w:val="32"/>
          <w:lang w:eastAsia="zh-CN"/>
        </w:rPr>
        <w:t>我单位</w:t>
      </w:r>
      <w:r>
        <w:rPr>
          <w:rFonts w:hint="eastAsia" w:ascii="仿宋_GB2312" w:eastAsia="仿宋_GB2312"/>
          <w:b w:val="0"/>
          <w:sz w:val="32"/>
          <w:szCs w:val="32"/>
        </w:rPr>
        <w:t>加强预算管理，严格审核各项支出，</w:t>
      </w:r>
      <w:r>
        <w:rPr>
          <w:rFonts w:hint="eastAsia" w:ascii="仿宋_GB2312" w:eastAsia="仿宋_GB2312"/>
          <w:b w:val="0"/>
          <w:sz w:val="32"/>
          <w:szCs w:val="32"/>
          <w:lang w:eastAsia="zh-CN"/>
        </w:rPr>
        <w:t>对</w:t>
      </w:r>
      <w:r>
        <w:rPr>
          <w:rFonts w:hint="eastAsia" w:ascii="仿宋_GB2312" w:eastAsia="仿宋_GB2312"/>
          <w:b w:val="0"/>
          <w:sz w:val="32"/>
          <w:szCs w:val="32"/>
        </w:rPr>
        <w:t>不合理、超预算的支出予以严格控制，减少了不必要的开支和浪费。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2024年度一般公共预算财政拨款支出280.95万元，占本年支出合计的100.00%。与上年相比，增加20.58万元，增长7.90%，主要原因是：</w:t>
      </w:r>
      <w:r>
        <w:rPr>
          <w:rFonts w:hint="eastAsia" w:ascii="仿宋_GB2312" w:eastAsia="仿宋_GB2312"/>
          <w:b w:val="0"/>
          <w:sz w:val="32"/>
          <w:szCs w:val="32"/>
          <w:lang w:val="en-US" w:eastAsia="zh-CN"/>
        </w:rPr>
        <w:t>2024年</w:t>
      </w:r>
      <w:r>
        <w:rPr>
          <w:rFonts w:hint="eastAsia" w:ascii="仿宋_GB2312" w:eastAsia="仿宋_GB2312"/>
          <w:b w:val="0"/>
          <w:sz w:val="32"/>
          <w:szCs w:val="32"/>
          <w:lang w:eastAsia="zh-CN"/>
        </w:rPr>
        <w:t>人员工资调增，导致人员经费增加</w:t>
      </w:r>
      <w:r>
        <w:rPr>
          <w:rFonts w:hint="eastAsia" w:ascii="仿宋_GB2312" w:eastAsia="仿宋_GB2312"/>
          <w:b w:val="0"/>
          <w:sz w:val="32"/>
          <w:szCs w:val="32"/>
        </w:rPr>
        <w:t>。与年初预算相比，年初预算数302.42万元，决算数280.95万元，预决算差异率-7.10%，主要原因是：</w:t>
      </w:r>
      <w:r>
        <w:rPr>
          <w:rFonts w:hint="eastAsia" w:ascii="仿宋_GB2312" w:eastAsia="仿宋_GB2312"/>
          <w:b w:val="0"/>
          <w:sz w:val="32"/>
          <w:szCs w:val="32"/>
          <w:lang w:eastAsia="zh-CN"/>
        </w:rPr>
        <w:t>我单位</w:t>
      </w:r>
      <w:r>
        <w:rPr>
          <w:rFonts w:hint="eastAsia" w:ascii="仿宋_GB2312" w:eastAsia="仿宋_GB2312"/>
          <w:b w:val="0"/>
          <w:sz w:val="32"/>
          <w:szCs w:val="32"/>
        </w:rPr>
        <w:t>加强预算管理，严格审核各项支出，</w:t>
      </w:r>
      <w:r>
        <w:rPr>
          <w:rFonts w:hint="eastAsia" w:ascii="仿宋_GB2312" w:eastAsia="仿宋_GB2312"/>
          <w:b w:val="0"/>
          <w:sz w:val="32"/>
          <w:szCs w:val="32"/>
          <w:lang w:eastAsia="zh-CN"/>
        </w:rPr>
        <w:t>对</w:t>
      </w:r>
      <w:r>
        <w:rPr>
          <w:rFonts w:hint="eastAsia" w:ascii="仿宋_GB2312" w:eastAsia="仿宋_GB2312"/>
          <w:b w:val="0"/>
          <w:sz w:val="32"/>
          <w:szCs w:val="32"/>
        </w:rPr>
        <w:t>不合理、超预算的支出予以严格控制，减少了不必要的开支和浪费。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一般公共服务支出（类）244.48万元，占87.02%。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教育支出（类）1.04万元，占0.37%。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社会保障和就业支出（类）16.91万元，占6.02%。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卫生健康支出（类）8.35万元，占2.97%。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住房保障支出（类）10.18万元，占3.62%。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一般公共服务支出（类）政府办公厅（室）及相关机构事务（款）行政运行（项）：支出决算数为181.41万元，比上年决算增加5.55万元，增长3.16%，主要原因是：</w:t>
      </w:r>
      <w:r>
        <w:rPr>
          <w:rFonts w:hint="eastAsia" w:ascii="仿宋_GB2312" w:eastAsia="仿宋_GB2312"/>
          <w:b w:val="0"/>
          <w:sz w:val="32"/>
          <w:szCs w:val="32"/>
          <w:lang w:eastAsia="zh-CN"/>
        </w:rPr>
        <w:t>本年度人员工资调增，人员经费增加，</w:t>
      </w:r>
      <w:r>
        <w:rPr>
          <w:rFonts w:hint="eastAsia" w:eastAsia="仿宋_GB2312" w:cs="Times New Roman"/>
          <w:color w:val="auto"/>
          <w:kern w:val="2"/>
          <w:sz w:val="32"/>
          <w:szCs w:val="32"/>
          <w:highlight w:val="none"/>
          <w:lang w:val="en-US" w:eastAsia="zh-CN" w:bidi="ar-SA"/>
        </w:rPr>
        <w:t>导致</w:t>
      </w:r>
      <w:r>
        <w:rPr>
          <w:rFonts w:hint="eastAsia" w:ascii="Times New Roman" w:hAnsi="Times New Roman" w:eastAsia="仿宋_GB2312" w:cs="Times New Roman"/>
          <w:color w:val="auto"/>
          <w:kern w:val="2"/>
          <w:sz w:val="32"/>
          <w:szCs w:val="32"/>
          <w:highlight w:val="none"/>
          <w:lang w:val="en-US" w:eastAsia="zh-CN" w:bidi="ar-SA"/>
        </w:rPr>
        <w:t>一般公共服务支出行政运行</w:t>
      </w:r>
      <w:r>
        <w:rPr>
          <w:rFonts w:hint="eastAsia" w:eastAsia="仿宋_GB2312" w:cs="Times New Roman"/>
          <w:color w:val="auto"/>
          <w:kern w:val="2"/>
          <w:sz w:val="32"/>
          <w:szCs w:val="32"/>
          <w:highlight w:val="none"/>
          <w:lang w:val="en-US" w:eastAsia="zh-CN" w:bidi="ar-SA"/>
        </w:rPr>
        <w:t>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一般公共服务支出（类）政府办公厅（室）及相关机构事务（款）其他政府办公厅（室）及相关机构事务支出（项）：支出决算数为63.07万元，比上年决算增加10.91万元，增长20.92%，主要原因是：</w:t>
      </w:r>
      <w:r>
        <w:rPr>
          <w:rFonts w:hint="eastAsia" w:eastAsia="仿宋_GB2312" w:cs="Times New Roman"/>
          <w:color w:val="auto"/>
          <w:kern w:val="2"/>
          <w:sz w:val="32"/>
          <w:szCs w:val="32"/>
          <w:highlight w:val="none"/>
          <w:lang w:val="en-US" w:eastAsia="zh-CN" w:bidi="ar-SA"/>
        </w:rPr>
        <w:t>2024年新增“12345”政务热线工作人员，导致</w:t>
      </w:r>
      <w:r>
        <w:rPr>
          <w:rFonts w:hint="eastAsia" w:ascii="Times New Roman" w:hAnsi="Times New Roman" w:eastAsia="仿宋_GB2312" w:cs="Times New Roman"/>
          <w:color w:val="auto"/>
          <w:kern w:val="2"/>
          <w:sz w:val="32"/>
          <w:szCs w:val="32"/>
          <w:highlight w:val="none"/>
          <w:lang w:val="en-US" w:eastAsia="zh-CN" w:bidi="ar-SA"/>
        </w:rPr>
        <w:t>一般公共服务支出其它政府办公厅（室）相关机构支出</w:t>
      </w:r>
      <w:r>
        <w:rPr>
          <w:rFonts w:hint="eastAsia" w:eastAsia="仿宋_GB2312" w:cs="Times New Roman"/>
          <w:color w:val="auto"/>
          <w:kern w:val="2"/>
          <w:sz w:val="32"/>
          <w:szCs w:val="32"/>
          <w:highlight w:val="none"/>
          <w:lang w:val="en-US" w:eastAsia="zh-CN" w:bidi="ar-SA"/>
        </w:rPr>
        <w:t>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教育支出（类）进修及培训（款）培训支出（项）：支出决算数为1.04万元，比上年决算增加0.59万元，增长131.11%，主要原因是：</w:t>
      </w:r>
      <w:r>
        <w:rPr>
          <w:rFonts w:hint="eastAsia" w:eastAsia="仿宋_GB2312" w:cs="Times New Roman"/>
          <w:color w:val="auto"/>
          <w:kern w:val="2"/>
          <w:sz w:val="32"/>
          <w:szCs w:val="32"/>
          <w:highlight w:val="none"/>
          <w:lang w:val="en-US" w:eastAsia="zh-CN" w:bidi="ar-SA"/>
        </w:rPr>
        <w:t>2024年政务一体化平台业务培训较上长增加，导致培训支出较上年增长。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eastAsia="仿宋_GB2312" w:cs="Times New Roman"/>
          <w:color w:val="auto"/>
          <w:kern w:val="2"/>
          <w:sz w:val="32"/>
          <w:szCs w:val="32"/>
          <w:highlight w:val="none"/>
          <w:lang w:val="en-US" w:eastAsia="zh-CN" w:bidi="ar-SA"/>
        </w:rPr>
      </w:pPr>
      <w:r>
        <w:rPr>
          <w:rFonts w:ascii="仿宋_GB2312" w:eastAsia="仿宋_GB2312"/>
          <w:b w:val="0"/>
          <w:sz w:val="32"/>
          <w:szCs w:val="32"/>
        </w:rPr>
        <w:t>社会保障和就业支出（类）行政事业单位养老支出（款）行政单位离退休（项）：支出决算数为3.86万元，比上年决算增加0.94万元，增长32.19%，主要原因是：</w:t>
      </w:r>
      <w:r>
        <w:rPr>
          <w:rFonts w:hint="eastAsia" w:eastAsia="仿宋_GB2312" w:cs="Times New Roman"/>
          <w:color w:val="auto"/>
          <w:kern w:val="2"/>
          <w:sz w:val="32"/>
          <w:szCs w:val="32"/>
          <w:highlight w:val="none"/>
          <w:lang w:val="en-US" w:eastAsia="zh-CN" w:bidi="ar-SA"/>
        </w:rPr>
        <w:t>2024年我单位新增4名退休人员，因此此项支出较上年增加。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yellow"/>
          <w:lang w:val="zh-CN" w:eastAsia="zh-CN" w:bidi="ar-SA"/>
        </w:rPr>
      </w:pPr>
      <w:r>
        <w:rPr>
          <w:rFonts w:ascii="仿宋_GB2312" w:eastAsia="仿宋_GB2312"/>
          <w:b w:val="0"/>
          <w:sz w:val="32"/>
          <w:szCs w:val="32"/>
        </w:rPr>
        <w:t>社会保障和就业支出（类）行政事业单位养老支出（款）机关事业单位基本养老保险缴费支出（项）：支出决算数为13.05万元，比上年决算增加1.55万元，增长13.48%，主要原因是：</w:t>
      </w:r>
      <w:r>
        <w:rPr>
          <w:rFonts w:hint="eastAsia" w:eastAsia="仿宋_GB2312" w:cs="Times New Roman"/>
          <w:color w:val="auto"/>
          <w:kern w:val="2"/>
          <w:sz w:val="32"/>
          <w:szCs w:val="32"/>
          <w:highlight w:val="none"/>
          <w:lang w:val="en-US" w:eastAsia="zh-CN" w:bidi="ar-SA"/>
        </w:rPr>
        <w:t>2024年我单位调整</w:t>
      </w:r>
      <w:r>
        <w:rPr>
          <w:rFonts w:ascii="仿宋_GB2312" w:eastAsia="仿宋_GB2312"/>
          <w:b w:val="0"/>
          <w:sz w:val="32"/>
          <w:szCs w:val="32"/>
          <w:highlight w:val="none"/>
        </w:rPr>
        <w:t>机关事业单位基本养老保险缴费</w:t>
      </w:r>
      <w:r>
        <w:rPr>
          <w:rFonts w:hint="eastAsia" w:ascii="仿宋_GB2312" w:eastAsia="仿宋_GB2312"/>
          <w:b w:val="0"/>
          <w:sz w:val="32"/>
          <w:szCs w:val="32"/>
          <w:highlight w:val="none"/>
          <w:lang w:eastAsia="zh-CN"/>
        </w:rPr>
        <w:t>基数</w:t>
      </w:r>
      <w:r>
        <w:rPr>
          <w:rFonts w:hint="eastAsia" w:eastAsia="仿宋_GB2312" w:cs="Times New Roman"/>
          <w:color w:val="auto"/>
          <w:kern w:val="2"/>
          <w:sz w:val="32"/>
          <w:szCs w:val="32"/>
          <w:highlight w:val="none"/>
          <w:lang w:val="en-US" w:eastAsia="zh-CN" w:bidi="ar-SA"/>
        </w:rPr>
        <w:t>，缴费基数较上年有所提高，导致</w:t>
      </w:r>
      <w:r>
        <w:rPr>
          <w:rFonts w:hint="eastAsia" w:ascii="Times New Roman" w:hAnsi="Times New Roman" w:eastAsia="仿宋_GB2312" w:cs="Times New Roman"/>
          <w:color w:val="auto"/>
          <w:kern w:val="2"/>
          <w:sz w:val="32"/>
          <w:szCs w:val="32"/>
          <w:highlight w:val="none"/>
          <w:lang w:val="en-US" w:eastAsia="zh-CN" w:bidi="ar-SA"/>
        </w:rPr>
        <w:t>行政单位</w:t>
      </w:r>
      <w:r>
        <w:rPr>
          <w:rFonts w:hint="eastAsia" w:eastAsia="仿宋_GB2312" w:cs="Times New Roman"/>
          <w:color w:val="auto"/>
          <w:kern w:val="2"/>
          <w:sz w:val="32"/>
          <w:szCs w:val="32"/>
          <w:highlight w:val="none"/>
          <w:lang w:val="en-US" w:eastAsia="zh-CN" w:bidi="ar-SA"/>
        </w:rPr>
        <w:t>基本养老保险支出较上年增长。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eastAsia="仿宋_GB2312"/>
          <w:b w:val="0"/>
          <w:sz w:val="32"/>
          <w:szCs w:val="32"/>
        </w:rPr>
        <w:t>卫生健康支出（类）行政事业单位医疗（款）行政单位医疗（项）：支出决算数为5.90万元，比上年决算减少0.13万元，下降2.16%，主要原因是：</w:t>
      </w:r>
      <w:r>
        <w:rPr>
          <w:rFonts w:hint="eastAsia" w:ascii="仿宋_GB2312" w:hAnsi="仿宋_GB2312" w:eastAsia="仿宋_GB2312" w:cs="仿宋_GB2312"/>
          <w:bCs/>
          <w:color w:val="auto"/>
          <w:kern w:val="0"/>
          <w:sz w:val="32"/>
          <w:szCs w:val="32"/>
          <w:lang w:val="en-US" w:eastAsia="zh-CN" w:bidi="ar-SA"/>
        </w:rPr>
        <w:t>本年在职人员调入调出，人员职级不同，缴费基数不同导致</w:t>
      </w:r>
      <w:r>
        <w:rPr>
          <w:rFonts w:ascii="仿宋_GB2312" w:eastAsia="仿宋_GB2312"/>
          <w:b w:val="0"/>
          <w:sz w:val="32"/>
          <w:szCs w:val="32"/>
        </w:rPr>
        <w:t>行政单位医疗</w:t>
      </w:r>
      <w:r>
        <w:rPr>
          <w:rFonts w:hint="eastAsia" w:ascii="仿宋_GB2312" w:hAnsi="仿宋_GB2312" w:eastAsia="仿宋_GB2312" w:cs="仿宋_GB2312"/>
          <w:bCs/>
          <w:color w:val="auto"/>
          <w:kern w:val="0"/>
          <w:sz w:val="32"/>
          <w:szCs w:val="32"/>
          <w:lang w:val="en-US" w:eastAsia="zh-CN" w:bidi="ar-SA"/>
        </w:rPr>
        <w:t>减少</w:t>
      </w:r>
      <w:r>
        <w:rPr>
          <w:rFonts w:hint="eastAsia" w:eastAsia="仿宋_GB2312" w:cs="Times New Roman"/>
          <w:color w:val="auto"/>
          <w:kern w:val="2"/>
          <w:sz w:val="32"/>
          <w:szCs w:val="32"/>
          <w:highlight w:val="none"/>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Cs/>
          <w:color w:val="auto"/>
          <w:kern w:val="0"/>
          <w:sz w:val="32"/>
          <w:szCs w:val="32"/>
          <w:highlight w:val="yellow"/>
          <w:lang w:val="en-US" w:eastAsia="zh-CN" w:bidi="ar-SA"/>
        </w:rPr>
      </w:pPr>
      <w:r>
        <w:rPr>
          <w:rFonts w:ascii="仿宋_GB2312" w:eastAsia="仿宋_GB2312"/>
          <w:b w:val="0"/>
          <w:sz w:val="32"/>
          <w:szCs w:val="32"/>
        </w:rPr>
        <w:t>卫生健康支出（类）行政事业单位医疗（款）公务员医疗补助（项）：支出决算数为2.45万元，比上年决算增加0.02万元，增长0.82%，主要原因是：</w:t>
      </w:r>
      <w:r>
        <w:rPr>
          <w:rFonts w:hint="eastAsia" w:eastAsia="仿宋_GB2312" w:cs="Times New Roman"/>
          <w:color w:val="auto"/>
          <w:kern w:val="2"/>
          <w:sz w:val="32"/>
          <w:szCs w:val="32"/>
          <w:highlight w:val="none"/>
          <w:lang w:val="en-US" w:eastAsia="zh-CN" w:bidi="ar-SA"/>
        </w:rPr>
        <w:t>2024年我单位调整</w:t>
      </w:r>
      <w:r>
        <w:rPr>
          <w:rFonts w:ascii="仿宋_GB2312" w:eastAsia="仿宋_GB2312"/>
          <w:b w:val="0"/>
          <w:sz w:val="32"/>
          <w:szCs w:val="32"/>
        </w:rPr>
        <w:t>公务员医疗补助</w:t>
      </w:r>
      <w:r>
        <w:rPr>
          <w:rFonts w:ascii="仿宋_GB2312" w:eastAsia="仿宋_GB2312"/>
          <w:b w:val="0"/>
          <w:sz w:val="32"/>
          <w:szCs w:val="32"/>
          <w:highlight w:val="none"/>
        </w:rPr>
        <w:t>缴费</w:t>
      </w:r>
      <w:r>
        <w:rPr>
          <w:rFonts w:hint="eastAsia" w:ascii="仿宋_GB2312" w:eastAsia="仿宋_GB2312"/>
          <w:b w:val="0"/>
          <w:sz w:val="32"/>
          <w:szCs w:val="32"/>
          <w:highlight w:val="none"/>
          <w:lang w:eastAsia="zh-CN"/>
        </w:rPr>
        <w:t>基数</w:t>
      </w:r>
      <w:r>
        <w:rPr>
          <w:rFonts w:hint="eastAsia" w:eastAsia="仿宋_GB2312" w:cs="Times New Roman"/>
          <w:color w:val="auto"/>
          <w:kern w:val="2"/>
          <w:sz w:val="32"/>
          <w:szCs w:val="32"/>
          <w:highlight w:val="none"/>
          <w:lang w:val="en-US" w:eastAsia="zh-CN" w:bidi="ar-SA"/>
        </w:rPr>
        <w:t>，缴费基数较上年有所提高，导致</w:t>
      </w:r>
      <w:r>
        <w:rPr>
          <w:rFonts w:ascii="仿宋_GB2312" w:eastAsia="仿宋_GB2312"/>
          <w:b w:val="0"/>
          <w:sz w:val="32"/>
          <w:szCs w:val="32"/>
        </w:rPr>
        <w:t>公务员医疗补助</w:t>
      </w:r>
      <w:bookmarkStart w:id="0" w:name="_GoBack"/>
      <w:bookmarkEnd w:id="0"/>
      <w:r>
        <w:rPr>
          <w:rFonts w:hint="eastAsia" w:eastAsia="仿宋_GB2312" w:cs="Times New Roman"/>
          <w:color w:val="auto"/>
          <w:kern w:val="2"/>
          <w:sz w:val="32"/>
          <w:szCs w:val="32"/>
          <w:highlight w:val="none"/>
          <w:lang w:val="en-US" w:eastAsia="zh-CN" w:bidi="ar-SA"/>
        </w:rPr>
        <w:t>支出较上年增长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住房保障支出（类）住房改革支出（款）住房公积金（项）：支出决算数为10.18万元，比上年决算增加1.16万元，增长12.86%，主要原因是：</w:t>
      </w:r>
      <w:r>
        <w:rPr>
          <w:rFonts w:hint="eastAsia" w:ascii="仿宋_GB2312" w:eastAsia="仿宋_GB2312"/>
          <w:b w:val="0"/>
          <w:sz w:val="32"/>
          <w:szCs w:val="32"/>
          <w:lang w:val="en-US" w:eastAsia="zh-CN"/>
        </w:rPr>
        <w:t>2024年公积金交纳基数增加，导</w:t>
      </w:r>
      <w:r>
        <w:rPr>
          <w:rFonts w:hint="eastAsia" w:eastAsia="仿宋_GB2312" w:cs="Times New Roman"/>
          <w:color w:val="auto"/>
          <w:kern w:val="2"/>
          <w:sz w:val="32"/>
          <w:szCs w:val="32"/>
          <w:highlight w:val="none"/>
          <w:lang w:val="en-US" w:eastAsia="zh-CN" w:bidi="ar-SA"/>
        </w:rPr>
        <w:t>致</w:t>
      </w:r>
      <w:r>
        <w:rPr>
          <w:rFonts w:hint="eastAsia" w:ascii="Times New Roman" w:hAnsi="Times New Roman" w:eastAsia="仿宋_GB2312" w:cs="Times New Roman"/>
          <w:color w:val="auto"/>
          <w:kern w:val="2"/>
          <w:sz w:val="32"/>
          <w:szCs w:val="32"/>
          <w:highlight w:val="none"/>
          <w:lang w:val="en-US" w:eastAsia="zh-CN" w:bidi="ar-SA"/>
        </w:rPr>
        <w:t>住房保障支出</w:t>
      </w:r>
      <w:r>
        <w:rPr>
          <w:rFonts w:hint="eastAsia" w:eastAsia="仿宋_GB2312" w:cs="Times New Roman"/>
          <w:color w:val="auto"/>
          <w:kern w:val="2"/>
          <w:sz w:val="32"/>
          <w:szCs w:val="32"/>
          <w:highlight w:val="none"/>
          <w:lang w:val="en-US" w:eastAsia="zh-CN" w:bidi="ar-SA"/>
        </w:rPr>
        <w:t>较上年增长。</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217.88万元，其中：人员经费210.59万元，包括：基本工资、津贴补贴、奖金、机关事业单位基本养老保险缴费、职工基本医疗保险缴费、公务员医疗补助缴费、其他社会保障缴费、住房公积金、其他工资福利支出和退休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公用经费7.29万元，包括：办公费、邮电费、差旅费、维修（护）费、培训费、工会经费、福利费和公务用车运行维护费。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2024年度财政拨款“三公”经费支出0.57万元，比上年减少0.19万元，下降25.00%，主要原因是：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2024年公务用车出车次数较上年减少，导致车辆维护维修支出较上年减少</w:t>
      </w:r>
      <w:r>
        <w:rPr>
          <w:rFonts w:hint="eastAsia" w:ascii="仿宋_GB2312" w:eastAsia="仿宋_GB2312"/>
          <w:color w:val="auto"/>
          <w:sz w:val="32"/>
          <w:szCs w:val="32"/>
          <w:highlight w:val="none"/>
          <w:lang w:val="zh-CN" w:eastAsia="zh-CN"/>
        </w:rPr>
        <w:t>。</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2024年无因公出国支出；</w:t>
      </w:r>
      <w:r>
        <w:rPr>
          <w:rFonts w:ascii="仿宋_GB2312" w:eastAsia="仿宋_GB2312"/>
          <w:b w:val="0"/>
          <w:sz w:val="32"/>
          <w:szCs w:val="32"/>
        </w:rPr>
        <w:t>公务用车购置及运行维护费支出0.57万元，占100.00%，比上年减少0.19万元，下降25.00%，主要原因是：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2024年公务用车出车次数较上年减少，导致车辆维护维修支出较上年下降</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2024年无公务接待支出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eastAsia="仿宋_GB2312"/>
          <w:b w:val="0"/>
          <w:sz w:val="32"/>
          <w:szCs w:val="32"/>
          <w:lang w:eastAsia="zh-CN"/>
        </w:rPr>
        <w:t>开支内容包括：我单位无因公出</w:t>
      </w:r>
      <w:r>
        <w:rPr>
          <w:rFonts w:ascii="仿宋_GB2312" w:eastAsia="仿宋_GB2312"/>
          <w:b w:val="0"/>
          <w:sz w:val="32"/>
          <w:szCs w:val="32"/>
        </w:rPr>
        <w:t>国（境）</w:t>
      </w:r>
      <w:r>
        <w:rPr>
          <w:rFonts w:hint="eastAsia" w:ascii="仿宋_GB2312" w:eastAsia="仿宋_GB2312"/>
          <w:b w:val="0"/>
          <w:sz w:val="32"/>
          <w:szCs w:val="32"/>
          <w:lang w:eastAsia="zh-CN"/>
        </w:rPr>
        <w:t>开支，</w:t>
      </w:r>
      <w:r>
        <w:rPr>
          <w:rFonts w:ascii="仿宋_GB2312" w:eastAsia="仿宋_GB2312"/>
          <w:b w:val="0"/>
          <w:sz w:val="32"/>
          <w:szCs w:val="32"/>
        </w:rPr>
        <w:t>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sz w:val="32"/>
          <w:szCs w:val="32"/>
          <w:lang w:eastAsia="zh-CN"/>
        </w:rPr>
      </w:pPr>
      <w:r>
        <w:rPr>
          <w:rFonts w:ascii="仿宋_GB2312" w:eastAsia="仿宋_GB2312"/>
          <w:b w:val="0"/>
          <w:sz w:val="32"/>
          <w:szCs w:val="32"/>
        </w:rPr>
        <w:t>公务用车购置及运行维护费0.57万元，其中：公务用车购置费0.00万元，公务用车运行维护费0.57万元。公务用车运行维护费开支内容包括</w:t>
      </w:r>
      <w:r>
        <w:rPr>
          <w:rFonts w:hint="eastAsia" w:ascii="仿宋_GB2312" w:eastAsia="仿宋_GB2312"/>
          <w:b w:val="0"/>
          <w:sz w:val="32"/>
          <w:szCs w:val="32"/>
          <w:lang w:eastAsia="zh-CN"/>
        </w:rPr>
        <w:t>公务用车维修（护）和车辆保险</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b w:val="0"/>
          <w:sz w:val="32"/>
          <w:szCs w:val="32"/>
          <w:lang w:eastAsia="zh-CN"/>
        </w:rPr>
        <w:t>本单位固定资产车辆与公务用车保有量一致无差异。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w:t>
      </w:r>
      <w:r>
        <w:rPr>
          <w:rFonts w:hint="eastAsia" w:ascii="仿宋_GB2312" w:eastAsia="仿宋_GB2312"/>
          <w:b w:val="0"/>
          <w:sz w:val="32"/>
          <w:szCs w:val="32"/>
          <w:lang w:eastAsia="zh-CN"/>
        </w:rPr>
        <w:t>包括：我单位无公务接待费开支，</w:t>
      </w:r>
      <w:r>
        <w:rPr>
          <w:rFonts w:ascii="仿宋_GB2312" w:eastAsia="仿宋_GB2312"/>
          <w:b w:val="0"/>
          <w:sz w:val="32"/>
          <w:szCs w:val="32"/>
        </w:rPr>
        <w:t>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与全年预算相比，财政拨款“三公”经费支出全年预算数0.57万元，决算数0.57万元，预决算差异率0.00%，主要原因是：</w:t>
      </w:r>
      <w:r>
        <w:rPr>
          <w:rFonts w:hint="eastAsia" w:ascii="仿宋_GB2312" w:eastAsia="仿宋_GB2312"/>
          <w:b w:val="0"/>
          <w:sz w:val="32"/>
          <w:szCs w:val="32"/>
          <w:lang w:val="en-US" w:eastAsia="zh-CN"/>
        </w:rPr>
        <w:t>严格按照预算执行，预决算无差异</w:t>
      </w:r>
      <w:r>
        <w:rPr>
          <w:rFonts w:hint="eastAsia" w:ascii="仿宋_GB2312" w:eastAsia="仿宋_GB2312"/>
          <w:color w:val="auto"/>
          <w:sz w:val="32"/>
          <w:szCs w:val="32"/>
          <w:highlight w:val="none"/>
          <w:lang w:val="zh-CN" w:eastAsia="zh-CN"/>
        </w:rPr>
        <w:t>。</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本年度我单位无因公出国出（境）费用支出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本年度我单位无公务用车购置费用支出</w:t>
      </w:r>
      <w:r>
        <w:rPr>
          <w:rFonts w:ascii="仿宋_GB2312" w:eastAsia="仿宋_GB2312"/>
          <w:b w:val="0"/>
          <w:sz w:val="32"/>
          <w:szCs w:val="32"/>
        </w:rPr>
        <w:t>。公务用车运行维护费全年预算数0.57万元，决算数0.57万元，预决算差异率0.00%，主要原因是：</w:t>
      </w:r>
      <w:r>
        <w:rPr>
          <w:rFonts w:hint="eastAsia" w:ascii="仿宋_GB2312" w:eastAsia="仿宋_GB2312"/>
          <w:color w:val="auto"/>
          <w:sz w:val="32"/>
          <w:szCs w:val="32"/>
          <w:highlight w:val="none"/>
          <w:lang w:val="zh-CN" w:eastAsia="zh-CN"/>
        </w:rPr>
        <w:t>本年度我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业</w:t>
      </w:r>
      <w:r>
        <w:rPr>
          <w:rFonts w:hint="eastAsia" w:ascii="仿宋_GB2312" w:eastAsia="仿宋_GB2312"/>
          <w:color w:val="auto"/>
          <w:sz w:val="32"/>
          <w:szCs w:val="32"/>
          <w:highlight w:val="none"/>
          <w:lang w:val="en-US" w:eastAsia="zh-CN"/>
        </w:rPr>
        <w:t>预算执行，预决算无差异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本年度我单位无公务接待费支出。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2024年度库尔勒市行政服务中心单位机关运行经费支出7.29万元，比上年增加4.04万元，增长124.31%，主要原因是：</w:t>
      </w:r>
      <w:r>
        <w:rPr>
          <w:rFonts w:hint="eastAsia" w:ascii="仿宋_GB2312" w:eastAsia="仿宋_GB2312"/>
          <w:b w:val="0"/>
          <w:sz w:val="32"/>
          <w:szCs w:val="32"/>
          <w:lang w:val="en-US" w:eastAsia="zh-CN"/>
        </w:rPr>
        <w:t>2024年自治区政务服务标杆化大厅验收，根据要求，维修改造部分老旧设施，提升了营商环境，维护维修开支增加，导致机关运行经费较上年较长</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2024年度政府采购支出总额55.27万元，其中：政府采购货物支出5.32万元、政府采购工程支出0.00万元、政府采购服务支出49.95万元。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授予中小企业合同金额55.27万元，占政府采购支出总额的100.00%，其中：授予小微企业合同金额16.50万元，占政府采购支出总额的29.85%。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1辆，价值18.09万元，其中：副部（省）级及以上领导用车0辆、主要负责人用车0辆、机要通信用车0辆、应急保障用车0辆、执法执勤用车0辆、特种专业技术用车0辆、离退休干部服务用车0辆、其他用车1辆，其他用车主要是</w:t>
      </w:r>
      <w:r>
        <w:rPr>
          <w:rFonts w:hint="eastAsia" w:eastAsia="仿宋_GB2312" w:cs="Times New Roman"/>
          <w:color w:val="auto"/>
          <w:sz w:val="32"/>
          <w:szCs w:val="32"/>
          <w:highlight w:val="none"/>
          <w:lang w:val="zh-CN" w:eastAsia="zh-CN"/>
        </w:rPr>
        <w:t>单位业务用车</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4" w:firstLineChars="200"/>
        <w:jc w:val="both"/>
        <w:textAlignment w:val="auto"/>
        <w:rPr>
          <w:rStyle w:val="5"/>
          <w:rFonts w:hint="eastAsia" w:ascii="仿宋" w:hAnsi="仿宋" w:eastAsia="仿宋" w:cs="仿宋"/>
          <w:b w:val="0"/>
          <w:color w:val="auto"/>
          <w:spacing w:val="-4"/>
          <w:kern w:val="2"/>
          <w:sz w:val="32"/>
          <w:szCs w:val="32"/>
          <w:lang w:val="en-US" w:eastAsia="zh-CN" w:bidi="ar-SA"/>
        </w:rPr>
      </w:pPr>
      <w:r>
        <w:rPr>
          <w:rStyle w:val="5"/>
          <w:rFonts w:hint="eastAsia" w:ascii="仿宋" w:hAnsi="仿宋" w:eastAsia="仿宋" w:cs="仿宋"/>
          <w:b w:val="0"/>
          <w:color w:val="auto"/>
          <w:spacing w:val="-4"/>
          <w:kern w:val="2"/>
          <w:sz w:val="32"/>
          <w:szCs w:val="32"/>
          <w:lang w:val="en-US" w:eastAsia="zh-CN" w:bidi="ar-SA"/>
        </w:rPr>
        <w:t>根据预算绩效管理要求，本单位2024年度预算绩效管理形成整体支出绩效自评表1个，全年预算总额280.95万元，实际执行总额280.95万元；预算绩效评价项目2个，全年预算数63.89万元，全年执行数63.07万元。预算绩效管理取得的成效：一是保障了公共办事场所8970平方米，功能健全，环境舒适，入驻50余家窗口单位，约200名左右工作人员日常服于企业和群众的后勤保障，优化营商环境，为办事企业和群众提供了快捷，便利，高效的服务。二是保障“12345”政务热线通畅，接通率达97%，对各类非紧急类热线保证24小时内及时转办、催办、督办、答复，有效搭建政府与群众的“连心桥”，提升政府公信力。发现的问题及原因：（一）预算绩效观念不深入，思想认识有误区。预算绩效存在“重分配、轻管理、重支出、轻绩效”的思想，认为预算申报的项目能落实到位和预算安排的资金能用出去就不会有大的问题，没有考虑效益最大化。（二）绩效管理专业人员匮乏,规范管理有盲点。预算绩效管理工作的覆盖面广、专业性强，从事预算绩效管理的工作人员大多是财务人员，推进绩效管理既缺乏工作经验也缺乏专业技能，难以做到程序规范、管理科学和绩效显著。（三）评价结果运用不充分，推动作用有局限性。预算绩效评价结果运用只是停留在反映情况、发现问题、督促整改等层面，绩效管理与年度预算编制结合得不够紧密，落实问题整改不到位；预算绩效结果的透明度不高、绩效评价结果不能更快更多地转化成管理措施。下一步改进措施：（一）加强绩效管理工作方面的培训。积极参加第三方开展的绩效管理工作培训，进一步夯实业务基础，提高绩效人员水平。（二）推行绩效工作定职定岗定人制度，制定对绩效工作人员定职、定岗、定责等相关制度措施，进一步提升我中心绩效管理工作业务水平，扎实做好绩效管理工作。（三）统筹预算内外资金管理。以部门预算为重点，提高财政预算的全面、完整性。在编制财政预算的整个过程中，应将预算内外所有资金、资产全面整合，统筹安排，切实完善预算制度管理。</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4" w:firstLineChars="200"/>
        <w:jc w:val="both"/>
        <w:textAlignment w:val="auto"/>
        <w:rPr>
          <w:rStyle w:val="5"/>
          <w:rFonts w:hint="eastAsia" w:ascii="仿宋" w:hAnsi="仿宋" w:eastAsia="仿宋" w:cs="仿宋"/>
          <w:b w:val="0"/>
          <w:color w:val="auto"/>
          <w:spacing w:val="-4"/>
          <w:kern w:val="2"/>
          <w:sz w:val="32"/>
          <w:szCs w:val="32"/>
          <w:lang w:val="en-US" w:eastAsia="zh-CN" w:bidi="ar-SA"/>
        </w:rPr>
      </w:pPr>
      <w:r>
        <w:rPr>
          <w:rStyle w:val="5"/>
          <w:rFonts w:hint="eastAsia" w:ascii="仿宋" w:hAnsi="仿宋" w:eastAsia="仿宋" w:cs="仿宋"/>
          <w:b w:val="0"/>
          <w:color w:val="auto"/>
          <w:spacing w:val="-4"/>
          <w:kern w:val="2"/>
          <w:sz w:val="32"/>
          <w:szCs w:val="32"/>
          <w:lang w:val="en-US" w:eastAsia="zh-CN" w:bidi="ar-SA"/>
        </w:rPr>
        <w:t>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黑体" w:eastAsia="黑体"/>
          <w:b w:val="0"/>
          <w:sz w:val="32"/>
          <w:szCs w:val="32"/>
          <w:lang w:val="en-US" w:eastAsia="zh-CN"/>
        </w:rPr>
      </w:pPr>
      <w:r>
        <w:rPr>
          <w:rFonts w:hint="eastAsia" w:ascii="黑体" w:eastAsia="黑体"/>
          <w:b w:val="0"/>
          <w:sz w:val="32"/>
          <w:szCs w:val="32"/>
          <w:lang w:val="en-US" w:eastAsia="zh-CN"/>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24" w:firstLineChars="200"/>
        <w:jc w:val="both"/>
        <w:textAlignment w:val="auto"/>
        <w:rPr>
          <w:rStyle w:val="5"/>
          <w:rFonts w:hint="eastAsia" w:ascii="仿宋" w:hAnsi="仿宋" w:eastAsia="仿宋" w:cs="仿宋"/>
          <w:b w:val="0"/>
          <w:color w:val="auto"/>
          <w:spacing w:val="-4"/>
          <w:kern w:val="2"/>
          <w:sz w:val="32"/>
          <w:szCs w:val="32"/>
          <w:lang w:val="en-US" w:eastAsia="zh-CN" w:bidi="ar-SA"/>
        </w:rPr>
      </w:pPr>
      <w:r>
        <w:rPr>
          <w:rStyle w:val="5"/>
          <w:rFonts w:hint="eastAsia" w:ascii="仿宋" w:hAnsi="仿宋" w:eastAsia="仿宋" w:cs="仿宋"/>
          <w:b w:val="0"/>
          <w:color w:val="auto"/>
          <w:spacing w:val="-4"/>
          <w:kern w:val="2"/>
          <w:sz w:val="32"/>
          <w:szCs w:val="32"/>
          <w:lang w:val="en-US" w:eastAsia="zh-CN" w:bidi="ar-SA"/>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
    <w:p>
      <w:pPr>
        <w:pStyle w:val="2"/>
      </w:pPr>
    </w:p>
    <w:p>
      <w:r>
        <w:drawing>
          <wp:inline distT="0" distB="0" distL="114300" distR="114300">
            <wp:extent cx="5479415" cy="5782310"/>
            <wp:effectExtent l="0" t="0" r="698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
                    <a:stretch>
                      <a:fillRect/>
                    </a:stretch>
                  </pic:blipFill>
                  <pic:spPr>
                    <a:xfrm>
                      <a:off x="0" y="0"/>
                      <a:ext cx="5479415" cy="5782310"/>
                    </a:xfrm>
                    <a:prstGeom prst="rect">
                      <a:avLst/>
                    </a:prstGeom>
                    <a:noFill/>
                    <a:ln>
                      <a:noFill/>
                    </a:ln>
                  </pic:spPr>
                </pic:pic>
              </a:graphicData>
            </a:graphic>
          </wp:inline>
        </w:drawing>
      </w:r>
    </w:p>
    <w:p>
      <w:pPr>
        <w:pStyle w:val="2"/>
      </w:pPr>
    </w:p>
    <w:p/>
    <w:p>
      <w:pPr>
        <w:pStyle w:val="2"/>
      </w:pPr>
    </w:p>
    <w:p/>
    <w:p/>
    <w:p>
      <w:pPr>
        <w:pStyle w:val="2"/>
      </w:pPr>
    </w:p>
    <w:p>
      <w:r>
        <w:drawing>
          <wp:inline distT="0" distB="0" distL="114300" distR="114300">
            <wp:extent cx="5475605" cy="4904105"/>
            <wp:effectExtent l="0" t="0" r="10795" b="1079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5475605" cy="4904105"/>
                    </a:xfrm>
                    <a:prstGeom prst="rect">
                      <a:avLst/>
                    </a:prstGeom>
                    <a:noFill/>
                    <a:ln>
                      <a:noFill/>
                    </a:ln>
                  </pic:spPr>
                </pic:pic>
              </a:graphicData>
            </a:graphic>
          </wp:inline>
        </w:drawing>
      </w:r>
    </w:p>
    <w:p>
      <w:pPr>
        <w:pStyle w:val="2"/>
      </w:pPr>
    </w:p>
    <w:p/>
    <w:p>
      <w:pPr>
        <w:pStyle w:val="2"/>
      </w:pPr>
    </w:p>
    <w:p/>
    <w:p>
      <w:pPr>
        <w:pStyle w:val="2"/>
      </w:pPr>
    </w:p>
    <w:p/>
    <w:p/>
    <w:p>
      <w:pPr>
        <w:pStyle w:val="2"/>
      </w:pPr>
    </w:p>
    <w:p/>
    <w:p>
      <w:pPr>
        <w:pStyle w:val="2"/>
      </w:pPr>
    </w:p>
    <w:p/>
    <w:p/>
    <w:p>
      <w:r>
        <w:drawing>
          <wp:inline distT="0" distB="0" distL="114300" distR="114300">
            <wp:extent cx="5483225" cy="6341745"/>
            <wp:effectExtent l="0" t="0" r="317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483225" cy="6341745"/>
                    </a:xfrm>
                    <a:prstGeom prst="rect">
                      <a:avLst/>
                    </a:prstGeom>
                    <a:noFill/>
                    <a:ln>
                      <a:noFill/>
                    </a:ln>
                  </pic:spPr>
                </pic:pic>
              </a:graphicData>
            </a:graphic>
          </wp:inline>
        </w:drawing>
      </w: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pPr>
    </w:p>
    <w:p>
      <w:r>
        <w:drawing>
          <wp:inline distT="0" distB="0" distL="114300" distR="114300">
            <wp:extent cx="5485130" cy="6467475"/>
            <wp:effectExtent l="0" t="0" r="127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tretch>
                      <a:fillRect/>
                    </a:stretch>
                  </pic:blipFill>
                  <pic:spPr>
                    <a:xfrm>
                      <a:off x="0" y="0"/>
                      <a:ext cx="5485130" cy="6467475"/>
                    </a:xfrm>
                    <a:prstGeom prst="rect">
                      <a:avLst/>
                    </a:prstGeom>
                    <a:noFill/>
                    <a:ln>
                      <a:noFill/>
                    </a:ln>
                  </pic:spPr>
                </pic:pic>
              </a:graphicData>
            </a:graphic>
          </wp:inline>
        </w:drawing>
      </w:r>
    </w:p>
    <w:p>
      <w:pPr>
        <w:pStyle w:val="2"/>
      </w:pPr>
    </w:p>
    <w:p/>
    <w:p>
      <w:pPr>
        <w:pStyle w:val="2"/>
      </w:pPr>
    </w:p>
    <w:p/>
    <w:p/>
    <w:p>
      <w:pPr>
        <w:pStyle w:val="2"/>
      </w:pPr>
    </w:p>
    <w:p>
      <w:r>
        <w:drawing>
          <wp:inline distT="0" distB="0" distL="114300" distR="114300">
            <wp:extent cx="5481320" cy="4740275"/>
            <wp:effectExtent l="0" t="0" r="508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5481320" cy="474027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
      <w:r>
        <w:drawing>
          <wp:inline distT="0" distB="0" distL="114300" distR="114300">
            <wp:extent cx="5483225" cy="6476365"/>
            <wp:effectExtent l="0" t="0" r="3175"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9"/>
                    <a:stretch>
                      <a:fillRect/>
                    </a:stretch>
                  </pic:blipFill>
                  <pic:spPr>
                    <a:xfrm>
                      <a:off x="0" y="0"/>
                      <a:ext cx="5483225" cy="6476365"/>
                    </a:xfrm>
                    <a:prstGeom prst="rect">
                      <a:avLst/>
                    </a:prstGeom>
                    <a:noFill/>
                    <a:ln>
                      <a:noFill/>
                    </a:ln>
                  </pic:spPr>
                </pic:pic>
              </a:graphicData>
            </a:graphic>
          </wp:inline>
        </w:drawing>
      </w:r>
    </w:p>
    <w:p>
      <w:pPr>
        <w:pStyle w:val="2"/>
      </w:pPr>
    </w:p>
    <w:p/>
    <w:p>
      <w:pPr>
        <w:pStyle w:val="2"/>
      </w:pPr>
    </w:p>
    <w:p/>
    <w:p>
      <w:pPr>
        <w:pStyle w:val="2"/>
      </w:pPr>
    </w:p>
    <w:p/>
    <w:p>
      <w:pPr>
        <w:pStyle w:val="2"/>
      </w:pPr>
    </w:p>
    <w:p>
      <w:r>
        <w:drawing>
          <wp:inline distT="0" distB="0" distL="114300" distR="114300">
            <wp:extent cx="5481955" cy="3237230"/>
            <wp:effectExtent l="0" t="0" r="4445"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0"/>
                    <a:stretch>
                      <a:fillRect/>
                    </a:stretch>
                  </pic:blipFill>
                  <pic:spPr>
                    <a:xfrm>
                      <a:off x="0" y="0"/>
                      <a:ext cx="5481955" cy="323723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2"/>
        <w:tabs>
          <w:tab w:val="left" w:pos="2034"/>
        </w:tabs>
      </w:pPr>
      <w:r>
        <w:rPr>
          <w:rFonts w:hint="eastAsia"/>
          <w:lang w:eastAsia="zh-CN"/>
        </w:rPr>
        <w:tab/>
      </w:r>
    </w:p>
    <w:p>
      <w:r>
        <w:drawing>
          <wp:inline distT="0" distB="0" distL="114300" distR="114300">
            <wp:extent cx="5480685" cy="2894330"/>
            <wp:effectExtent l="0" t="0" r="5715"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1"/>
                    <a:stretch>
                      <a:fillRect/>
                    </a:stretch>
                  </pic:blipFill>
                  <pic:spPr>
                    <a:xfrm>
                      <a:off x="0" y="0"/>
                      <a:ext cx="5480685" cy="2894330"/>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
      <w:pPr>
        <w:pStyle w:val="2"/>
      </w:pPr>
    </w:p>
    <w:p>
      <w:r>
        <w:drawing>
          <wp:inline distT="0" distB="0" distL="114300" distR="114300">
            <wp:extent cx="5476240" cy="2329815"/>
            <wp:effectExtent l="0" t="0" r="10160" b="133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2"/>
                    <a:stretch>
                      <a:fillRect/>
                    </a:stretch>
                  </pic:blipFill>
                  <pic:spPr>
                    <a:xfrm>
                      <a:off x="0" y="0"/>
                      <a:ext cx="5476240" cy="232981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
      <w:pPr>
        <w:pStyle w:val="2"/>
      </w:pPr>
    </w:p>
    <w:p/>
    <w:p>
      <w:pPr>
        <w:pStyle w:val="2"/>
      </w:pPr>
    </w:p>
    <w:p/>
    <w:p>
      <w:pPr>
        <w:pStyle w:val="2"/>
      </w:pPr>
    </w:p>
    <w:p/>
    <w:p>
      <w:pPr>
        <w:pStyle w:val="2"/>
      </w:pPr>
    </w:p>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compat>
    <w:useFELayout/>
    <w:splitPgBreakAndParaMark/>
    <w:compatSetting w:name="compatibilityMode" w:uri="http://schemas.microsoft.com/office/word" w:val="12"/>
  </w:compat>
  <w:rsids>
    <w:rsidRoot w:val="00000000"/>
    <w:rsid w:val="002D2F45"/>
    <w:rsid w:val="011A15BB"/>
    <w:rsid w:val="043F6DE2"/>
    <w:rsid w:val="044B7C64"/>
    <w:rsid w:val="071F0C28"/>
    <w:rsid w:val="090503B8"/>
    <w:rsid w:val="09390FBF"/>
    <w:rsid w:val="0A763A33"/>
    <w:rsid w:val="0D9C130E"/>
    <w:rsid w:val="0DC020A9"/>
    <w:rsid w:val="0DC05783"/>
    <w:rsid w:val="0DEC18C7"/>
    <w:rsid w:val="0E974919"/>
    <w:rsid w:val="1395057A"/>
    <w:rsid w:val="15095776"/>
    <w:rsid w:val="1757107A"/>
    <w:rsid w:val="17EC1748"/>
    <w:rsid w:val="1919680B"/>
    <w:rsid w:val="19F51FD6"/>
    <w:rsid w:val="1A124463"/>
    <w:rsid w:val="1B225078"/>
    <w:rsid w:val="1BC74E78"/>
    <w:rsid w:val="209226C5"/>
    <w:rsid w:val="21511067"/>
    <w:rsid w:val="22077EB6"/>
    <w:rsid w:val="253C6CA3"/>
    <w:rsid w:val="283E17AF"/>
    <w:rsid w:val="2A1709C6"/>
    <w:rsid w:val="2D764605"/>
    <w:rsid w:val="30485745"/>
    <w:rsid w:val="33884481"/>
    <w:rsid w:val="3389575C"/>
    <w:rsid w:val="37455329"/>
    <w:rsid w:val="39A7090F"/>
    <w:rsid w:val="3C1D1088"/>
    <w:rsid w:val="3DE15474"/>
    <w:rsid w:val="43355DBE"/>
    <w:rsid w:val="44783EB5"/>
    <w:rsid w:val="45B639F2"/>
    <w:rsid w:val="49C40B48"/>
    <w:rsid w:val="4B6E1F7F"/>
    <w:rsid w:val="4C984065"/>
    <w:rsid w:val="4ED55E46"/>
    <w:rsid w:val="50857C12"/>
    <w:rsid w:val="50D56A4B"/>
    <w:rsid w:val="53235DE7"/>
    <w:rsid w:val="535F47E4"/>
    <w:rsid w:val="57265593"/>
    <w:rsid w:val="59AE095C"/>
    <w:rsid w:val="5B982930"/>
    <w:rsid w:val="5F4B5C36"/>
    <w:rsid w:val="5FE35D1F"/>
    <w:rsid w:val="633210C8"/>
    <w:rsid w:val="6E6E656D"/>
    <w:rsid w:val="700C69AA"/>
    <w:rsid w:val="70B370CE"/>
    <w:rsid w:val="727372ED"/>
    <w:rsid w:val="72800772"/>
    <w:rsid w:val="75420E4F"/>
    <w:rsid w:val="75E07910"/>
    <w:rsid w:val="770E3FEA"/>
    <w:rsid w:val="7832702D"/>
    <w:rsid w:val="78FF6A0D"/>
    <w:rsid w:val="79A40D0C"/>
    <w:rsid w:val="7ACB28AD"/>
    <w:rsid w:val="7B562C40"/>
    <w:rsid w:val="7CA33440"/>
    <w:rsid w:val="7E6B0AAC"/>
    <w:rsid w:val="7F307D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spacing w:line="560" w:lineRule="exact"/>
      <w:outlineLvl w:val="2"/>
    </w:pPr>
    <w:rPr>
      <w:rFonts w:ascii="仿宋" w:hAnsi="仿宋" w:eastAsia="仿宋" w:cs="仿宋"/>
      <w:color w:val="000000" w:themeColor="text1"/>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6728</Words>
  <Characters>7373</Characters>
  <TotalTime>0</TotalTime>
  <ScaleCrop>false</ScaleCrop>
  <LinksUpToDate>false</LinksUpToDate>
  <CharactersWithSpaces>7381</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2025-08-13T09:44:00Z</dcterms:created>
  <dc:creator>Administrator</dc:creator>
  <cp:lastModifiedBy>Administrator</cp:lastModifiedBy>
  <dcterms:modified xsi:type="dcterms:W3CDTF">2025-11-18T07:45:07Z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eyJoZGlkIjoiYWM5MDE2NGYwMGE1YjY5YWVjYTgwN2E3N2ViNDAyMWIiLCJ1c2VySWQiOiI1MzMyNjY2NjMifQ==</vt:lpwstr>
  </property>
  <property fmtid="{D5CDD505-2E9C-101B-9397-08002B2CF9AE}" pid="4" name="ICV">
    <vt:lpwstr>502F4B38CC044CF69824680A72C5E4D9_12</vt:lpwstr>
  </property>
</Properties>
</file>