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库尔勒市人民政府办公室</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2025年04月29日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（一）围绕市委决策部署和市人民政府中心工作，筹备组织市人民政府各类会议，协助市人民政府领导同志组织实施会议决定事项。</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（二）协助市人民政府领导同志组织起草或审核以市人民政府、市人民政府办公室名义发布的公文。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三）督促检查党中央、国务院，自治区党委、自治区人民政府和州党委、州人民政府以及市委、市人民政府重要文件、重要会议和领导同志重要指示批示、交办事项的贯彻落实情况并跟踪调研，及时向市人民政府领导同志报告。督促检查人大代表议案建议和政协委员提案的督办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（四）研究市人民政府各部门和各乡镇人民政府、街道办事处请示市人民政府的事项，提出审核意见，报市人民政府领导同志审定。</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（五）负责市人民政府值班工作，及时向市人民政府领导同志报告重要情况。协助处理各部门和各乡镇人民政府、街道办事处向市人民政府反映的重要问题，传达和督促落实市人民政府领导同志的指示批示要求。</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（六）负责全市政府系统政务信息的指导、收集、调研、整理、报送工作，指导协调全市政府系统信息工作。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（七）指导、监督政务公开及政府信息公开工作。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（八）根据市人民政府的工作重点和市人民政府领导同志指示批示，组织专题调查研究，及时反映情况，提出建议。</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（九）负责市政府网站信息内容管理，指导、推进全市政府网站信息内容建设。负责市人民政府网站的技术支撑、建设维护、运营管理、安全防护等工作。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（十）负责统筹推进市本级行政审批制度改革工作，指导和监督各部门行政审批制度改革工作，负责市本级行政审批清理调整、优化规范和监督检查。</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十一）贯彻执行党和国家对外工作方针、政策和有关法律、法规以及自治区、自治州和市委、市人民政府关于外事工作的决定，协调督促有关方面落实市委外事工作委员会决定事项、工作部署和要求等，协调处理重要涉外事务，配合有关部门开展对境外非政府组织在库活动的管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十一）负责协调落实数据基础制度，统筹数据资源整合共享和开发利用，贯彻落实数字库尔勒、数字经济、数字社会、数字政府规划和建设，负责推动政务服务体系建设工作，落实政务服务“一网通办”、政府运行“一网协同”、经济社会治理“一网统管”建设相关职责。</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（十二）完成市委、市人民政府交办的其他事项。</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2.机构设置及人员情况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人民政府办公室部门包括本级机关及0个直属事业单位，机关内设11个科室（综合一室、综合二室、综合三室、公文处理室、档案室、市人民政府值班室、市人民政府信息督查室、市人民政府政务服务办公室、政策法规室、外事办公室、数字化发展室）。</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库尔勒市人民政府办公室编制数45，实有人数89人，其中：在职41人，增加0人；退休47人，增加0人；离休0人，减少1人。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目标1：完成89人的社保、医疗、公积金、工资的保障；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目标2：完成89人的学习工作等业务活动所需的办公用品、耗材、学习材料等后勤保障；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目标3：在春节、古尔邦节慰问困难群众2次，有效提升困难群众节日幸福感；</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目标4：完成党政办公楼运维中心的4条网络链路运行维护；完成库尔勒市政府门户网站4次以上常态化检测；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目标5：根据招商引资规划完成全年不少于24次的招商任务；</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目标6：依据政府职能完成全年会务工作，起草或审核以库尔勒市人民政府、库尔勒市人民政府办公室名义发布的公文，督促各项公文会议决定事项的贯彻落实情况；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目标7：完成库尔勒市人民政府办公室全年政务值班值守工作，及时向上级部门报告重要情况，反映重要问题，传达部署重要决定，完成上级部门交办的各项任务。</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2.重点工作计划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是为了有效保证上级政策和市政府决策的贯彻落实，严格按照要求部署，认真完成起草会议讲话、工作报告和其它综合材料。要对每次会议从议题、议程、报告起草、文件资料的制发，到会议通知、会场布置、报到、记录、会议服务都做到精心安排，严密部署，确保政府的高效运转。</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是加强政府网站管理，及时处理政府网站错敏信息、隐私泄露信息，及时梳理基层政务公开目录，同时督促各单位政务新媒体账号及时整改错敏信息。统筹好智慧城市电子政务运行项目的实施与管理，做好九馆三中心、智慧库尔勒运维中心、政府办公楼的电信及移动互联网4条链路的相关运行保障工作及经费支付工作，确保政务系统正常运转，从而以“数字政府”改革建设效能推动政务服务提升，以深化“放管服”改革助力营商环境优化，切实提升社会治理体系和治理能力现代化水平，助推库尔勒市经济高质量发展。</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三是加强市人民政府值班工作，及时向市人民政府领导同志报告重要情况。协助处理各部门和各乡镇人民政府、街道办事处向市人民政府反映的重要问题，传达和督促落实市人民政府领导同志的指示批示要求。发挥政府信息主渠道作用，加强信息收集，做到紧急信息报送“快”、问题信息把握”准”、经验信息探究“深”，提供有价值有见地有意义的信息参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四是坚持财务民主管理和审签“一支笔”制度，强化财经纪律，严格执行办公用品购置、政府采购等财务制度，努力保障在职干部的正常工作开展。加强报销票据审核，坚决杜绝不合规、不合法票据列支，确保财务管理严格规范。规范各项税费的申报缴纳工作，按期缴纳在职及退休人员的社保、医保及公积金、个人所得税等，加强行政事业性统一票证的管理，加强财务知识学习。</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库尔勒市人民政府办公室年初预算安排1189.44万元，其中财政拨款1189.44万元，其他资金0.00万元，主要用于人员经费主要用于支付办公室41名工作人员的工资、津贴、补贴、奖金等，以及为职工缴纳社会保险、住房公积金等福利费用以及47名离退休人员的工资、医疗费等。人员保障性经费能够依规、按时、足额发放或缴纳，有效提升了部门人员工作积极性和服务质量。日常办公支出主要用于包括购买办公用品、设备，支付差旅费、培训费等，以维持办公室日常运转，为部门正常履职和开展综合性事务管理提供有效支撑。专项业务工作经费主要用于政府政策研究、文件起草与印发、政务信息收集与处理、政府重大活动组织等专项工作的经费以及办公设备的更新换代等方面的支出。年中调整121.42万元，调整后全年预算1068.02万元，预算调整率11.37%，调整预算的主要原因为计划维护设备运行良好，年初安排专项业务工作经费项目部分支出缩减。</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1.预算编制</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部门坚持围绕中心工作，遵循“量入为出、收支平衡、保障重点、厉行节约”原则，严格依据国家相关财经法规、政策文件及市政府年度重点工作任务编制预算。以人员编制、工作职能、历史支出数据为基础，结合当年工作计划与实际需求，科学测算各项经费，确保预算贴合工作实际。同时合理设定入库项目绩效指标、年度目标值，科学构建部门整体支出核心绩效指标体系和编报部门整体预算申请绩效报告，推动提高财政资金配置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2.预算执行</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财政批复预算后，我单位按要求及时制定并报批部门预算支出计划，严格按照预算安排和项目实施计划推进资金支付，定期分析预算执行进度，靠前抓好支出执行，坚持严肃财经纪律，硬化预算约束，持续树牢厉行节约理念，严控一般性支出，努力降低运行成本，同时，加强资金使用的监督检查，确保专款专用，无挪用、挤占财政资金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3.绩效管理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单位严格按照财政要求，落实预算绩效管理全过程，包括①在预算编制阶段，针对每一项预算支出设定明确、具体、可衡量、可实现、有时限的绩效目标。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4.信息公开</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按照政府信息公开相关规定，及时、全面公开单位预算、决算信息。在库尔勒市人民政府门户网站公开部门预算信息，同步公开绩效目标表；在库尔勒市人民政府门户网站公开部门决算信息，同步公开自评表及自评报告，确保信息完整、准确、详细，满足社会公众知情权，保障公众对财政资金使用情况的及时监督。</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基本支出924.77万元，包括工资福利支出667.44万元，商品和服务支出152.87万元，对个人和家庭的补助104.46万元。其中：“三公”经费支出0万元，比上年增加0万元，主要原因是单位无会议支出；会议费支出0万元，比上年增加0万元，主要原因是单位无“三公”经费支出；培训费支出3.61万元，比上年减少0.37万元，主要原因是根据工作计划减少了参加培训人数，培训费用较上年减少。</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2.专项资金支出情况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专项项目支出143.25万元，占总支出的13.41％，主要用于1.收集、整理和发布政务信息，运营政府网站，提升政府形象和公信力；2.举办各类招商引资等活动，包括差旅费等费用；3.购置和维护办公设备、信息系统、网络设备等，保障办公室工作的正常运转。</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3.部门单位专项组织实施情况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单位下发的库尔勒市人民政府办公室工作计划，对项目的工作分工、任务分配、资金落实、完成时限等提出了明确、具体的要求，以确保项目保质、保量、按时完成。截至2024年12月31日，完成专项2个，未完成专项0个。</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市政办为规范专项资金使用、提高使用效益，从制度建设、过程监管、绩效管理和信息公开四方面发力，具体措施如下：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1.健全制度体系，筑牢规范使用根基：制定完善专项资金管理办法，明确专项资金的全流程标准和要求。细化各类专项资金使用范围、开支标准，杜绝资金滥用，增强制度刚性约束力，确保专项资金使用有章可循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强化过程监管，严控资金使用风险：加强对专项资金使用关键环节的审核，项目资金专款专用，杜绝序列项目支出，截留，挤占，挪用和超标准支出等现象，使项目资金的运用得到了合理的控制，项目得到了切实的保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深化绩效管理，提升资金使用效能：实施全过程绩效管理，在专项资金设立时科学设定绩效目标，明确预期产出、效益和满意度指标；执行过程中加强绩效监控，定期对比分析绩效目标完成情况与资金使用进度，对偏离目标的及时预警并调整；项目完成后开展绩效评价，全面评估资金使用效果，将评价结果与下一年度资金安排关联。</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推进信息公开，增强资金使用透明度：建立专项资金信息公开机制，通过门户网站、政务公开平台等渠道，及时、全面公开专项资金的政策依据、管理办法、分配结果、使用情况、绩效评价结果等信息，主动接受社会监督。</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人民政府办公室总支出1068.02万元，预算执行率100%，其中：一般公共服务支出673.92万元；教育支出3.61万元；科学技术支出103.25万元；社会保障和就业支出187.90万元；卫生健康支出39.81万元；住房保障支出54.54万元；其他支出4.99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人民政府办公室基本支出924.77万元，占总支出的86.59％，其中：一般公共服务支出633.92万元；教育支出3.61万元；社会保障和就业支出187.90万元；卫生健康支出39.81万元；住房保障支出54.54万元；其他支出4.99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2024年，库尔勒市人民政府办公室项目支出143.25万元，占总支出的13.41％。其中：一般公共服务支出40.00万元；科学技术支出103.25万元。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（二）部门单位整体支出绩效指标完成情况分析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年初我单位设置部门整体绩效目标中包括一级指标1个履职效能，二级指标1个，三级指标4个，指标完成情况分析如下：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1.运行成本无此项指标。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2.管理效率无此项指标。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3.履职效能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（1）数量指标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指标1：电子政务政府网站巡检次数，指标值：=4次，年中监控完成值：4次，自评完成值：4次，指标完成率100%，偏差0%，指标成效分析：通过完成电子政务政府网站巡检工作，有效保障政务系统的正常运转。</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2：开展招商引资宣传活动次数，指标值：&gt;=24次，年中监控完成值：8次，自评完成值：8次，指标完成率30%，偏差70%，偏差原因：因工作任务调整，下半年减少了招商引资活动；改进措施：加强与业务科室沟通，提高预算编制的精准性和合理性，科学预测项目资金需求。指标成效分析：通过开展招商引资活动，有效激活了本地产业活力，带动本地经济发展。</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3：节日慰问次数，指标值：&gt;=2场次，年中监控完成值：3场次，自评完成值：3场次，指标完成率150%，偏差50%，偏差原因：按实际情况填报，超额完成绩效预期指标；改进措施：精准预算精准预期指标。指标成效分析：通过完成春节、古尔邦节、国庆三次节日慰问工作，提升了困难群众幸福感，增强了社会公信力。</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指标4：政务值班场次，指标值：&gt;=12次，年中监控完成值：12次，自评完成值：12次，指标完成率100%，偏差0%，指标成效分析：通过完成政务值班工作，提升政府服务的及时性，构建了高效的响应机制。</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4.社会效益无此项指标。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5.可持续发展能力无此项指标。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6.服务对象满意度无此项指标。</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2024年度部门整体支出绩效评价综合得分83.33分，评价结果为“良”。</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（一）预算编制精准度有待提高</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我单位部分绩效指标因工作任务调整、市场价格波动等因素，导致预算与实际支出存在偏差，预算编制时对不可预见因素考虑不足，影响资金使用效率。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（二）绩效评价体系不够完善</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绩效指标设置的科学性和针对性不足，部分指标难以量化考核；绩效评价结果应用范围较窄，未能充分发挥绩效评价对工作改进的指导作用。</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（一）加强预算编制管理</w:t>
      </w:r>
      <w:r>
        <w:rPr>
          <w:rFonts w:hint="eastAsia" w:ascii="仿宋_GB2312" w:hAnsi="宋体" w:eastAsia="仿宋_GB2312"/>
          <w:bCs/>
          <w:sz w:val="32"/>
          <w:szCs w:val="32"/>
        </w:rPr>
        <w:br w:type="textWrapping"/>
      </w:r>
      <w:r>
        <w:rPr>
          <w:rFonts w:hint="eastAsia" w:ascii="仿宋_GB2312" w:hAnsi="宋体" w:eastAsia="仿宋_GB2312"/>
          <w:bCs/>
          <w:sz w:val="32"/>
          <w:szCs w:val="32"/>
        </w:rPr>
        <w:t>建立预算编制动态调整机制，结合往年支出数据和当年工作实际，科学预测项目资金需求；加强与业务科室沟通，提高预算编制的精准性和合理性。</w:t>
      </w:r>
      <w:r>
        <w:rPr>
          <w:rFonts w:hint="eastAsia" w:ascii="仿宋_GB2312" w:hAnsi="宋体" w:eastAsia="仿宋_GB2312"/>
          <w:bCs/>
          <w:sz w:val="32"/>
          <w:szCs w:val="32"/>
        </w:rPr>
        <w:br w:type="textWrapping"/>
      </w:r>
      <w:r>
        <w:rPr>
          <w:rFonts w:hint="eastAsia" w:ascii="仿宋_GB2312" w:hAnsi="宋体" w:eastAsia="仿宋_GB2312"/>
          <w:bCs/>
          <w:sz w:val="32"/>
          <w:szCs w:val="32"/>
        </w:rPr>
        <w:t>（二）完善绩效评价体系</w:t>
      </w:r>
      <w:r>
        <w:rPr>
          <w:rFonts w:hint="eastAsia" w:ascii="仿宋_GB2312" w:hAnsi="宋体" w:eastAsia="仿宋_GB2312"/>
          <w:bCs/>
          <w:sz w:val="32"/>
          <w:szCs w:val="32"/>
        </w:rPr>
        <w:br w:type="textWrapping"/>
      </w:r>
      <w:r>
        <w:rPr>
          <w:rFonts w:hint="eastAsia" w:ascii="仿宋_GB2312" w:hAnsi="宋体" w:eastAsia="仿宋_GB2312"/>
          <w:bCs/>
          <w:sz w:val="32"/>
          <w:szCs w:val="32"/>
        </w:rPr>
        <w:t>优化绩效指标设置，细化量化考核标准，增强指标的可操作性；强化绩效评价结果应用，将评价结果与预算安排、干部考核挂钩，充分发挥绩效评价的激励约束作用。</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1D4D41DB"/>
    <w:rsid w:val="200F4073"/>
    <w:rsid w:val="24B86128"/>
    <w:rsid w:val="452F2EE6"/>
    <w:rsid w:val="51C70EA9"/>
    <w:rsid w:val="54F842B6"/>
    <w:rsid w:val="61291734"/>
    <w:rsid w:val="64F5745B"/>
    <w:rsid w:val="656071F2"/>
    <w:rsid w:val="6BF1756B"/>
    <w:rsid w:val="6F5E1AA3"/>
    <w:rsid w:val="7BBA546F"/>
    <w:rsid w:val="7BC6487A"/>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23</TotalTime>
  <ScaleCrop>false</ScaleCrop>
  <LinksUpToDate>false</LinksUpToDate>
  <CharactersWithSpaces>384</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2025-08-15T03:57:16Z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4E2A216151A24EE5A190066F518526B7</vt:lpwstr>
  </property>
</Properties>
</file>