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640" w:firstLineChars="200"/>
        <w:rPr>
          <w:rFonts w:hAnsi="宋体" w:eastAsia="仿宋_GB2312" w:cs="宋体"/>
          <w:kern w:val="0"/>
          <w:sz w:val="40"/>
          <w:szCs w:val="40"/>
        </w:rPr>
      </w:pPr>
      <w:r>
        <w:rPr>
          <w:rFonts w:hint="eastAsia" w:hAnsi="宋体" w:eastAsia="仿宋_GB2312" w:cs="宋体"/>
          <w:kern w:val="0"/>
          <w:sz w:val="32"/>
          <w:szCs w:val="32"/>
        </w:rPr>
        <w:t>部门单位名称（公章）</w:t>
      </w:r>
      <w:r>
        <w:rPr>
          <w:rFonts w:hint="eastAsia" w:ascii="仿宋" w:hAnsi="仿宋" w:eastAsia="仿宋" w:cs="仿宋"/>
          <w:kern w:val="0"/>
          <w:sz w:val="40"/>
          <w:szCs w:val="40"/>
        </w:rPr>
        <w:t>：</w:t>
      </w:r>
      <w:r>
        <w:rPr>
          <w:rStyle w:val="7"/>
          <w:rFonts w:hint="eastAsia" w:ascii="仿宋" w:hAnsi="仿宋" w:eastAsia="仿宋" w:cs="仿宋"/>
          <w:b w:val="0"/>
          <w:bCs w:val="0"/>
          <w:spacing w:val="-4"/>
          <w:sz w:val="40"/>
          <w:szCs w:val="40"/>
        </w:rPr>
        <w:t>库尔勒市人工影响天气办公室</w:t>
      </w:r>
    </w:p>
    <w:p>
      <w:pPr>
        <w:spacing w:line="540" w:lineRule="exact"/>
        <w:ind w:firstLine="640" w:firstLineChars="200"/>
        <w:rPr>
          <w:rFonts w:ascii="仿宋" w:hAnsi="仿宋" w:eastAsia="仿宋" w:cs="仿宋"/>
          <w:kern w:val="0"/>
          <w:sz w:val="40"/>
          <w:szCs w:val="40"/>
        </w:rPr>
      </w:pPr>
      <w:r>
        <w:rPr>
          <w:rFonts w:hint="eastAsia" w:hAnsi="宋体" w:eastAsia="仿宋_GB2312" w:cs="宋体"/>
          <w:kern w:val="0"/>
          <w:sz w:val="32"/>
          <w:szCs w:val="32"/>
        </w:rPr>
        <w:t>填报时间：</w:t>
      </w:r>
      <w:r>
        <w:rPr>
          <w:rStyle w:val="7"/>
          <w:rFonts w:hint="eastAsia" w:ascii="仿宋" w:hAnsi="仿宋" w:eastAsia="仿宋" w:cs="仿宋"/>
          <w:b w:val="0"/>
          <w:bCs w:val="0"/>
          <w:spacing w:val="-4"/>
          <w:sz w:val="40"/>
          <w:szCs w:val="40"/>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keepNext w:val="0"/>
        <w:keepLines w:val="0"/>
        <w:pageBreakBefore w:val="0"/>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宋体" w:eastAsia="仿宋_GB2312"/>
          <w:bCs/>
          <w:sz w:val="32"/>
          <w:szCs w:val="32"/>
        </w:rPr>
      </w:pPr>
      <w:r>
        <w:rPr>
          <w:rFonts w:hint="eastAsia" w:ascii="仿宋_GB2312" w:hAnsi="宋体" w:eastAsia="仿宋_GB2312"/>
          <w:bCs/>
          <w:sz w:val="32"/>
          <w:szCs w:val="32"/>
        </w:rPr>
        <w:t>1.部门职能</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ascii="Times New Roman" w:hAnsi="Times New Roman" w:eastAsia="方正仿宋_GBK" w:cs="Times New Roman"/>
          <w:color w:val="auto"/>
          <w:sz w:val="31"/>
          <w:szCs w:val="31"/>
          <w:highlight w:val="none"/>
          <w:lang w:val="en-US" w:eastAsia="zh-CN"/>
        </w:rPr>
        <w:t xml:space="preserve">（1）拟定人工影响天气的发展规划、计划和有关法规、 制度的实施细则、补充规定及作业技术规范，并组织实施。 </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eastAsia="方正仿宋_GBK" w:cs="Times New Roman"/>
          <w:color w:val="auto"/>
          <w:sz w:val="31"/>
          <w:szCs w:val="31"/>
          <w:highlight w:val="none"/>
          <w:lang w:val="en-US" w:eastAsia="zh-CN"/>
        </w:rPr>
        <w:t>（2）</w:t>
      </w:r>
      <w:r>
        <w:rPr>
          <w:rFonts w:hint="eastAsia" w:ascii="Times New Roman" w:hAnsi="Times New Roman" w:eastAsia="方正仿宋_GBK" w:cs="Times New Roman"/>
          <w:color w:val="auto"/>
          <w:sz w:val="31"/>
          <w:szCs w:val="31"/>
          <w:highlight w:val="none"/>
          <w:lang w:val="en-US" w:eastAsia="zh-CN"/>
        </w:rPr>
        <w:t xml:space="preserve">负责审批本市区域内人工影响天气作业组织资格； 审定全市高炮（火箭）人工增雨、防雹作业计划；综合协调全市人工增雨防雹作业及空域申报工作。 </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eastAsia="方正仿宋_GBK" w:cs="Times New Roman"/>
          <w:color w:val="auto"/>
          <w:sz w:val="31"/>
          <w:szCs w:val="31"/>
          <w:highlight w:val="none"/>
          <w:lang w:val="en-US" w:eastAsia="zh-CN"/>
        </w:rPr>
        <w:t>（3）</w:t>
      </w:r>
      <w:r>
        <w:rPr>
          <w:rFonts w:hint="eastAsia" w:ascii="Times New Roman" w:hAnsi="Times New Roman" w:eastAsia="方正仿宋_GBK" w:cs="Times New Roman"/>
          <w:color w:val="auto"/>
          <w:sz w:val="31"/>
          <w:szCs w:val="31"/>
          <w:highlight w:val="none"/>
          <w:lang w:val="en-US" w:eastAsia="zh-CN"/>
        </w:rPr>
        <w:t xml:space="preserve">负责全市人工影响天气业务管理、技术指导、技术培训和炮箭手持证上岗培训、颁证工作。 </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eastAsia="方正仿宋_GBK" w:cs="Times New Roman"/>
          <w:color w:val="auto"/>
          <w:sz w:val="31"/>
          <w:szCs w:val="31"/>
          <w:highlight w:val="none"/>
          <w:lang w:val="en-US" w:eastAsia="zh-CN"/>
        </w:rPr>
        <w:t>（4）</w:t>
      </w:r>
      <w:r>
        <w:rPr>
          <w:rFonts w:hint="eastAsia" w:ascii="Times New Roman" w:hAnsi="Times New Roman" w:eastAsia="方正仿宋_GBK" w:cs="Times New Roman"/>
          <w:color w:val="auto"/>
          <w:sz w:val="31"/>
          <w:szCs w:val="31"/>
          <w:highlight w:val="none"/>
          <w:lang w:val="en-US" w:eastAsia="zh-CN"/>
        </w:rPr>
        <w:t xml:space="preserve">归口管理全市人工增雨、防雹高炮、火箭架、炮弹、火箭弹的计划、调拨和年检工作，并实行统筹、统购、统管；归口管理人工影响天气作业指导的X波段数字化雷达。制定本市范围内的飞机人工影响天气作业计划、并组织协调实施。 </w:t>
      </w:r>
    </w:p>
    <w:p>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highlight w:val="none"/>
          <w:lang w:val="en-US" w:eastAsia="zh-CN"/>
        </w:rPr>
      </w:pPr>
      <w:r>
        <w:rPr>
          <w:rFonts w:hint="eastAsia" w:eastAsia="方正仿宋_GBK" w:cs="Times New Roman"/>
          <w:color w:val="auto"/>
          <w:sz w:val="31"/>
          <w:szCs w:val="31"/>
          <w:highlight w:val="none"/>
          <w:lang w:val="en-US" w:eastAsia="zh-CN"/>
        </w:rPr>
        <w:t>（5）</w:t>
      </w:r>
      <w:r>
        <w:rPr>
          <w:rFonts w:hint="eastAsia" w:ascii="Times New Roman" w:hAnsi="Times New Roman" w:eastAsia="方正仿宋_GBK" w:cs="Times New Roman"/>
          <w:color w:val="auto"/>
          <w:sz w:val="31"/>
          <w:szCs w:val="31"/>
          <w:highlight w:val="none"/>
          <w:lang w:val="en-US" w:eastAsia="zh-CN"/>
        </w:rPr>
        <w:t xml:space="preserve">负责全市人工影响天气作业情况的统计、效益评估等工作；定期、不定期编发工作简报和统计报表。负责组织实施本市人工影响天气业务的现代化建设工作。 </w:t>
      </w:r>
    </w:p>
    <w:p>
      <w:pPr>
        <w:spacing w:line="600" w:lineRule="exact"/>
        <w:ind w:firstLine="620" w:firstLineChars="200"/>
        <w:jc w:val="left"/>
        <w:rPr>
          <w:rFonts w:ascii="仿宋_GB2312" w:hAnsi="宋体" w:eastAsia="仿宋_GB2312"/>
          <w:bCs/>
          <w:sz w:val="32"/>
          <w:szCs w:val="32"/>
        </w:rPr>
      </w:pPr>
      <w:r>
        <w:rPr>
          <w:rFonts w:hint="eastAsia" w:eastAsia="方正仿宋_GBK" w:cs="Times New Roman"/>
          <w:color w:val="auto"/>
          <w:sz w:val="31"/>
          <w:szCs w:val="31"/>
          <w:highlight w:val="none"/>
          <w:lang w:val="en-US" w:eastAsia="zh-CN"/>
        </w:rPr>
        <w:t>（6）</w:t>
      </w:r>
      <w:r>
        <w:rPr>
          <w:rFonts w:hint="eastAsia" w:ascii="Times New Roman" w:hAnsi="Times New Roman" w:eastAsia="方正仿宋_GBK" w:cs="Times New Roman"/>
          <w:color w:val="auto"/>
          <w:sz w:val="31"/>
          <w:szCs w:val="31"/>
          <w:highlight w:val="none"/>
          <w:lang w:val="en-US" w:eastAsia="zh-CN"/>
        </w:rPr>
        <w:t xml:space="preserve">承担本市人工影响天气业务的科学研究及新技术、 新项目的开发工作。配合有关部门组织实施重大森林火灾灭火、消除公共污染等目的的人工增雨工作。 </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库尔勒市人工影响天气办公室单位编制数5人，实有人数5人，其中：在职5人；退休0人；离休0人。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购买火箭发射装置数量5个；人影作业炮点维修数量1处；人影作业运行车辆数5辆；人影作业公告及宣传制作次数3次；采购人影作业专用耗材数量1批；该项目完善人工增雨长效机制，显著提升降水转化率，降低自然风险对农牧民收入的影响，有效解决水资源短缺难题，增强农牧民种植生产的积极性。</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人工影响天气办公室单位2023年通过本部门预算支出，确保了5名在职人员的工资、津贴、补贴、社保、绩效、公积金等以及0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643" w:firstLineChars="2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2024年</w:t>
      </w:r>
      <w:r>
        <w:rPr>
          <w:rFonts w:hint="eastAsia" w:ascii="仿宋_GB2312" w:hAnsi="宋体" w:eastAsia="仿宋_GB2312"/>
          <w:bCs/>
          <w:sz w:val="32"/>
          <w:szCs w:val="32"/>
          <w:lang w:eastAsia="zh-CN"/>
        </w:rPr>
        <w:t>我单位</w:t>
      </w:r>
      <w:r>
        <w:rPr>
          <w:rFonts w:hint="eastAsia" w:ascii="仿宋_GB2312" w:hAnsi="宋体" w:eastAsia="仿宋_GB2312"/>
          <w:bCs/>
          <w:sz w:val="32"/>
          <w:szCs w:val="32"/>
        </w:rPr>
        <w:t>年初安排预算数为131.19万元，其中:上级安排0万元,本级安排131.19万元，其他资金0万元。</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lang w:eastAsia="zh-CN"/>
        </w:rPr>
        <w:t>我单位</w:t>
      </w:r>
      <w:r>
        <w:rPr>
          <w:rFonts w:hint="eastAsia" w:ascii="仿宋_GB2312" w:hAnsi="宋体" w:eastAsia="仿宋_GB2312"/>
          <w:bCs/>
          <w:sz w:val="32"/>
          <w:szCs w:val="32"/>
        </w:rPr>
        <w:t>年初安排预算数131.19万元，年中调整数-19.3万元，调整后全年预算数111.89万元，预算调整率14.71%。</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我单位2024年度部门整体支出为111.81万元，其中：</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基本支出81.45万元，主要用于：基本工资、津贴补贴、奖金、机关事业单位基本养老保险缴费、职业年金缴费、职工基本医疗保险缴费、住房公积金、办公费、邮电费、公用取暖费、培训费、劳务费、职工福利费、工会经费、公务用车运行维护费、因无退休人员，不产生其他个人补助支出。</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（2）项目支出30.45万元，主要用于 支农专项-人影气象专项项目30.45万元。</w:t>
      </w:r>
    </w:p>
    <w:p>
      <w:pPr>
        <w:numPr>
          <w:ilvl w:val="0"/>
          <w:numId w:val="0"/>
        </w:numPr>
        <w:snapToGrid w:val="0"/>
        <w:spacing w:line="540" w:lineRule="exact"/>
        <w:ind w:firstLine="643" w:firstLineChars="200"/>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二、</w:t>
      </w: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left="638" w:leftChars="304" w:firstLine="0" w:firstLineChars="0"/>
        <w:jc w:val="left"/>
        <w:rPr>
          <w:rFonts w:hint="eastAsia"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t>2024年</w:t>
      </w:r>
      <w:r>
        <w:rPr>
          <w:rFonts w:hint="eastAsia" w:ascii="仿宋_GB2312" w:hAnsi="宋体" w:eastAsia="仿宋_GB2312"/>
          <w:bCs/>
          <w:sz w:val="32"/>
          <w:szCs w:val="32"/>
          <w:lang w:eastAsia="zh-CN"/>
        </w:rPr>
        <w:t>我单位</w:t>
      </w:r>
      <w:r>
        <w:rPr>
          <w:rFonts w:hint="eastAsia" w:ascii="仿宋_GB2312" w:hAnsi="宋体" w:eastAsia="仿宋_GB2312"/>
          <w:bCs/>
          <w:sz w:val="32"/>
          <w:szCs w:val="32"/>
        </w:rPr>
        <w:t>基本支出年初预算安排91.19万元，全年预算数</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91.19万元，全年实际支出数81.45万元，其中：人员经费71.15万元，公用经费10.3万元。全年预算执行率100.00%。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公用取暖费、培训费、劳务费、职工福利费、工会经费、公务用车运行维护费等。公务用车运行维护费主要用于单位车辆加油、维修及购买车辆保险。</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2024年本单位共安排1个项目，全年预算数为30.45万元，全年实际支出数30.45万元，执行率100.00%。</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其中:上级安排项目0个0万元，本级安排项目1个30.45万元,其他资金安排项目0个0.00万元。</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我单位2024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  （一）指标一：运行成本</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  （二）指标二：管理效率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  （三）指标三：履职效能</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数量指标1：维护作业点数量 ,预期指标值为：&gt;=5个；监控节点完成值：=5个；评价实际完成值：=5个；指标完成率：100.00%；成效分析：通过单位正常运转，有效减弱了冰雹对农作物的伤害。</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数量指标2：购买人工增雨炮弹数量,预期指标值为：&gt;=50枚；监控节点完成值：=50枚；评价实际完成值：=50枚；指标完成率：100.00%；成效分析：通过单位正常运转，充分发挥人工影响天气在防灾减灾。</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数量指标3：编发人工影响天气作业情况简报次数,预期指标值为：&gt;=1次；监控节点完成值：=0次；评价实际完成值：=1次；指标完成率：100.00%；成效分析：通过单位正常运转，提高了使气象灾害造成的损失减少到了最小限度。</w:t>
      </w:r>
    </w:p>
    <w:p>
      <w:pPr>
        <w:spacing w:line="600" w:lineRule="exact"/>
        <w:ind w:firstLine="640" w:firstLineChars="200"/>
        <w:jc w:val="left"/>
        <w:rPr>
          <w:rFonts w:ascii="仿宋_GB2312" w:hAnsi="宋体" w:eastAsia="仿宋_GB2312"/>
          <w:b/>
          <w:sz w:val="32"/>
          <w:szCs w:val="32"/>
        </w:rPr>
      </w:pPr>
      <w:r>
        <w:rPr>
          <w:rFonts w:hint="eastAsia" w:ascii="仿宋_GB2312" w:hAnsi="宋体" w:eastAsia="仿宋_GB2312"/>
          <w:bCs/>
          <w:sz w:val="32"/>
          <w:szCs w:val="32"/>
        </w:rPr>
        <w:t>数量指标4：组织技术培训次数,预期指标值为：&gt;=2次；监控节点完成值：=1次；评价实际完成值：=2次；指标完成率：100.00%；成效分析：通过单位正常运转，提高了工作技术专业性。</w:t>
      </w:r>
      <w:r>
        <w:rPr>
          <w:rFonts w:hint="eastAsia" w:ascii="仿宋_GB2312" w:hAnsi="宋体" w:eastAsia="仿宋_GB2312"/>
          <w:bCs/>
          <w:sz w:val="32"/>
          <w:szCs w:val="32"/>
        </w:rPr>
        <w:cr/>
      </w:r>
      <w:r>
        <w:rPr>
          <w:rFonts w:hint="eastAsia" w:ascii="仿宋_GB2312" w:hAnsi="宋体" w:eastAsia="仿宋_GB2312"/>
          <w:bCs/>
          <w:sz w:val="32"/>
          <w:szCs w:val="32"/>
        </w:rPr>
        <w:t xml:space="preserve">  </w:t>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  （五）指标五：可持续发展能力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  （六）指标六：服务对象满意度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numPr>
          <w:ilvl w:val="0"/>
          <w:numId w:val="1"/>
        </w:numPr>
        <w:snapToGrid w:val="0"/>
        <w:spacing w:line="540" w:lineRule="exac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附表：《部门整体支出绩效目标自评表》</w:t>
      </w:r>
    </w:p>
    <w:tbl>
      <w:tblPr>
        <w:tblStyle w:val="5"/>
        <w:tblW w:w="5000" w:type="pct"/>
        <w:tblInd w:w="0" w:type="dxa"/>
        <w:tblLayout w:type="autofit"/>
        <w:tblCellMar>
          <w:top w:w="0" w:type="dxa"/>
          <w:left w:w="108" w:type="dxa"/>
          <w:bottom w:w="0" w:type="dxa"/>
          <w:right w:w="108" w:type="dxa"/>
        </w:tblCellMar>
      </w:tblPr>
      <w:tblGrid>
        <w:gridCol w:w="1302"/>
        <w:gridCol w:w="1384"/>
        <w:gridCol w:w="1211"/>
        <w:gridCol w:w="1112"/>
        <w:gridCol w:w="909"/>
        <w:gridCol w:w="932"/>
        <w:gridCol w:w="932"/>
        <w:gridCol w:w="2180"/>
      </w:tblGrid>
      <w:tr>
        <w:tblPrEx>
          <w:tblCellMar>
            <w:top w:w="0" w:type="dxa"/>
            <w:left w:w="108" w:type="dxa"/>
            <w:bottom w:w="0" w:type="dxa"/>
            <w:right w:w="108" w:type="dxa"/>
          </w:tblCellMar>
        </w:tblPrEx>
        <w:trPr>
          <w:trHeight w:val="680" w:hRule="atLeast"/>
        </w:trPr>
        <w:tc>
          <w:tcPr>
            <w:tcW w:w="8522" w:type="dxa"/>
            <w:gridSpan w:val="8"/>
            <w:tcBorders>
              <w:top w:val="nil"/>
              <w:left w:val="nil"/>
              <w:bottom w:val="nil"/>
              <w:right w:val="nil"/>
            </w:tcBorders>
            <w:noWrap w:val="0"/>
            <w:vAlign w:val="center"/>
          </w:tcPr>
          <w:p>
            <w:pPr>
              <w:keepNext w:val="0"/>
              <w:keepLines w:val="0"/>
              <w:widowControl/>
              <w:suppressLineNumbers w:val="0"/>
              <w:jc w:val="center"/>
              <w:textAlignment w:val="center"/>
              <w:rPr>
                <w:rFonts w:ascii="华文中宋" w:hAnsi="华文中宋" w:eastAsia="华文中宋" w:cs="华文中宋"/>
                <w:b/>
                <w:bCs/>
                <w:color w:val="000000"/>
                <w:sz w:val="40"/>
                <w:szCs w:val="40"/>
              </w:rPr>
            </w:pPr>
            <w:bookmarkStart w:id="1" w:name="_GoBack" w:colFirst="0" w:colLast="7"/>
            <w:r>
              <w:rPr>
                <w:rFonts w:hint="eastAsia" w:ascii="宋体" w:hAnsi="宋体" w:eastAsia="宋体" w:cs="宋体"/>
                <w:b/>
                <w:bCs/>
                <w:i w:val="0"/>
                <w:iCs w:val="0"/>
                <w:color w:val="000000"/>
                <w:kern w:val="0"/>
                <w:sz w:val="28"/>
                <w:szCs w:val="28"/>
                <w:u w:val="none"/>
                <w:lang w:val="en-US" w:eastAsia="zh-CN" w:bidi="ar"/>
              </w:rPr>
              <w:t>部门（单位）整体支出绩效目标自评表</w:t>
            </w:r>
          </w:p>
        </w:tc>
      </w:tr>
      <w:tr>
        <w:tblPrEx>
          <w:tblCellMar>
            <w:top w:w="0" w:type="dxa"/>
            <w:left w:w="108" w:type="dxa"/>
            <w:bottom w:w="0" w:type="dxa"/>
            <w:right w:w="108" w:type="dxa"/>
          </w:tblCellMar>
        </w:tblPrEx>
        <w:trPr>
          <w:trHeight w:val="680" w:hRule="atLeast"/>
        </w:trPr>
        <w:tc>
          <w:tcPr>
            <w:tcW w:w="8522" w:type="dxa"/>
            <w:gridSpan w:val="8"/>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cs="宋体"/>
                <w:b/>
                <w:bCs/>
                <w:color w:val="000000"/>
                <w:sz w:val="24"/>
              </w:rPr>
            </w:pPr>
            <w:r>
              <w:rPr>
                <w:rFonts w:hint="eastAsia" w:ascii="宋体" w:hAnsi="宋体" w:eastAsia="宋体" w:cs="宋体"/>
                <w:b/>
                <w:bCs/>
                <w:i w:val="0"/>
                <w:iCs w:val="0"/>
                <w:color w:val="000000"/>
                <w:kern w:val="0"/>
                <w:sz w:val="22"/>
                <w:szCs w:val="22"/>
                <w:u w:val="none"/>
                <w:lang w:val="en-US" w:eastAsia="zh-CN" w:bidi="ar"/>
              </w:rPr>
              <w:t>（2024年）</w:t>
            </w:r>
          </w:p>
        </w:tc>
      </w:tr>
      <w:tr>
        <w:tblPrEx>
          <w:tblCellMar>
            <w:top w:w="0" w:type="dxa"/>
            <w:left w:w="108" w:type="dxa"/>
            <w:bottom w:w="0" w:type="dxa"/>
            <w:right w:w="108" w:type="dxa"/>
          </w:tblCellMar>
        </w:tblPrEx>
        <w:trPr>
          <w:trHeight w:val="680" w:hRule="atLeast"/>
        </w:trPr>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部门（单位）名称</w:t>
            </w:r>
          </w:p>
        </w:tc>
        <w:tc>
          <w:tcPr>
            <w:tcW w:w="7408"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库尔勒市人工影响天气办公室</w:t>
            </w:r>
          </w:p>
        </w:tc>
      </w:tr>
      <w:tr>
        <w:tblPrEx>
          <w:tblCellMar>
            <w:top w:w="0" w:type="dxa"/>
            <w:left w:w="108" w:type="dxa"/>
            <w:bottom w:w="0" w:type="dxa"/>
            <w:right w:w="108" w:type="dxa"/>
          </w:tblCellMar>
        </w:tblPrEx>
        <w:trPr>
          <w:trHeight w:val="680" w:hRule="atLeast"/>
        </w:trPr>
        <w:tc>
          <w:tcPr>
            <w:tcW w:w="1114"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部门资金（万元）</w:t>
            </w:r>
          </w:p>
        </w:tc>
        <w:tc>
          <w:tcPr>
            <w:tcW w:w="1184"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资金来源</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年初预算数</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全年预算数</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全年执行数</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分值权重</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执行率</w:t>
            </w: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得分</w:t>
            </w:r>
          </w:p>
        </w:tc>
      </w:tr>
      <w:tr>
        <w:tblPrEx>
          <w:tblCellMar>
            <w:top w:w="0" w:type="dxa"/>
            <w:left w:w="108" w:type="dxa"/>
            <w:bottom w:w="0" w:type="dxa"/>
            <w:right w:w="108" w:type="dxa"/>
          </w:tblCellMar>
        </w:tblPrEx>
        <w:trPr>
          <w:trHeight w:val="680" w:hRule="atLeast"/>
        </w:trPr>
        <w:tc>
          <w:tcPr>
            <w:tcW w:w="111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184"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年度总资金</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131.19</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111.89</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111.89</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100%</w:t>
            </w: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10</w:t>
            </w:r>
          </w:p>
        </w:tc>
      </w:tr>
      <w:tr>
        <w:tblPrEx>
          <w:tblCellMar>
            <w:top w:w="0" w:type="dxa"/>
            <w:left w:w="108" w:type="dxa"/>
            <w:bottom w:w="0" w:type="dxa"/>
            <w:right w:w="108" w:type="dxa"/>
          </w:tblCellMar>
        </w:tblPrEx>
        <w:trPr>
          <w:trHeight w:val="680" w:hRule="atLeast"/>
        </w:trPr>
        <w:tc>
          <w:tcPr>
            <w:tcW w:w="111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其中:上级安排（万元）</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680" w:hRule="atLeast"/>
        </w:trPr>
        <w:tc>
          <w:tcPr>
            <w:tcW w:w="111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本级安排（万元）</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131.19</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111.89</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111.89</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680" w:hRule="atLeast"/>
        </w:trPr>
        <w:tc>
          <w:tcPr>
            <w:tcW w:w="111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其他资金（万元）</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680" w:hRule="atLeast"/>
        </w:trPr>
        <w:tc>
          <w:tcPr>
            <w:tcW w:w="111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年度总体目标</w:t>
            </w:r>
          </w:p>
        </w:tc>
        <w:tc>
          <w:tcPr>
            <w:tcW w:w="317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预期目标</w:t>
            </w:r>
          </w:p>
        </w:tc>
        <w:tc>
          <w:tcPr>
            <w:tcW w:w="423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680" w:hRule="atLeast"/>
        </w:trPr>
        <w:tc>
          <w:tcPr>
            <w:tcW w:w="111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317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 xml:space="preserve">目标1：按时发放职工人员工资及社保缴费、住房公积金；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目标2：保障公务运行经费运用及时到位；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目标3：购买人工增雨炮弹不少于50枚，保障8个作业点正常运转100%，炮弹作业及时率达到100%；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目标4 ：有效减弱了冰雹对农作物的伤害，为农牧民增收“保驾护航”</w:t>
            </w:r>
          </w:p>
        </w:tc>
        <w:tc>
          <w:tcPr>
            <w:tcW w:w="423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 xml:space="preserve">实际完成：按时发放职工人员工资及社保缴费、住房公积金；保障公务运行经费运用及时到位；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购买人工增雨发射装置5个，保障1个作业点正常运转100%，借用30团炮弹作业及时率达到100%；有效减弱了冰雹对农作物的伤害，为农牧民增收“保驾护航”。</w:t>
            </w:r>
          </w:p>
        </w:tc>
      </w:tr>
      <w:tr>
        <w:tblPrEx>
          <w:tblCellMar>
            <w:top w:w="0" w:type="dxa"/>
            <w:left w:w="108" w:type="dxa"/>
            <w:bottom w:w="0" w:type="dxa"/>
            <w:right w:w="108" w:type="dxa"/>
          </w:tblCellMar>
        </w:tblPrEx>
        <w:trPr>
          <w:trHeight w:val="680" w:hRule="atLeast"/>
        </w:trPr>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一级指标</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二级指标</w:t>
            </w:r>
          </w:p>
        </w:tc>
        <w:tc>
          <w:tcPr>
            <w:tcW w:w="1036"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三级指标</w:t>
            </w:r>
          </w:p>
        </w:tc>
        <w:tc>
          <w:tcPr>
            <w:tcW w:w="951"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预期指标值</w:t>
            </w:r>
          </w:p>
        </w:tc>
        <w:tc>
          <w:tcPr>
            <w:tcW w:w="778"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指标值设定依据</w:t>
            </w:r>
          </w:p>
        </w:tc>
        <w:tc>
          <w:tcPr>
            <w:tcW w:w="797"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分值权重</w:t>
            </w:r>
          </w:p>
        </w:tc>
        <w:tc>
          <w:tcPr>
            <w:tcW w:w="797"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实际完成指标值</w:t>
            </w:r>
          </w:p>
        </w:tc>
        <w:tc>
          <w:tcPr>
            <w:tcW w:w="1865"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得分</w:t>
            </w:r>
          </w:p>
        </w:tc>
      </w:tr>
      <w:tr>
        <w:tblPrEx>
          <w:tblCellMar>
            <w:top w:w="0" w:type="dxa"/>
            <w:left w:w="108" w:type="dxa"/>
            <w:bottom w:w="0" w:type="dxa"/>
            <w:right w:w="108" w:type="dxa"/>
          </w:tblCellMar>
        </w:tblPrEx>
        <w:trPr>
          <w:trHeight w:val="680" w:hRule="atLeast"/>
        </w:trPr>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运行成本</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jc w:val="center"/>
            </w:pP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680" w:hRule="atLeast"/>
        </w:trPr>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管理效率</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jc w:val="center"/>
            </w:pP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680" w:hRule="atLeast"/>
        </w:trPr>
        <w:tc>
          <w:tcPr>
            <w:tcW w:w="111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履职效能</w:t>
            </w:r>
          </w:p>
        </w:tc>
        <w:tc>
          <w:tcPr>
            <w:tcW w:w="118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保障8个作业点正常运转率</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=100%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2024年工作计划</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30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=100%</w:t>
            </w: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30</w:t>
            </w:r>
          </w:p>
        </w:tc>
      </w:tr>
      <w:tr>
        <w:tblPrEx>
          <w:tblCellMar>
            <w:top w:w="0" w:type="dxa"/>
            <w:left w:w="108" w:type="dxa"/>
            <w:bottom w:w="0" w:type="dxa"/>
            <w:right w:w="108" w:type="dxa"/>
          </w:tblCellMar>
        </w:tblPrEx>
        <w:trPr>
          <w:trHeight w:val="680" w:hRule="atLeast"/>
        </w:trPr>
        <w:tc>
          <w:tcPr>
            <w:tcW w:w="111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1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购买人工增雨炮弹数量</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&gt;=50枚</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2024年工作计划</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30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=0枚</w:t>
            </w: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680" w:hRule="atLeast"/>
        </w:trPr>
        <w:tc>
          <w:tcPr>
            <w:tcW w:w="111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时效指标</w:t>
            </w: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炮弹作业及时率</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=100%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2024年工作计划</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30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=100%</w:t>
            </w: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30</w:t>
            </w:r>
          </w:p>
        </w:tc>
      </w:tr>
      <w:tr>
        <w:tblPrEx>
          <w:tblCellMar>
            <w:top w:w="0" w:type="dxa"/>
            <w:left w:w="108" w:type="dxa"/>
            <w:bottom w:w="0" w:type="dxa"/>
            <w:right w:w="108" w:type="dxa"/>
          </w:tblCellMar>
        </w:tblPrEx>
        <w:trPr>
          <w:trHeight w:val="680" w:hRule="atLeast"/>
        </w:trPr>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社会效益</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3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778" w:type="dxa"/>
            <w:tcBorders>
              <w:top w:val="single" w:color="000000" w:sz="4" w:space="0"/>
              <w:left w:val="single" w:color="000000" w:sz="4" w:space="0"/>
              <w:bottom w:val="single" w:color="000000" w:sz="4" w:space="0"/>
              <w:right w:val="single" w:color="000000" w:sz="4" w:space="0"/>
            </w:tcBorders>
            <w:noWrap w:val="0"/>
            <w:vAlign w:val="center"/>
          </w:tcPr>
          <w:p>
            <w:pPr>
              <w:jc w:val="center"/>
            </w:pP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7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18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r>
      <w:bookmarkEnd w:id="1"/>
    </w:tbl>
    <w:p>
      <w:pPr>
        <w:numPr>
          <w:numId w:val="0"/>
        </w:numPr>
        <w:snapToGrid w:val="0"/>
        <w:spacing w:line="540" w:lineRule="exact"/>
        <w:rPr>
          <w:rFonts w:hint="eastAsia" w:ascii="黑体" w:hAnsi="黑体" w:eastAsia="黑体" w:cs="宋体"/>
          <w:b/>
          <w:color w:val="000000" w:themeColor="text1"/>
          <w:sz w:val="32"/>
          <w:szCs w:val="32"/>
          <w:lang w:bidi="ar"/>
          <w14:textFill>
            <w14:solidFill>
              <w14:schemeClr w14:val="tx1"/>
            </w14:solidFill>
          </w14:textFill>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34BB08CD"/>
    <w:rsid w:val="51C70EA9"/>
    <w:rsid w:val="54F842B6"/>
    <w:rsid w:val="582F5C88"/>
    <w:rsid w:val="64F5745B"/>
    <w:rsid w:val="656071F2"/>
    <w:rsid w:val="6BF1756B"/>
    <w:rsid w:val="6F5E1AA3"/>
    <w:rsid w:val="7C024684"/>
    <w:rsid w:val="7F200B83"/>
    <w:rsid w:val="7F4E04D5"/>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3135</Words>
  <Characters>3316</Characters>
  <Lines>2</Lines>
  <Paragraphs>1</Paragraphs>
  <TotalTime>0</TotalTime>
  <ScaleCrop>false</ScaleCrop>
  <LinksUpToDate>false</LinksUpToDate>
  <CharactersWithSpaces>3480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2025-08-18T13:11:38Z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y fmtid="{D5CDD505-2E9C-101B-9397-08002B2CF9AE}" pid="4" name="KSOTemplateDocerSaveRecord">
    <vt:lpwstr>eyJoZGlkIjoiNjJhZjlkMGJiOGI3Y2FkNzkyZTA5YzhkZjJjZTBiYjciLCJ1c2VySWQiOiI1MzMyNjY2NjMifQ==</vt:lpwstr>
  </property>
</Properties>
</file>