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0" w:beforeLines="0" w:beforeAutospacing="0" w:after="0" w:afterLines="0" w:afterAutospacing="0" w:line="240" w:lineRule="auto"/>
        <w:jc w:val="left"/>
        <w:rPr>
          <w:rFonts w:ascii="宋体" w:eastAsia="宋体"/>
          <w:sz w:val="32"/>
          <w:szCs w:val="32"/>
        </w:rPr>
      </w:pPr>
    </w:p>
    <w:p>
      <w:pPr>
        <w:widowControl/>
        <w:spacing w:before="0" w:beforeLines="0" w:beforeAutospacing="0" w:after="0" w:afterLines="0" w:afterAutospacing="0" w:line="240" w:lineRule="auto"/>
        <w:jc w:val="left"/>
        <w:rPr>
          <w:rFonts w:ascii="宋体" w:eastAsia="宋体"/>
          <w:sz w:val="44"/>
          <w:szCs w:val="44"/>
        </w:rPr>
      </w:pPr>
    </w:p>
    <w:p>
      <w:pPr>
        <w:widowControl/>
        <w:spacing w:before="0" w:beforeLines="0" w:beforeAutospacing="0" w:after="0" w:afterLines="0" w:afterAutospacing="0" w:line="240" w:lineRule="auto"/>
        <w:jc w:val="left"/>
        <w:rPr>
          <w:rFonts w:ascii="宋体" w:eastAsia="宋体"/>
          <w:sz w:val="44"/>
          <w:szCs w:val="44"/>
        </w:rPr>
      </w:pPr>
    </w:p>
    <w:p>
      <w:pPr>
        <w:widowControl/>
        <w:spacing w:before="0" w:beforeLines="0" w:beforeAutospacing="0" w:after="0" w:afterLines="0" w:afterAutospacing="0" w:line="240" w:lineRule="auto"/>
        <w:jc w:val="left"/>
        <w:rPr>
          <w:rFonts w:ascii="宋体" w:eastAsia="宋体"/>
          <w:sz w:val="44"/>
          <w:szCs w:val="44"/>
        </w:rPr>
      </w:pPr>
    </w:p>
    <w:p>
      <w:pPr>
        <w:widowControl/>
        <w:spacing w:before="0" w:beforeLines="0" w:beforeAutospacing="0" w:after="0" w:afterLines="0" w:afterAutospacing="0" w:line="240" w:lineRule="auto"/>
        <w:jc w:val="center"/>
        <w:outlineLvl w:val="0"/>
        <w:rPr>
          <w:rFonts w:ascii="宋体" w:eastAsia="黑体"/>
          <w:sz w:val="44"/>
          <w:szCs w:val="44"/>
        </w:rPr>
      </w:pPr>
      <w:r>
        <w:rPr>
          <w:rFonts w:ascii="宋体" w:eastAsia="黑体"/>
          <w:b w:val="0"/>
          <w:sz w:val="44"/>
          <w:szCs w:val="44"/>
        </w:rPr>
        <w:t>库尔勒市社会保险中心</w:t>
      </w:r>
    </w:p>
    <w:p>
      <w:pPr>
        <w:widowControl/>
        <w:spacing w:before="0" w:beforeLines="0" w:beforeAutospacing="0" w:after="0" w:afterLines="0" w:afterAutospacing="0" w:line="240" w:lineRule="auto"/>
        <w:jc w:val="center"/>
        <w:outlineLvl w:val="0"/>
        <w:rPr>
          <w:rFonts w:ascii="黑体" w:eastAsia="黑体"/>
          <w:sz w:val="44"/>
          <w:szCs w:val="44"/>
        </w:rPr>
      </w:pPr>
      <w:r>
        <w:rPr>
          <w:rFonts w:ascii="黑体" w:eastAsia="黑体"/>
          <w:b w:val="0"/>
          <w:sz w:val="44"/>
          <w:szCs w:val="44"/>
        </w:rPr>
        <w:t>2024年度部门决算公开说明</w:t>
      </w:r>
    </w:p>
    <w:p>
      <w:pPr>
        <w:widowControl/>
      </w:pPr>
      <w:r>
        <w:rPr>
          <w:b w:val="0"/>
          <w:sz w:val="0"/>
          <w:szCs w:val="0"/>
        </w:rPr>
        <w:br w:type="page"/>
      </w:r>
    </w:p>
    <w:p>
      <w:pPr>
        <w:widowControl/>
        <w:spacing w:before="0" w:beforeLines="0" w:beforeAutospacing="0" w:after="0" w:afterLines="0" w:afterAutospacing="0" w:line="240" w:lineRule="auto"/>
        <w:jc w:val="center"/>
        <w:rPr>
          <w:rFonts w:ascii="黑体" w:eastAsia="黑体"/>
          <w:sz w:val="32"/>
          <w:szCs w:val="32"/>
        </w:rPr>
      </w:pPr>
      <w:r>
        <w:rPr>
          <w:rFonts w:ascii="黑体" w:eastAsia="黑体"/>
          <w:b/>
          <w:sz w:val="32"/>
          <w:szCs w:val="32"/>
        </w:rPr>
        <w:t>目录</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第一部分单位概况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一、主要职能</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二、机构设置及人员情况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第二部分部门决算情况说明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一、收入支出决算总体情况说明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二、收入决算情况说明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四、财政拨款收入支出决算总体情况说明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五、一般公共预算财政拨款支出决算情况说明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（一）一般公共预算财政拨款支出决算总体情况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（二）一般公共预算财政拨款支出决算结构情况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（三）一般公共预算财政拨款支出决算具体情况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六、一般公共预算财政拨款基本支出决算情况说明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七、政府性基金预算财政拨款收入支出决算情况说明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八、国有资本经营预算财政拨款收入支出决算情况说明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九、财政拨款“三公”经费支出决算情况说明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十、其他重要事项的情况说明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（一）机关运行经费及公用经费支出情况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（二）政府采购情况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（三）国有资产占用情况说明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十一、预算绩效的情况说明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十二、其他需说明的事项</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第三部分专业名词解释</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第四部分部门决算报表（见附表）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一、《收入支出决算总表》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二、《收入决算表》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三、《支出决算表》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四、《财政拨款收入支出决算总表》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五、《一般公共预算财政拨款支出决算表》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六、《一般公共预算财政拨款基本支出决算表》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七、《政府性基金预算财政拨款收入支出决算表》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八、《国有资本经营预算财政拨款收入支出决算表》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九、《财政拨款“三公”经费支出决算表》</w:t>
      </w:r>
    </w:p>
    <w:p>
      <w:pPr>
        <w:widowControl/>
      </w:pPr>
      <w:r>
        <w:rPr>
          <w:b w:val="0"/>
          <w:sz w:val="0"/>
          <w:szCs w:val="0"/>
        </w:rPr>
        <w:br w:type="page"/>
      </w:r>
    </w:p>
    <w:p>
      <w:pPr>
        <w:widowControl/>
        <w:spacing w:before="0" w:beforeLines="0" w:beforeAutospacing="0" w:after="0" w:afterLines="0" w:afterAutospacing="0" w:line="240" w:lineRule="auto"/>
        <w:jc w:val="center"/>
        <w:outlineLvl w:val="0"/>
        <w:rPr>
          <w:rFonts w:ascii="黑体" w:eastAsia="黑体"/>
          <w:b w:val="0"/>
          <w:sz w:val="32"/>
          <w:szCs w:val="32"/>
        </w:rPr>
      </w:pPr>
      <w:r>
        <w:rPr>
          <w:rFonts w:ascii="黑体" w:eastAsia="黑体"/>
          <w:b w:val="0"/>
          <w:sz w:val="32"/>
          <w:szCs w:val="32"/>
        </w:rPr>
        <w:t>第一部分单位概况</w:t>
      </w:r>
    </w:p>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一、主要职能</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hint="default" w:ascii="仿宋_GB2312" w:eastAsia="仿宋_GB2312"/>
          <w:sz w:val="32"/>
          <w:szCs w:val="32"/>
          <w:lang w:val="en-US" w:eastAsia="zh-CN"/>
        </w:rPr>
        <w:t>贯彻落实国家、自治区城镇企业职工基本养老保险、机关事业养老保险（职业年金）、城乡居民养老保险、工伤保险、失业保险法律法规和政策，并组织实施；负责社会保险参保登记、信息变更、缴费基数申报审核、征集计划核定、社会保险关系建立、记录、转移、接续和终止及档案管理；负责社会保险基金财务管理、会计核算、财务报表的填报和运营管理工作，负责预、决算草案的编制和执行工作；负责库尔勒市社会保险待遇核准、计发工作；负责库尔勒市机关事业单位退休人员、企业离退休人员、城乡居民养老金发放及社会化管理服务工作；贯彻落实社会保险基金稽核制度；建立健全防范虚报、冒领养老金等社会保险待遇工作机制，并落实到位；建立、完善各项社会保险内控管理制度，对社会保险经办业务进行监督审计和内控检查评估；开展业务档案装订入库、查询等工作；承担本单位党的建设、党风廉政建设和反腐败、精神文明、综合治理、民族团结、安全生产、扶贫、信访等工作；完成市人力资源和社会保障局交办的其他任务。</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二、机构设置及人员情况</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库尔勒市社会保险中心2024年度，实有人数80人，其中：在职人员41人，减少8人；离休人员0人，较上年无变化；退休人员39人，增加7人。</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库尔勒市社会保险中心无下属预算单位，下设</w:t>
      </w:r>
      <w:r>
        <w:rPr>
          <w:rFonts w:hint="eastAsia" w:ascii="仿宋_GB2312" w:eastAsia="仿宋_GB2312"/>
          <w:b w:val="0"/>
          <w:sz w:val="32"/>
          <w:szCs w:val="32"/>
          <w:lang w:val="en-US" w:eastAsia="zh-CN"/>
        </w:rPr>
        <w:t>8</w:t>
      </w:r>
      <w:r>
        <w:rPr>
          <w:rFonts w:ascii="仿宋_GB2312" w:eastAsia="仿宋_GB2312"/>
          <w:b w:val="0"/>
          <w:sz w:val="32"/>
          <w:szCs w:val="32"/>
        </w:rPr>
        <w:t>个</w:t>
      </w:r>
      <w:r>
        <w:rPr>
          <w:rFonts w:hint="eastAsia" w:ascii="仿宋_GB2312" w:eastAsia="仿宋_GB2312"/>
          <w:b w:val="0"/>
          <w:sz w:val="32"/>
          <w:szCs w:val="32"/>
          <w:lang w:val="en-US" w:eastAsia="zh-CN"/>
        </w:rPr>
        <w:t>股室</w:t>
      </w:r>
      <w:r>
        <w:rPr>
          <w:rFonts w:ascii="仿宋_GB2312" w:eastAsia="仿宋_GB2312"/>
          <w:b w:val="0"/>
          <w:sz w:val="32"/>
          <w:szCs w:val="32"/>
        </w:rPr>
        <w:t>，分别是：</w:t>
      </w:r>
      <w:r>
        <w:rPr>
          <w:rStyle w:val="5"/>
          <w:rFonts w:hint="default" w:ascii="Times New Roman" w:hAnsi="Times New Roman" w:eastAsia="仿宋_GB2312" w:cs="Times New Roman"/>
          <w:b w:val="0"/>
          <w:color w:val="000000"/>
          <w:spacing w:val="-4"/>
          <w:sz w:val="32"/>
          <w:szCs w:val="32"/>
          <w:lang w:val="en-US" w:eastAsia="zh-CN"/>
        </w:rPr>
        <w:t>办公室、社会保险登记股、养老失业工伤保险待遇股、基金财务股、稽核股、社会化管理股、城乡居民养老保险股、档案股</w:t>
      </w:r>
      <w:r>
        <w:rPr>
          <w:rFonts w:ascii="仿宋_GB2312" w:eastAsia="仿宋_GB2312"/>
          <w:b w:val="0"/>
          <w:sz w:val="32"/>
          <w:szCs w:val="32"/>
        </w:rPr>
        <w:t>。</w:t>
      </w:r>
    </w:p>
    <w:p>
      <w:pPr>
        <w:widowControl/>
      </w:pPr>
      <w:r>
        <w:rPr>
          <w:b w:val="0"/>
          <w:sz w:val="0"/>
          <w:szCs w:val="0"/>
        </w:rPr>
        <w:br w:type="page"/>
      </w:r>
    </w:p>
    <w:p>
      <w:pPr>
        <w:widowControl/>
        <w:spacing w:before="0" w:beforeLines="0" w:beforeAutospacing="0" w:after="0" w:afterLines="0" w:afterAutospacing="0" w:line="240" w:lineRule="auto"/>
        <w:jc w:val="center"/>
        <w:outlineLvl w:val="0"/>
        <w:rPr>
          <w:rFonts w:ascii="黑体" w:eastAsia="黑体"/>
          <w:b w:val="0"/>
          <w:sz w:val="32"/>
          <w:szCs w:val="32"/>
        </w:rPr>
      </w:pPr>
      <w:r>
        <w:rPr>
          <w:rFonts w:ascii="黑体" w:eastAsia="黑体"/>
          <w:b w:val="0"/>
          <w:sz w:val="32"/>
          <w:szCs w:val="32"/>
        </w:rPr>
        <w:t>第二部分部门决算情况说明</w:t>
      </w:r>
    </w:p>
    <w:p>
      <w:pPr>
        <w:pStyle w:val="2"/>
      </w:pP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一、收入支出决算总体情况说明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2024年度收入总计1,065.11万元，其中：本年收入合计1,065.11万元，使用非财政拨款结余（含专用结余）0.00万元，年初结转和结余0.00万元。</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2024年度支出总计1,065.11万元，其中：本年支出合计1,065.11万元，结余分配0.00万元，年末结转和结余0.00万元。</w:t>
      </w:r>
    </w:p>
    <w:p>
      <w:pPr>
        <w:widowControl/>
        <w:spacing w:before="0" w:beforeLines="0" w:beforeAutospacing="0" w:after="0" w:afterLines="0" w:afterAutospacing="0" w:line="240" w:lineRule="auto"/>
        <w:ind w:firstLine="640" w:firstLineChars="200"/>
        <w:jc w:val="both"/>
      </w:pPr>
      <w:r>
        <w:rPr>
          <w:rFonts w:ascii="仿宋_GB2312" w:eastAsia="仿宋_GB2312"/>
          <w:b w:val="0"/>
          <w:sz w:val="32"/>
          <w:szCs w:val="32"/>
        </w:rPr>
        <w:t>收入支出总体与上年相比，减少70.82万元，下降6.23%，主要原因是：</w:t>
      </w:r>
      <w:r>
        <w:rPr>
          <w:rFonts w:hint="eastAsia" w:ascii="仿宋_GB2312" w:eastAsia="仿宋_GB2312"/>
          <w:b w:val="0"/>
          <w:sz w:val="32"/>
          <w:szCs w:val="32"/>
          <w:lang w:val="en-US" w:eastAsia="zh-CN"/>
        </w:rPr>
        <w:t>1、本年度在职在编人员退休7人，调出1人，其他临聘人员辞职2人，人员工资、社保、医保、住房公积金支出减少；2、领取破产企业生活补贴人员有死亡，支出减少；3、本年度无国有企业改革成本支出</w:t>
      </w:r>
      <w:r>
        <w:rPr>
          <w:rFonts w:ascii="仿宋_GB2312" w:eastAsia="仿宋_GB2312"/>
          <w:b w:val="0"/>
          <w:sz w:val="32"/>
          <w:szCs w:val="32"/>
        </w:rPr>
        <w:t>。</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二、收入决算情况说明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本年收入1,065.11万元，其中：财政拨款收入1,065.11万元,占100.00%；上级补助收入0.00万元,占0.00%；事业收入0.00万元，占0.00%；经营收入0.00万元,占0.00%；附属单位上缴收入0.00万元，占0.00%；其他收入0.00万元，占0.00%。</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三、支出决算情况说明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本年支出1,065.11万元，其中：基本支出1,057.82万元，占99.32%；项目支出7.29万元，占0.68%；上缴上级支出0.00万元，占0.00%；经营支出0.00万元，占0.00%；对附属单位补助支出0.00万元，占0.00%。</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四、财政拨款收入支出决算总体情况说明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财政拨款收入总计1,065.11万元，其中：年初财政拨款结转和结余0.00万元，本年财政拨款收入1,065.11万元。财政拨款支出总计1,065.11万元，其中：年末财政拨款结转和结余0.00万元，本年财政拨款支出1,065.11万元。</w:t>
      </w:r>
    </w:p>
    <w:p>
      <w:pPr>
        <w:widowControl/>
        <w:spacing w:before="0" w:beforeLines="0" w:beforeAutospacing="0" w:after="0" w:afterLines="0" w:afterAutospacing="0" w:line="240" w:lineRule="auto"/>
        <w:ind w:firstLine="640" w:firstLineChars="200"/>
        <w:jc w:val="both"/>
        <w:rPr>
          <w:rFonts w:ascii="仿宋_GB2312" w:eastAsia="仿宋_GB2312"/>
          <w:b w:val="0"/>
          <w:sz w:val="32"/>
          <w:szCs w:val="32"/>
        </w:rPr>
      </w:pPr>
      <w:r>
        <w:rPr>
          <w:rFonts w:ascii="仿宋_GB2312" w:eastAsia="仿宋_GB2312"/>
          <w:b w:val="0"/>
          <w:sz w:val="32"/>
          <w:szCs w:val="32"/>
        </w:rPr>
        <w:t>财政拨款收入支出总体与上年相比，减少70.82万元，下降6.23%，主要原因是：</w:t>
      </w:r>
      <w:r>
        <w:rPr>
          <w:rFonts w:hint="eastAsia" w:ascii="仿宋_GB2312" w:hAnsi="宋体" w:eastAsia="仿宋_GB2312" w:cs="仿宋_GB2312"/>
          <w:kern w:val="0"/>
          <w:sz w:val="32"/>
          <w:szCs w:val="32"/>
          <w:lang w:val="en-US" w:eastAsia="zh-CN"/>
        </w:rPr>
        <w:t>1、本年度在职在编人员退休7人，调出1人，其他临聘人员辞职2人，人员工资、社保、医保、住房公积金支出减少；2、领取破产企业生活补贴人员有死亡，支出减少；3、本年度无国有企业改革成本支出</w:t>
      </w:r>
      <w:r>
        <w:rPr>
          <w:rFonts w:ascii="仿宋_GB2312" w:eastAsia="仿宋_GB2312"/>
          <w:b w:val="0"/>
          <w:sz w:val="32"/>
          <w:szCs w:val="32"/>
        </w:rPr>
        <w:t>。</w:t>
      </w:r>
    </w:p>
    <w:p>
      <w:pPr>
        <w:widowControl/>
        <w:spacing w:before="0" w:beforeLines="0" w:beforeAutospacing="0" w:after="0" w:afterLines="0" w:afterAutospacing="0" w:line="240" w:lineRule="auto"/>
        <w:ind w:firstLine="640" w:firstLineChars="200"/>
        <w:jc w:val="both"/>
        <w:rPr>
          <w:rFonts w:hint="default" w:ascii="仿宋_GB2312" w:eastAsia="仿宋_GB2312"/>
          <w:b w:val="0"/>
          <w:sz w:val="32"/>
          <w:szCs w:val="32"/>
          <w:lang w:val="en-US" w:eastAsia="zh-CN"/>
        </w:rPr>
      </w:pPr>
      <w:r>
        <w:rPr>
          <w:rFonts w:ascii="仿宋_GB2312" w:eastAsia="仿宋_GB2312"/>
          <w:b w:val="0"/>
          <w:sz w:val="32"/>
          <w:szCs w:val="32"/>
        </w:rPr>
        <w:t>与年初预算相比，年初预算数13,305.31万元，决算数1,065.11万元，预决算差异率-91.99%，主要原因是：</w:t>
      </w:r>
      <w:r>
        <w:rPr>
          <w:rFonts w:hint="eastAsia" w:ascii="仿宋_GB2312" w:eastAsia="仿宋_GB2312"/>
          <w:b w:val="0"/>
          <w:sz w:val="32"/>
          <w:szCs w:val="32"/>
          <w:lang w:val="en-US" w:eastAsia="zh-CN"/>
        </w:rPr>
        <w:t>1、城乡居民养老基金和机关事业单位养老基金决算不在本单位编制，由财政代编；2、在职在编人员退休7人，调出1人，其他临聘人员辞职2人，人员工资、社保、医保、住房公积金支出减少；3、领取破产企业生活补贴人员有死亡，支出减少。</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五、一般公共预算财政拨款支出决算情况说明</w:t>
      </w:r>
    </w:p>
    <w:p>
      <w:pPr>
        <w:widowControl/>
        <w:spacing w:before="0" w:beforeLines="0" w:beforeAutospacing="0" w:after="0" w:afterLines="0" w:afterAutospacing="0" w:line="240" w:lineRule="auto"/>
        <w:ind w:firstLine="643" w:firstLineChars="200"/>
        <w:jc w:val="left"/>
        <w:outlineLvl w:val="2"/>
        <w:rPr>
          <w:rFonts w:ascii="仿宋_GB2312" w:eastAsia="仿宋_GB2312"/>
          <w:sz w:val="32"/>
          <w:szCs w:val="32"/>
        </w:rPr>
      </w:pPr>
      <w:r>
        <w:rPr>
          <w:rFonts w:ascii="仿宋_GB2312" w:eastAsia="仿宋_GB2312"/>
          <w:b/>
          <w:sz w:val="32"/>
          <w:szCs w:val="32"/>
        </w:rPr>
        <w:t>（一）一般公共预算财政拨款支出决算总体情况</w:t>
      </w:r>
    </w:p>
    <w:p>
      <w:pPr>
        <w:widowControl/>
        <w:spacing w:before="0" w:beforeLines="0" w:beforeAutospacing="0" w:after="0" w:afterLines="0" w:afterAutospacing="0" w:line="240" w:lineRule="auto"/>
        <w:ind w:firstLine="640" w:firstLineChars="200"/>
        <w:jc w:val="both"/>
        <w:rPr>
          <w:rFonts w:ascii="仿宋_GB2312" w:eastAsia="仿宋_GB2312"/>
          <w:b w:val="0"/>
          <w:sz w:val="32"/>
          <w:szCs w:val="32"/>
        </w:rPr>
      </w:pPr>
      <w:r>
        <w:rPr>
          <w:rFonts w:ascii="仿宋_GB2312" w:eastAsia="仿宋_GB2312"/>
          <w:b w:val="0"/>
          <w:sz w:val="32"/>
          <w:szCs w:val="32"/>
        </w:rPr>
        <w:t>2024年度一般公共预算财政拨款支出1,065.11万元，占本年支出合计的100.00%。与上年相比，减少65.82万元，下降5.82%，主要原因是：</w:t>
      </w:r>
      <w:r>
        <w:rPr>
          <w:rFonts w:hint="eastAsia" w:ascii="仿宋_GB2312" w:hAnsi="宋体" w:eastAsia="仿宋_GB2312" w:cs="仿宋_GB2312"/>
          <w:kern w:val="0"/>
          <w:sz w:val="32"/>
          <w:szCs w:val="32"/>
          <w:lang w:val="en-US" w:eastAsia="zh-CN"/>
        </w:rPr>
        <w:t>1、本年度在职在编人员退休7人，调出1人，其他临聘人员辞职2人，人员工资、社保、医保、住房公积金支出减少；2、领取破产企业生活补贴人员有死亡，支出减少</w:t>
      </w:r>
      <w:r>
        <w:rPr>
          <w:rFonts w:ascii="仿宋_GB2312" w:eastAsia="仿宋_GB2312"/>
          <w:b w:val="0"/>
          <w:sz w:val="32"/>
          <w:szCs w:val="32"/>
        </w:rPr>
        <w:t>。</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与年初预算相比，年初预算数13,305.31万元，决算数1,065.11万元，预决算差异率-91.99%，主要原因是：</w:t>
      </w:r>
      <w:r>
        <w:rPr>
          <w:rFonts w:hint="eastAsia" w:ascii="仿宋_GB2312" w:eastAsia="仿宋_GB2312"/>
          <w:b w:val="0"/>
          <w:sz w:val="32"/>
          <w:szCs w:val="32"/>
          <w:lang w:val="en-US" w:eastAsia="zh-CN"/>
        </w:rPr>
        <w:t>1、城乡居民养老基金和机关事业单位养老基金决算不在本单位编制，由财政代编；2、在职在编人员退休7人，调出1人，其他临聘人员辞职2人，人员工资、社保、医保、住房公积金支出减少；3、领取破产企业生活补贴人员有死亡，支出减少</w:t>
      </w:r>
      <w:r>
        <w:rPr>
          <w:rFonts w:ascii="仿宋_GB2312" w:eastAsia="仿宋_GB2312"/>
          <w:b w:val="0"/>
          <w:sz w:val="32"/>
          <w:szCs w:val="32"/>
        </w:rPr>
        <w:t>。</w:t>
      </w:r>
    </w:p>
    <w:p>
      <w:pPr>
        <w:widowControl/>
        <w:spacing w:before="0" w:beforeLines="0" w:beforeAutospacing="0" w:after="0" w:afterLines="0" w:afterAutospacing="0" w:line="240" w:lineRule="auto"/>
        <w:ind w:firstLine="643" w:firstLineChars="200"/>
        <w:jc w:val="left"/>
        <w:outlineLvl w:val="2"/>
        <w:rPr>
          <w:rFonts w:ascii="仿宋_GB2312" w:eastAsia="仿宋_GB2312"/>
          <w:sz w:val="32"/>
          <w:szCs w:val="32"/>
        </w:rPr>
      </w:pPr>
      <w:r>
        <w:rPr>
          <w:rFonts w:ascii="仿宋_GB2312" w:eastAsia="仿宋_GB2312"/>
          <w:b/>
          <w:sz w:val="32"/>
          <w:szCs w:val="32"/>
        </w:rPr>
        <w:t>（二）一般公共预算财政拨款支出决算结构情况</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一般公共服务支出（类）7.29万元，占0.68%。</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教育支出（类）1.92万元，占0.18%。</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社会保障和就业支出（类）954.50万元，占89.62%。</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卫生健康支出（类）43.15万元，占4.05%。</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住房保障支出（类）58.25万元，占5.47%。</w:t>
      </w:r>
    </w:p>
    <w:p>
      <w:pPr>
        <w:widowControl/>
        <w:spacing w:before="0" w:beforeLines="0" w:beforeAutospacing="0" w:after="0" w:afterLines="0" w:afterAutospacing="0" w:line="240" w:lineRule="auto"/>
        <w:ind w:firstLine="643" w:firstLineChars="200"/>
        <w:jc w:val="left"/>
        <w:outlineLvl w:val="2"/>
        <w:rPr>
          <w:rFonts w:ascii="仿宋_GB2312" w:eastAsia="仿宋_GB2312"/>
          <w:sz w:val="32"/>
          <w:szCs w:val="32"/>
        </w:rPr>
      </w:pPr>
      <w:r>
        <w:rPr>
          <w:rFonts w:ascii="仿宋_GB2312" w:eastAsia="仿宋_GB2312"/>
          <w:b/>
          <w:sz w:val="32"/>
          <w:szCs w:val="32"/>
        </w:rPr>
        <w:t>（三）一般公共预算财政拨款支出决算具体情况</w:t>
      </w:r>
    </w:p>
    <w:p>
      <w:pPr>
        <w:widowControl/>
        <w:numPr>
          <w:ilvl w:val="0"/>
          <w:numId w:val="0"/>
        </w:numPr>
        <w:spacing w:before="0" w:beforeLines="0" w:beforeAutospacing="0" w:after="0" w:afterLines="0" w:afterAutospacing="0" w:line="240" w:lineRule="auto"/>
        <w:ind w:firstLine="640" w:firstLineChars="200"/>
        <w:rPr>
          <w:rFonts w:hint="default" w:ascii="Times New Roman" w:hAnsi="Times New Roman" w:eastAsia="方正仿宋_GBK" w:cs="Times New Roman"/>
          <w:color w:val="auto"/>
          <w:kern w:val="0"/>
          <w:sz w:val="31"/>
          <w:szCs w:val="32"/>
          <w:highlight w:val="none"/>
          <w:lang w:val="en-US" w:eastAsia="zh-CN"/>
        </w:rPr>
      </w:pPr>
      <w:r>
        <w:rPr>
          <w:rFonts w:ascii="仿宋_GB2312" w:eastAsia="仿宋_GB2312"/>
          <w:b w:val="0"/>
          <w:sz w:val="32"/>
          <w:szCs w:val="32"/>
        </w:rPr>
        <w:t>一般公共服务支出（类）组织事务（款）其他组织事务支出（项）：支出决算数为7.29万元，比上年决算减少1.71万元，下降19.00%，</w:t>
      </w:r>
      <w:r>
        <w:rPr>
          <w:rFonts w:ascii="仿宋_GB2312" w:eastAsia="仿宋_GB2312"/>
          <w:b w:val="0"/>
          <w:sz w:val="32"/>
          <w:szCs w:val="32"/>
          <w:highlight w:val="none"/>
        </w:rPr>
        <w:t>主要原因是：</w:t>
      </w:r>
      <w:r>
        <w:rPr>
          <w:rFonts w:hint="eastAsia" w:ascii="仿宋_GB2312" w:eastAsia="仿宋_GB2312"/>
          <w:b w:val="0"/>
          <w:sz w:val="32"/>
          <w:szCs w:val="32"/>
          <w:highlight w:val="none"/>
          <w:lang w:val="en-US" w:eastAsia="zh-CN"/>
        </w:rPr>
        <w:t>本年度</w:t>
      </w:r>
      <w:r>
        <w:rPr>
          <w:rFonts w:hint="default" w:ascii="Times New Roman" w:hAnsi="Times New Roman" w:eastAsia="方正仿宋_GBK" w:cs="Times New Roman"/>
          <w:color w:val="auto"/>
          <w:kern w:val="0"/>
          <w:sz w:val="31"/>
          <w:szCs w:val="32"/>
          <w:highlight w:val="none"/>
          <w:lang w:val="en-US" w:eastAsia="zh-CN"/>
        </w:rPr>
        <w:t>访惠聚工作队为民办实事经费</w:t>
      </w:r>
      <w:r>
        <w:rPr>
          <w:rFonts w:hint="eastAsia" w:ascii="Times New Roman" w:hAnsi="Times New Roman" w:eastAsia="方正仿宋_GBK" w:cs="Times New Roman"/>
          <w:color w:val="auto"/>
          <w:kern w:val="0"/>
          <w:sz w:val="31"/>
          <w:szCs w:val="32"/>
          <w:highlight w:val="none"/>
          <w:lang w:val="en-US" w:eastAsia="zh-CN"/>
        </w:rPr>
        <w:t>支出减少。</w:t>
      </w:r>
    </w:p>
    <w:p>
      <w:pPr>
        <w:widowControl/>
        <w:numPr>
          <w:ilvl w:val="0"/>
          <w:numId w:val="0"/>
        </w:numPr>
        <w:spacing w:before="0" w:beforeLines="0" w:beforeAutospacing="0" w:after="0" w:afterLines="0" w:afterAutospacing="0" w:line="240" w:lineRule="auto"/>
        <w:ind w:firstLine="640" w:firstLineChars="200"/>
        <w:rPr>
          <w:rFonts w:hint="default" w:ascii="仿宋_GB2312" w:eastAsia="仿宋_GB2312"/>
          <w:sz w:val="32"/>
          <w:szCs w:val="32"/>
          <w:lang w:val="en-US" w:eastAsia="zh-CN"/>
        </w:rPr>
      </w:pPr>
      <w:r>
        <w:rPr>
          <w:rFonts w:ascii="仿宋_GB2312" w:eastAsia="仿宋_GB2312"/>
          <w:b w:val="0"/>
          <w:sz w:val="32"/>
          <w:szCs w:val="32"/>
        </w:rPr>
        <w:t>教育支出（类）进修及培训（款）培训支出（项）：支出决算数为1.92万元，比上年决算减少2.59万元，下降57.43%，主要原因是：</w:t>
      </w:r>
      <w:r>
        <w:rPr>
          <w:rFonts w:hint="eastAsia" w:ascii="仿宋_GB2312" w:eastAsia="仿宋_GB2312"/>
          <w:b w:val="0"/>
          <w:sz w:val="32"/>
          <w:szCs w:val="32"/>
          <w:lang w:val="en-US" w:eastAsia="zh-CN"/>
        </w:rPr>
        <w:t>本年度外出培训次数和人数减少，支出减少。</w:t>
      </w:r>
    </w:p>
    <w:p>
      <w:pPr>
        <w:widowControl/>
        <w:numPr>
          <w:ilvl w:val="0"/>
          <w:numId w:val="0"/>
        </w:numPr>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社会保障和就业支出（类）人力资源和社会保障管理事务（款）行政运行（项）：支出决算数为638.14万元，比上年决算减少41.20万元，下降6.06%，主要原因是：</w:t>
      </w:r>
      <w:r>
        <w:rPr>
          <w:rFonts w:hint="eastAsia" w:ascii="仿宋_GB2312" w:hAnsi="宋体" w:eastAsia="仿宋_GB2312" w:cs="仿宋_GB2312"/>
          <w:kern w:val="0"/>
          <w:sz w:val="32"/>
          <w:szCs w:val="32"/>
          <w:lang w:val="en-US" w:eastAsia="zh-CN"/>
        </w:rPr>
        <w:t>本年度在职在编人员退休7人，调出1人，其他临聘人员辞职2人，人员工资减少，支出减少。</w:t>
      </w:r>
    </w:p>
    <w:p>
      <w:pPr>
        <w:widowControl/>
        <w:numPr>
          <w:ilvl w:val="0"/>
          <w:numId w:val="0"/>
        </w:numPr>
        <w:spacing w:before="0" w:beforeLines="0" w:beforeAutospacing="0" w:after="0" w:afterLines="0" w:afterAutospacing="0" w:line="240" w:lineRule="auto"/>
        <w:ind w:firstLine="640" w:firstLineChars="200"/>
        <w:rPr>
          <w:rFonts w:hint="default" w:ascii="仿宋_GB2312" w:eastAsia="仿宋_GB2312"/>
          <w:sz w:val="32"/>
          <w:szCs w:val="32"/>
          <w:lang w:val="en-US" w:eastAsia="zh-CN"/>
        </w:rPr>
      </w:pPr>
      <w:r>
        <w:rPr>
          <w:rFonts w:ascii="仿宋_GB2312" w:eastAsia="仿宋_GB2312"/>
          <w:b w:val="0"/>
          <w:sz w:val="32"/>
          <w:szCs w:val="32"/>
        </w:rPr>
        <w:t>社会保障和就业支出（类）人力资源和社会保障管理事务（款）社会保险经办机构（项）：支出决算数为14.98万元，比上年决算减少5.50万元，下降26.86%，主要原因是：</w:t>
      </w:r>
      <w:r>
        <w:rPr>
          <w:rFonts w:hint="eastAsia" w:ascii="仿宋_GB2312" w:eastAsia="仿宋_GB2312"/>
          <w:b w:val="0"/>
          <w:sz w:val="32"/>
          <w:szCs w:val="32"/>
          <w:lang w:val="en-US" w:eastAsia="zh-CN"/>
        </w:rPr>
        <w:t>本年度上级拨付的社保经办机构业务经费功能科目由2080109</w:t>
      </w:r>
      <w:r>
        <w:rPr>
          <w:rFonts w:ascii="仿宋_GB2312" w:eastAsia="仿宋_GB2312"/>
          <w:b w:val="0"/>
          <w:sz w:val="32"/>
          <w:szCs w:val="32"/>
        </w:rPr>
        <w:t>社会保险经办机构</w:t>
      </w:r>
      <w:r>
        <w:rPr>
          <w:rFonts w:hint="eastAsia" w:ascii="仿宋_GB2312" w:eastAsia="仿宋_GB2312"/>
          <w:b w:val="0"/>
          <w:sz w:val="32"/>
          <w:szCs w:val="32"/>
          <w:lang w:val="en-US" w:eastAsia="zh-CN"/>
        </w:rPr>
        <w:t>调至2080199</w:t>
      </w:r>
      <w:r>
        <w:rPr>
          <w:rFonts w:ascii="仿宋_GB2312" w:eastAsia="仿宋_GB2312"/>
          <w:b w:val="0"/>
          <w:sz w:val="32"/>
          <w:szCs w:val="32"/>
        </w:rPr>
        <w:t>其他人力资源和社会保障管理事务支出</w:t>
      </w:r>
      <w:r>
        <w:rPr>
          <w:rFonts w:hint="eastAsia" w:ascii="仿宋_GB2312" w:eastAsia="仿宋_GB2312"/>
          <w:b w:val="0"/>
          <w:sz w:val="32"/>
          <w:szCs w:val="32"/>
          <w:lang w:eastAsia="zh-CN"/>
        </w:rPr>
        <w:t>，</w:t>
      </w:r>
      <w:r>
        <w:rPr>
          <w:rFonts w:hint="eastAsia" w:ascii="仿宋_GB2312" w:eastAsia="仿宋_GB2312"/>
          <w:b w:val="0"/>
          <w:sz w:val="32"/>
          <w:szCs w:val="32"/>
          <w:lang w:val="en-US" w:eastAsia="zh-CN"/>
        </w:rPr>
        <w:t>该支出减少。</w:t>
      </w:r>
    </w:p>
    <w:p>
      <w:pPr>
        <w:widowControl/>
        <w:numPr>
          <w:ilvl w:val="0"/>
          <w:numId w:val="0"/>
        </w:numPr>
        <w:spacing w:before="0" w:beforeLines="0" w:beforeAutospacing="0" w:after="0" w:afterLines="0" w:afterAutospacing="0" w:line="240" w:lineRule="auto"/>
        <w:ind w:firstLine="640" w:firstLineChars="200"/>
      </w:pPr>
      <w:r>
        <w:rPr>
          <w:rFonts w:ascii="仿宋_GB2312" w:eastAsia="仿宋_GB2312"/>
          <w:b w:val="0"/>
          <w:sz w:val="32"/>
          <w:szCs w:val="32"/>
        </w:rPr>
        <w:t>社会保障和就业支出（类）人力资源和社会保障管理事务（款）其他人力资源和社会保障管理事务支出（项）：支出决算数为38.68万元，比上年决算增加38.68万元，增长100.00%，主要原因是：</w:t>
      </w:r>
      <w:r>
        <w:rPr>
          <w:rFonts w:hint="eastAsia" w:ascii="仿宋_GB2312" w:eastAsia="仿宋_GB2312"/>
          <w:b w:val="0"/>
          <w:sz w:val="32"/>
          <w:szCs w:val="32"/>
          <w:lang w:val="en-US" w:eastAsia="zh-CN"/>
        </w:rPr>
        <w:t>1、本年度上级拨付的社保经办机构业务经费功能科目由2080109</w:t>
      </w:r>
      <w:r>
        <w:rPr>
          <w:rFonts w:ascii="仿宋_GB2312" w:eastAsia="仿宋_GB2312"/>
          <w:b w:val="0"/>
          <w:sz w:val="32"/>
          <w:szCs w:val="32"/>
        </w:rPr>
        <w:t>社会保险经办机构</w:t>
      </w:r>
      <w:r>
        <w:rPr>
          <w:rFonts w:hint="eastAsia" w:ascii="仿宋_GB2312" w:eastAsia="仿宋_GB2312"/>
          <w:b w:val="0"/>
          <w:sz w:val="32"/>
          <w:szCs w:val="32"/>
          <w:lang w:val="en-US" w:eastAsia="zh-CN"/>
        </w:rPr>
        <w:t>调至2080199</w:t>
      </w:r>
      <w:r>
        <w:rPr>
          <w:rFonts w:ascii="仿宋_GB2312" w:eastAsia="仿宋_GB2312"/>
          <w:b w:val="0"/>
          <w:sz w:val="32"/>
          <w:szCs w:val="32"/>
        </w:rPr>
        <w:t>其他人力资源和社会保障管理事务支出</w:t>
      </w:r>
      <w:r>
        <w:rPr>
          <w:rFonts w:hint="eastAsia" w:ascii="仿宋_GB2312" w:eastAsia="仿宋_GB2312"/>
          <w:b w:val="0"/>
          <w:sz w:val="32"/>
          <w:szCs w:val="32"/>
          <w:lang w:eastAsia="zh-CN"/>
        </w:rPr>
        <w:t>，</w:t>
      </w:r>
      <w:r>
        <w:rPr>
          <w:rFonts w:hint="eastAsia" w:ascii="仿宋_GB2312" w:eastAsia="仿宋_GB2312"/>
          <w:b w:val="0"/>
          <w:sz w:val="32"/>
          <w:szCs w:val="32"/>
          <w:lang w:val="en-US" w:eastAsia="zh-CN"/>
        </w:rPr>
        <w:t>2、本年度市级破产企业退休人员生活补助功能科目由2080601企业关闭破产补助调至2080199</w:t>
      </w:r>
      <w:r>
        <w:rPr>
          <w:rFonts w:ascii="仿宋_GB2312" w:eastAsia="仿宋_GB2312"/>
          <w:b w:val="0"/>
          <w:sz w:val="32"/>
          <w:szCs w:val="32"/>
        </w:rPr>
        <w:t>其他人力资源和社会保障管理事务支出</w:t>
      </w:r>
      <w:r>
        <w:rPr>
          <w:rFonts w:hint="eastAsia" w:ascii="仿宋_GB2312" w:eastAsia="仿宋_GB2312"/>
          <w:b w:val="0"/>
          <w:sz w:val="32"/>
          <w:szCs w:val="32"/>
          <w:lang w:eastAsia="zh-CN"/>
        </w:rPr>
        <w:t>，</w:t>
      </w:r>
      <w:r>
        <w:rPr>
          <w:rFonts w:hint="eastAsia" w:ascii="仿宋_GB2312" w:eastAsia="仿宋_GB2312"/>
          <w:b w:val="0"/>
          <w:sz w:val="32"/>
          <w:szCs w:val="32"/>
          <w:lang w:val="en-US" w:eastAsia="zh-CN"/>
        </w:rPr>
        <w:t>支出增加。</w:t>
      </w:r>
    </w:p>
    <w:p>
      <w:pPr>
        <w:widowControl/>
        <w:numPr>
          <w:ilvl w:val="0"/>
          <w:numId w:val="0"/>
        </w:numPr>
        <w:spacing w:before="0" w:beforeLines="0" w:beforeAutospacing="0" w:after="0" w:afterLines="0" w:afterAutospacing="0" w:line="240" w:lineRule="auto"/>
        <w:ind w:firstLine="640" w:firstLineChars="200"/>
        <w:rPr>
          <w:rFonts w:hint="default" w:ascii="仿宋_GB2312" w:eastAsia="仿宋_GB2312"/>
          <w:sz w:val="32"/>
          <w:szCs w:val="32"/>
          <w:lang w:val="en-US" w:eastAsia="zh-CN"/>
        </w:rPr>
      </w:pPr>
      <w:r>
        <w:rPr>
          <w:rFonts w:ascii="仿宋_GB2312" w:eastAsia="仿宋_GB2312"/>
          <w:b w:val="0"/>
          <w:sz w:val="32"/>
          <w:szCs w:val="32"/>
        </w:rPr>
        <w:t>社会保障和就业支出（类）行政事业单位养老支出（款）行政单位离退休（项）：支出决算数为26.93万元，比上年决算增加8.18万元，增长43.63%，主要原因是：</w:t>
      </w:r>
      <w:r>
        <w:rPr>
          <w:rFonts w:hint="eastAsia" w:ascii="仿宋_GB2312" w:eastAsia="仿宋_GB2312"/>
          <w:b w:val="0"/>
          <w:sz w:val="32"/>
          <w:szCs w:val="32"/>
          <w:lang w:val="en-US" w:eastAsia="zh-CN"/>
        </w:rPr>
        <w:t>本年度退休人员增加7人，支出增加。</w:t>
      </w:r>
    </w:p>
    <w:p>
      <w:pPr>
        <w:widowControl/>
        <w:numPr>
          <w:ilvl w:val="0"/>
          <w:numId w:val="0"/>
        </w:numPr>
        <w:spacing w:before="0" w:beforeLines="0" w:beforeAutospacing="0" w:after="0" w:afterLines="0" w:afterAutospacing="0" w:line="240" w:lineRule="auto"/>
        <w:ind w:firstLine="640" w:firstLineChars="200"/>
        <w:rPr>
          <w:rFonts w:hint="default" w:ascii="仿宋_GB2312" w:eastAsia="仿宋_GB2312"/>
          <w:sz w:val="32"/>
          <w:szCs w:val="32"/>
          <w:lang w:val="en-US" w:eastAsia="zh-CN"/>
        </w:rPr>
      </w:pPr>
      <w:r>
        <w:rPr>
          <w:rFonts w:ascii="仿宋_GB2312" w:eastAsia="仿宋_GB2312"/>
          <w:b w:val="0"/>
          <w:sz w:val="32"/>
          <w:szCs w:val="32"/>
        </w:rPr>
        <w:t>社会保障和就业支出（类）行政事业单位养老支出（款）机关事业单位基本养老保险缴费支出（项）：支出决算数为73.68万元，比上年决算减少1.01万元，下降1.35%，主要原因是：</w:t>
      </w:r>
      <w:r>
        <w:rPr>
          <w:rFonts w:hint="eastAsia" w:ascii="仿宋_GB2312" w:hAnsi="宋体" w:eastAsia="仿宋_GB2312" w:cs="仿宋_GB2312"/>
          <w:kern w:val="0"/>
          <w:sz w:val="32"/>
          <w:szCs w:val="32"/>
          <w:lang w:val="en-US" w:eastAsia="zh-CN"/>
        </w:rPr>
        <w:t>本年度在职在编人员退休7人，调出1人，支出减少。</w:t>
      </w:r>
    </w:p>
    <w:p>
      <w:pPr>
        <w:widowControl/>
        <w:numPr>
          <w:ilvl w:val="0"/>
          <w:numId w:val="0"/>
        </w:numPr>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社会保障和就业支出（类）行政事业单位养老支出（款）机关事业单位职业年金缴费支出（项）：支出决算数为51.21万元，比上年决算增加37.89万元，增长284.46%，主要原因是：</w:t>
      </w:r>
      <w:r>
        <w:rPr>
          <w:rFonts w:hint="default" w:ascii="仿宋_GB2312" w:eastAsia="仿宋_GB2312"/>
          <w:b w:val="0"/>
          <w:sz w:val="32"/>
          <w:szCs w:val="32"/>
          <w:lang w:val="en-US" w:eastAsia="zh-CN"/>
        </w:rPr>
        <w:t>本年度新增退休人员</w:t>
      </w:r>
      <w:r>
        <w:rPr>
          <w:rFonts w:hint="eastAsia" w:ascii="仿宋_GB2312" w:eastAsia="仿宋_GB2312"/>
          <w:b w:val="0"/>
          <w:sz w:val="32"/>
          <w:szCs w:val="32"/>
          <w:lang w:val="en-US" w:eastAsia="zh-CN"/>
        </w:rPr>
        <w:t>7人</w:t>
      </w:r>
      <w:r>
        <w:rPr>
          <w:rFonts w:hint="default" w:ascii="仿宋_GB2312" w:eastAsia="仿宋_GB2312"/>
          <w:b w:val="0"/>
          <w:sz w:val="32"/>
          <w:szCs w:val="32"/>
          <w:lang w:val="en-US" w:eastAsia="zh-CN"/>
        </w:rPr>
        <w:t>，职业年金账户记实，支出增加</w:t>
      </w:r>
      <w:r>
        <w:rPr>
          <w:rFonts w:hint="default" w:ascii="仿宋_GB2312" w:eastAsia="仿宋_GB2312"/>
          <w:b w:val="0"/>
          <w:sz w:val="32"/>
          <w:szCs w:val="32"/>
          <w:lang w:val="zh-CN" w:eastAsia="zh-CN"/>
        </w:rPr>
        <w:t>。</w:t>
      </w:r>
    </w:p>
    <w:p>
      <w:pPr>
        <w:widowControl/>
        <w:numPr>
          <w:ilvl w:val="0"/>
          <w:numId w:val="0"/>
        </w:numPr>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社会保障和就业支出（类）企业改革补助（款）企业关闭破产补助（项）：支出决算数为51.66万元，比上年决算减少22.60万元，下降30.43%，主要原因是：</w:t>
      </w:r>
      <w:r>
        <w:rPr>
          <w:rFonts w:hint="eastAsia" w:ascii="仿宋_GB2312" w:eastAsia="仿宋_GB2312"/>
          <w:b w:val="0"/>
          <w:sz w:val="32"/>
          <w:szCs w:val="32"/>
          <w:lang w:val="en-US" w:eastAsia="zh-CN"/>
        </w:rPr>
        <w:t>本年度市级破产企业退休人员生活补助功能科目由2080601企业关闭破产补助调至2080199</w:t>
      </w:r>
      <w:r>
        <w:rPr>
          <w:rFonts w:ascii="仿宋_GB2312" w:eastAsia="仿宋_GB2312"/>
          <w:b w:val="0"/>
          <w:sz w:val="32"/>
          <w:szCs w:val="32"/>
        </w:rPr>
        <w:t>其他人力资源和社会保障管理事务支出</w:t>
      </w:r>
      <w:r>
        <w:rPr>
          <w:rFonts w:hint="eastAsia" w:ascii="仿宋_GB2312" w:eastAsia="仿宋_GB2312"/>
          <w:b w:val="0"/>
          <w:sz w:val="32"/>
          <w:szCs w:val="32"/>
          <w:lang w:eastAsia="zh-CN"/>
        </w:rPr>
        <w:t>，</w:t>
      </w:r>
      <w:r>
        <w:rPr>
          <w:rFonts w:hint="eastAsia" w:ascii="仿宋_GB2312" w:eastAsia="仿宋_GB2312"/>
          <w:b w:val="0"/>
          <w:sz w:val="32"/>
          <w:szCs w:val="32"/>
          <w:lang w:val="en-US" w:eastAsia="zh-CN"/>
        </w:rPr>
        <w:t>支出减少</w:t>
      </w:r>
      <w:r>
        <w:rPr>
          <w:rFonts w:hint="default" w:ascii="仿宋_GB2312" w:eastAsia="仿宋_GB2312"/>
          <w:b w:val="0"/>
          <w:sz w:val="32"/>
          <w:szCs w:val="32"/>
          <w:lang w:val="zh-CN" w:eastAsia="zh-CN"/>
        </w:rPr>
        <w:t>。</w:t>
      </w:r>
    </w:p>
    <w:p>
      <w:pPr>
        <w:widowControl/>
        <w:numPr>
          <w:ilvl w:val="0"/>
          <w:numId w:val="0"/>
        </w:numPr>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社会保障和就业支出（类）企业改革补助（款）其他企业改革发展补助（项）：支出决算数为59.22万元，比上年决算减少20.05万元，下降25.29%，主要原因是：</w:t>
      </w:r>
      <w:r>
        <w:rPr>
          <w:rFonts w:hint="default" w:ascii="仿宋_GB2312" w:eastAsia="仿宋_GB2312"/>
          <w:b w:val="0"/>
          <w:sz w:val="32"/>
          <w:szCs w:val="32"/>
          <w:lang w:val="en-US" w:eastAsia="zh-CN"/>
        </w:rPr>
        <w:t>领取破产企业生活补贴退休人员有死亡，支出减少</w:t>
      </w:r>
      <w:r>
        <w:rPr>
          <w:rFonts w:hint="default" w:ascii="仿宋_GB2312" w:eastAsia="仿宋_GB2312"/>
          <w:b w:val="0"/>
          <w:sz w:val="32"/>
          <w:szCs w:val="32"/>
          <w:lang w:val="zh-CN" w:eastAsia="zh-CN"/>
        </w:rPr>
        <w:t>。</w:t>
      </w:r>
    </w:p>
    <w:p>
      <w:pPr>
        <w:widowControl/>
        <w:numPr>
          <w:ilvl w:val="0"/>
          <w:numId w:val="0"/>
        </w:numPr>
        <w:spacing w:before="0" w:beforeLines="0" w:beforeAutospacing="0" w:after="0" w:afterLines="0" w:afterAutospacing="0" w:line="240" w:lineRule="auto"/>
        <w:ind w:firstLine="640" w:firstLineChars="200"/>
        <w:rPr>
          <w:rFonts w:hint="default" w:ascii="仿宋_GB2312" w:eastAsia="仿宋_GB2312"/>
          <w:sz w:val="32"/>
          <w:szCs w:val="32"/>
          <w:lang w:val="en-US" w:eastAsia="zh-CN"/>
        </w:rPr>
      </w:pPr>
      <w:r>
        <w:rPr>
          <w:rFonts w:ascii="仿宋_GB2312" w:eastAsia="仿宋_GB2312"/>
          <w:b w:val="0"/>
          <w:sz w:val="32"/>
          <w:szCs w:val="32"/>
        </w:rPr>
        <w:t>社会保障和就业支出（类）就业补助（款）公益性岗位补贴（项）：支出决算数为0.00万元，比上年决算减少51.24万元，下降100.00%，主要原因是：</w:t>
      </w:r>
      <w:r>
        <w:rPr>
          <w:rFonts w:hint="eastAsia" w:ascii="仿宋_GB2312" w:eastAsia="仿宋_GB2312"/>
          <w:b w:val="0"/>
          <w:sz w:val="32"/>
          <w:szCs w:val="32"/>
          <w:lang w:val="en-US" w:eastAsia="zh-CN"/>
        </w:rPr>
        <w:t>本年度公益性岗位人员经费支出功能科目由2080705</w:t>
      </w:r>
      <w:r>
        <w:rPr>
          <w:rFonts w:ascii="仿宋_GB2312" w:eastAsia="仿宋_GB2312"/>
          <w:b w:val="0"/>
          <w:sz w:val="32"/>
          <w:szCs w:val="32"/>
        </w:rPr>
        <w:t>公益性岗位补贴</w:t>
      </w:r>
      <w:r>
        <w:rPr>
          <w:rFonts w:hint="eastAsia" w:ascii="仿宋_GB2312" w:eastAsia="仿宋_GB2312"/>
          <w:b w:val="0"/>
          <w:sz w:val="32"/>
          <w:szCs w:val="32"/>
          <w:lang w:val="en-US" w:eastAsia="zh-CN"/>
        </w:rPr>
        <w:t>调至2080101行政运行，支出减少。</w:t>
      </w:r>
    </w:p>
    <w:p>
      <w:pPr>
        <w:widowControl/>
        <w:numPr>
          <w:ilvl w:val="0"/>
          <w:numId w:val="0"/>
        </w:numPr>
        <w:spacing w:before="0" w:beforeLines="0" w:beforeAutospacing="0" w:after="0" w:afterLines="0" w:afterAutospacing="0" w:line="240" w:lineRule="auto"/>
        <w:ind w:firstLine="640" w:firstLineChars="200"/>
        <w:rPr>
          <w:rFonts w:hint="eastAsia" w:ascii="仿宋_GB2312" w:hAnsi="宋体" w:eastAsia="仿宋_GB2312" w:cs="仿宋_GB2312"/>
          <w:kern w:val="0"/>
          <w:sz w:val="32"/>
          <w:szCs w:val="32"/>
          <w:lang w:val="en-US" w:eastAsia="zh-CN"/>
        </w:rPr>
      </w:pPr>
      <w:r>
        <w:rPr>
          <w:rFonts w:ascii="仿宋_GB2312" w:eastAsia="仿宋_GB2312"/>
          <w:b w:val="0"/>
          <w:sz w:val="32"/>
          <w:szCs w:val="32"/>
        </w:rPr>
        <w:t>卫生健康支出（类）行政事业单位医疗（款）行政单位医疗（项）：支出决算数为33.47万元，比上年决算减少1.44万元，下降4.12%，主要原因是：</w:t>
      </w:r>
      <w:r>
        <w:rPr>
          <w:rFonts w:hint="eastAsia" w:ascii="仿宋_GB2312" w:hAnsi="宋体" w:eastAsia="仿宋_GB2312" w:cs="仿宋_GB2312"/>
          <w:kern w:val="0"/>
          <w:sz w:val="32"/>
          <w:szCs w:val="32"/>
          <w:lang w:val="en-US" w:eastAsia="zh-CN"/>
        </w:rPr>
        <w:t>本年度在职在编人员退休7人，调出1人，支出减少。</w:t>
      </w:r>
    </w:p>
    <w:p>
      <w:pPr>
        <w:widowControl/>
        <w:numPr>
          <w:ilvl w:val="0"/>
          <w:numId w:val="0"/>
        </w:numPr>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卫生健康支出（类）行政事业单位医疗（款）公务员医疗补助（项）：支出决算数为9.68万元，比上年决算减少0.81万元，下降7.72%，主要原因是：</w:t>
      </w:r>
      <w:r>
        <w:rPr>
          <w:rFonts w:hint="eastAsia" w:ascii="仿宋_GB2312" w:eastAsia="仿宋_GB2312"/>
          <w:b w:val="0"/>
          <w:sz w:val="32"/>
          <w:szCs w:val="32"/>
          <w:lang w:val="en-US" w:eastAsia="zh-CN"/>
        </w:rPr>
        <w:t>本年度在职在编人员退休7人，调出1人，支出减少。</w:t>
      </w:r>
    </w:p>
    <w:p>
      <w:pPr>
        <w:widowControl/>
        <w:numPr>
          <w:ilvl w:val="0"/>
          <w:numId w:val="0"/>
        </w:numPr>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住房保障支出（类）住房改革支出（款）住房公积金（项）：支出决算数为58.25万元，比上年决算减少2.43万元，下降4.00%，主要原因是：</w:t>
      </w:r>
      <w:r>
        <w:rPr>
          <w:rFonts w:hint="eastAsia" w:ascii="仿宋_GB2312" w:hAnsi="宋体" w:eastAsia="仿宋_GB2312" w:cs="仿宋_GB2312"/>
          <w:kern w:val="0"/>
          <w:sz w:val="32"/>
          <w:szCs w:val="32"/>
          <w:lang w:val="en-US" w:eastAsia="zh-CN"/>
        </w:rPr>
        <w:t>本年度在职在编人员退休7人，调出1人，支出减少。</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六、一般公共预算财政拨款基本支出决算情况说明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一般公共预算财政拨款基本支出1,057.82万元，其中：人员经费987.54万元，包括：基本工资、津贴补贴、奖金、机关事业单位基本养老保险缴费、职业年金缴费、职工基本医疗保险缴费、公务员医疗补助缴费、其他社会保障缴费、住房公积金、其他工资福利支出、退休费和生活补助。</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公用经费70.28万元，包括：办公费、印刷费、水费、电费、邮电费、取暖费、物业管理费、差旅费、维修（护）费、培训费、劳务费、工会经费、福利费、公务用车运行维护费和办公设备购置。</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七、政府性基金预算财政拨款收入支出决算情况说明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本单位本年度无政府性基金预算财政拨款收入支出及结转和结余政府性基金预算财政拨款收入支出决算表为空表。</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八、国有资本经营预算财政拨款收入支出决算情况说明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本单位本年度无国有资本经营预算财政拨款收入、支出及结转和结余，国有资本经营预算财政拨款收入支出决算表为空表。</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九、财政拨款“三公”经费支出决算情况说明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2024年度财政拨款“三公”经费支出6.84万元，比上年增加5.25万元，增长330.19%，主要原因是：</w:t>
      </w:r>
      <w:r>
        <w:rPr>
          <w:rFonts w:hint="eastAsia" w:ascii="仿宋_GB2312" w:eastAsia="仿宋_GB2312"/>
          <w:b w:val="0"/>
          <w:sz w:val="32"/>
          <w:szCs w:val="32"/>
        </w:rPr>
        <w:t>1、上年度年底车辆维修费用办完采购手续后财政扎</w:t>
      </w:r>
      <w:r>
        <w:rPr>
          <w:rFonts w:hint="eastAsia" w:ascii="仿宋_GB2312" w:eastAsia="仿宋_GB2312"/>
          <w:b w:val="0"/>
          <w:sz w:val="32"/>
          <w:szCs w:val="32"/>
          <w:lang w:val="en-US" w:eastAsia="zh-CN"/>
        </w:rPr>
        <w:t>账</w:t>
      </w:r>
      <w:r>
        <w:rPr>
          <w:rFonts w:hint="eastAsia" w:ascii="仿宋_GB2312" w:eastAsia="仿宋_GB2312"/>
          <w:b w:val="0"/>
          <w:sz w:val="32"/>
          <w:szCs w:val="32"/>
        </w:rPr>
        <w:t>未能及时支付，在本年度支付。2、上年度待报废公务用车一辆，经机关事务管理局协调拨给我单位租赁电车一辆，和租车公司签订租赁协议后采购手续未办完，车辆租赁费未支付，在本年度支付</w:t>
      </w:r>
      <w:r>
        <w:rPr>
          <w:rFonts w:ascii="仿宋_GB2312" w:eastAsia="仿宋_GB2312"/>
          <w:b w:val="0"/>
          <w:sz w:val="32"/>
          <w:szCs w:val="32"/>
        </w:rPr>
        <w:t>。其中：因公出国（境）费支出0.00万元,占0.00%，与上年相比无变化，主要原因是：</w:t>
      </w:r>
      <w:r>
        <w:rPr>
          <w:rFonts w:hint="eastAsia" w:ascii="仿宋_GB2312" w:eastAsia="仿宋_GB2312"/>
          <w:b w:val="0"/>
          <w:sz w:val="32"/>
          <w:szCs w:val="32"/>
          <w:lang w:val="en-US" w:eastAsia="zh-CN"/>
        </w:rPr>
        <w:t>我单位无</w:t>
      </w:r>
      <w:r>
        <w:rPr>
          <w:rFonts w:ascii="仿宋_GB2312" w:eastAsia="仿宋_GB2312"/>
          <w:b w:val="0"/>
          <w:sz w:val="32"/>
          <w:szCs w:val="32"/>
        </w:rPr>
        <w:t>因公出国（境）费；公务用车购置及运行维护费支出6.84万元，占100.00%，比上年增加5.25万元，增长330.19%，主要原因是：</w:t>
      </w:r>
      <w:r>
        <w:rPr>
          <w:rFonts w:hint="eastAsia" w:ascii="仿宋_GB2312" w:eastAsia="仿宋_GB2312"/>
          <w:b w:val="0"/>
          <w:sz w:val="32"/>
          <w:szCs w:val="32"/>
        </w:rPr>
        <w:t>1、上年度年底车辆维修费用办完采购手续后财政扎</w:t>
      </w:r>
      <w:r>
        <w:rPr>
          <w:rFonts w:hint="eastAsia" w:ascii="仿宋_GB2312" w:eastAsia="仿宋_GB2312"/>
          <w:b w:val="0"/>
          <w:sz w:val="32"/>
          <w:szCs w:val="32"/>
          <w:lang w:eastAsia="zh-CN"/>
        </w:rPr>
        <w:t>账</w:t>
      </w:r>
      <w:r>
        <w:rPr>
          <w:rFonts w:hint="eastAsia" w:ascii="仿宋_GB2312" w:eastAsia="仿宋_GB2312"/>
          <w:b w:val="0"/>
          <w:sz w:val="32"/>
          <w:szCs w:val="32"/>
        </w:rPr>
        <w:t>未能及时支付，在本年度支付。2、上年度待报废公务用车一辆，经机关事务管理局协调拨给我单位租赁电车一辆，和租车公司签订租赁协议后采购手续未办完，车辆租赁费未支付，在本年度支付</w:t>
      </w:r>
      <w:r>
        <w:rPr>
          <w:rFonts w:ascii="仿宋_GB2312" w:eastAsia="仿宋_GB2312"/>
          <w:b w:val="0"/>
          <w:sz w:val="32"/>
          <w:szCs w:val="32"/>
        </w:rPr>
        <w:t>；公务接待费支出0.00万元，占0.00%，与上年相比无变化，主要原因是：</w:t>
      </w:r>
      <w:r>
        <w:rPr>
          <w:rFonts w:hint="eastAsia" w:ascii="仿宋_GB2312" w:eastAsia="仿宋_GB2312"/>
          <w:b w:val="0"/>
          <w:sz w:val="32"/>
          <w:szCs w:val="32"/>
          <w:lang w:val="en-US" w:eastAsia="zh-CN"/>
        </w:rPr>
        <w:t>我单位无</w:t>
      </w:r>
      <w:r>
        <w:rPr>
          <w:rFonts w:ascii="仿宋_GB2312" w:eastAsia="仿宋_GB2312"/>
          <w:b w:val="0"/>
          <w:sz w:val="32"/>
          <w:szCs w:val="32"/>
        </w:rPr>
        <w:t>公务接待费。</w:t>
      </w:r>
    </w:p>
    <w:p>
      <w:pPr>
        <w:widowControl/>
        <w:spacing w:before="0" w:beforeLines="0" w:beforeAutospacing="0" w:after="0" w:afterLines="0" w:afterAutospacing="0" w:line="240" w:lineRule="auto"/>
        <w:ind w:firstLine="640" w:firstLineChars="200"/>
        <w:jc w:val="left"/>
        <w:rPr>
          <w:rFonts w:ascii="仿宋_GB2312" w:eastAsia="仿宋_GB2312"/>
          <w:sz w:val="32"/>
          <w:szCs w:val="32"/>
        </w:rPr>
      </w:pPr>
      <w:r>
        <w:rPr>
          <w:rFonts w:ascii="仿宋_GB2312" w:eastAsia="仿宋_GB2312"/>
          <w:b w:val="0"/>
          <w:sz w:val="32"/>
          <w:szCs w:val="32"/>
        </w:rPr>
        <w:t>具体情况如下：</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因公出国（境）费支出0.00万元，开支内容包括。单位全年安排的因公出国（境）团组0个，因公出国（境）0人次。</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公务用车购置及运行维护费6.84万元，其中：公务用车购置费0.00万元，公务用车运行维护费6.84万元。公务用车运行维护费开支内容包括。公务用车购置数0辆，公务用车保有量2辆。国有资产占用情况中固定资产车辆2辆，与公务用车保有量差异原因是：</w:t>
      </w:r>
      <w:r>
        <w:rPr>
          <w:rFonts w:hint="default" w:ascii="Times New Roman" w:hAnsi="Times New Roman" w:eastAsia="仿宋_GB2312" w:cs="Times New Roman"/>
          <w:color w:val="auto"/>
          <w:sz w:val="32"/>
          <w:szCs w:val="32"/>
          <w:highlight w:val="none"/>
          <w:lang w:val="en-US" w:eastAsia="zh-CN"/>
        </w:rPr>
        <w:t>数量一致，无差异</w:t>
      </w:r>
      <w:r>
        <w:rPr>
          <w:rFonts w:ascii="仿宋_GB2312" w:eastAsia="仿宋_GB2312"/>
          <w:b w:val="0"/>
          <w:sz w:val="32"/>
          <w:szCs w:val="32"/>
        </w:rPr>
        <w:t>。</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公务接待费0.00万元，开支内容包括。单位全年安排的国内公务接待0批次，0人次。</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与全年预算相比，财政拨款“三公”经费支出全年预算数6.84万元，决算数6.84万元，预决算差异率0.00%，主要原因是：</w:t>
      </w:r>
      <w:r>
        <w:rPr>
          <w:rFonts w:hint="default" w:ascii="Times New Roman" w:hAnsi="Times New Roman" w:eastAsia="仿宋_GB2312" w:cs="Times New Roman"/>
          <w:color w:val="auto"/>
          <w:sz w:val="32"/>
          <w:szCs w:val="32"/>
          <w:highlight w:val="none"/>
          <w:lang w:val="en-US" w:eastAsia="zh-CN"/>
        </w:rPr>
        <w:t>全年预算数和决算数一致，无差异</w:t>
      </w:r>
      <w:r>
        <w:rPr>
          <w:rFonts w:ascii="仿宋_GB2312" w:eastAsia="仿宋_GB2312"/>
          <w:b w:val="0"/>
          <w:sz w:val="32"/>
          <w:szCs w:val="32"/>
        </w:rPr>
        <w:t>。其中：因公出国（境）费全年预算数0.00万元，决算数0.00万元，预决算差异率0.00%，主要原因是：</w:t>
      </w:r>
      <w:r>
        <w:rPr>
          <w:rFonts w:hint="eastAsia" w:ascii="仿宋_GB2312" w:eastAsia="仿宋_GB2312"/>
          <w:b w:val="0"/>
          <w:sz w:val="32"/>
          <w:szCs w:val="32"/>
          <w:lang w:val="en-US" w:eastAsia="zh-CN"/>
        </w:rPr>
        <w:t>我单位无</w:t>
      </w:r>
      <w:r>
        <w:rPr>
          <w:rFonts w:ascii="仿宋_GB2312" w:eastAsia="仿宋_GB2312"/>
          <w:b w:val="0"/>
          <w:sz w:val="32"/>
          <w:szCs w:val="32"/>
        </w:rPr>
        <w:t>因公出国（境）费。公务用车购置费全年预算数0.00万元，决算数0.00万元，预决算差异率0.00%，主要原因是：</w:t>
      </w:r>
      <w:r>
        <w:rPr>
          <w:rFonts w:hint="eastAsia" w:ascii="仿宋_GB2312" w:eastAsia="仿宋_GB2312"/>
          <w:b w:val="0"/>
          <w:sz w:val="32"/>
          <w:szCs w:val="32"/>
          <w:lang w:val="en-US" w:eastAsia="zh-CN"/>
        </w:rPr>
        <w:t>我单位无</w:t>
      </w:r>
      <w:r>
        <w:rPr>
          <w:rFonts w:ascii="仿宋_GB2312" w:eastAsia="仿宋_GB2312"/>
          <w:b w:val="0"/>
          <w:sz w:val="32"/>
          <w:szCs w:val="32"/>
        </w:rPr>
        <w:t>公务用车购置费。公务用车运行维护费全年预算数6.84万元，决算数6.84万元，预决算差异率0.00%，主要原因是：</w:t>
      </w:r>
      <w:r>
        <w:rPr>
          <w:rFonts w:hint="default" w:ascii="Times New Roman" w:hAnsi="Times New Roman" w:eastAsia="仿宋_GB2312" w:cs="Times New Roman"/>
          <w:color w:val="auto"/>
          <w:sz w:val="32"/>
          <w:szCs w:val="32"/>
          <w:highlight w:val="none"/>
          <w:lang w:val="en-US" w:eastAsia="zh-CN"/>
        </w:rPr>
        <w:t>全年预算数和决算数一致，无差异</w:t>
      </w:r>
      <w:r>
        <w:rPr>
          <w:rFonts w:ascii="仿宋_GB2312" w:eastAsia="仿宋_GB2312"/>
          <w:b w:val="0"/>
          <w:sz w:val="32"/>
          <w:szCs w:val="32"/>
        </w:rPr>
        <w:t>。公务接待费全年预算数0.00万元，决算数0.00万元，预决算差异率0.00%，主要原因是：</w:t>
      </w:r>
      <w:r>
        <w:rPr>
          <w:rFonts w:hint="eastAsia" w:ascii="仿宋_GB2312" w:eastAsia="仿宋_GB2312"/>
          <w:b w:val="0"/>
          <w:sz w:val="32"/>
          <w:szCs w:val="32"/>
          <w:lang w:val="en-US" w:eastAsia="zh-CN"/>
        </w:rPr>
        <w:t>我单位无</w:t>
      </w:r>
      <w:r>
        <w:rPr>
          <w:rFonts w:ascii="仿宋_GB2312" w:eastAsia="仿宋_GB2312"/>
          <w:b w:val="0"/>
          <w:sz w:val="32"/>
          <w:szCs w:val="32"/>
        </w:rPr>
        <w:t>公务接待费。</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十、其他重要事项的情况说明</w:t>
      </w:r>
    </w:p>
    <w:p>
      <w:pPr>
        <w:widowControl/>
        <w:spacing w:before="0" w:beforeLines="0" w:beforeAutospacing="0" w:after="0" w:afterLines="0" w:afterAutospacing="0" w:line="240" w:lineRule="auto"/>
        <w:ind w:firstLine="643" w:firstLineChars="200"/>
        <w:jc w:val="left"/>
        <w:outlineLvl w:val="2"/>
        <w:rPr>
          <w:rFonts w:ascii="仿宋_GB2312" w:eastAsia="仿宋_GB2312"/>
          <w:sz w:val="32"/>
          <w:szCs w:val="32"/>
        </w:rPr>
      </w:pPr>
      <w:r>
        <w:rPr>
          <w:rFonts w:ascii="仿宋_GB2312" w:eastAsia="仿宋_GB2312"/>
          <w:b/>
          <w:sz w:val="32"/>
          <w:szCs w:val="32"/>
        </w:rPr>
        <w:t>（一）机关运行经费及公用经费支出情况</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2024年度库尔勒市社会保险中心单位机关运行经费支出70.28万元，比上年增加19.11万元，增长37.35%，主要原因是：</w:t>
      </w:r>
      <w:r>
        <w:rPr>
          <w:rFonts w:hint="eastAsia" w:ascii="仿宋_GB2312" w:eastAsia="仿宋_GB2312"/>
          <w:b w:val="0"/>
          <w:sz w:val="32"/>
          <w:szCs w:val="32"/>
        </w:rPr>
        <w:t>上年度未支付社保大楼取暖费，</w:t>
      </w:r>
      <w:r>
        <w:rPr>
          <w:rFonts w:hint="eastAsia" w:ascii="仿宋_GB2312" w:eastAsia="仿宋_GB2312"/>
          <w:b w:val="0"/>
          <w:sz w:val="32"/>
          <w:szCs w:val="32"/>
          <w:lang w:val="en-US" w:eastAsia="zh-CN"/>
        </w:rPr>
        <w:t>本年度进行了支付</w:t>
      </w:r>
      <w:r>
        <w:rPr>
          <w:rFonts w:hint="eastAsia" w:ascii="仿宋_GB2312" w:eastAsia="仿宋_GB2312"/>
          <w:b w:val="0"/>
          <w:sz w:val="32"/>
          <w:szCs w:val="32"/>
          <w:lang w:eastAsia="zh-CN"/>
        </w:rPr>
        <w:t>，</w:t>
      </w:r>
      <w:r>
        <w:rPr>
          <w:rFonts w:hint="eastAsia" w:ascii="仿宋_GB2312" w:eastAsia="仿宋_GB2312"/>
          <w:b w:val="0"/>
          <w:sz w:val="32"/>
          <w:szCs w:val="32"/>
          <w:lang w:val="en-US" w:eastAsia="zh-CN"/>
        </w:rPr>
        <w:t>支出增加</w:t>
      </w:r>
      <w:r>
        <w:rPr>
          <w:rFonts w:ascii="仿宋_GB2312" w:eastAsia="仿宋_GB2312"/>
          <w:b w:val="0"/>
          <w:sz w:val="32"/>
          <w:szCs w:val="32"/>
        </w:rPr>
        <w:t>。</w:t>
      </w:r>
    </w:p>
    <w:p>
      <w:pPr>
        <w:widowControl/>
        <w:spacing w:before="0" w:beforeLines="0" w:beforeAutospacing="0" w:after="0" w:afterLines="0" w:afterAutospacing="0" w:line="240" w:lineRule="auto"/>
        <w:ind w:firstLine="643" w:firstLineChars="200"/>
        <w:jc w:val="left"/>
        <w:outlineLvl w:val="2"/>
        <w:rPr>
          <w:rFonts w:ascii="仿宋_GB2312" w:eastAsia="仿宋_GB2312"/>
          <w:sz w:val="32"/>
          <w:szCs w:val="32"/>
        </w:rPr>
      </w:pPr>
      <w:r>
        <w:rPr>
          <w:rFonts w:ascii="仿宋_GB2312" w:eastAsia="仿宋_GB2312"/>
          <w:b/>
          <w:sz w:val="32"/>
          <w:szCs w:val="32"/>
        </w:rPr>
        <w:t>（二）政府采购情况</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2024年度政府采购支出总额29.39万元，其中：政府采购货物支出13.03万元、政府采购工程支出0.00万元、政府采购服务支出16.36万元。</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授予中小企业合同金额29.39万元，占政府采购支出总额的100.00%，其中：授予小微企业合同金额29.39万元，占政府采购支出总额的100.00%。</w:t>
      </w:r>
    </w:p>
    <w:p>
      <w:pPr>
        <w:widowControl/>
        <w:spacing w:before="0" w:beforeLines="0" w:beforeAutospacing="0" w:after="0" w:afterLines="0" w:afterAutospacing="0" w:line="240" w:lineRule="auto"/>
        <w:ind w:firstLine="643" w:firstLineChars="200"/>
        <w:jc w:val="left"/>
        <w:outlineLvl w:val="2"/>
        <w:rPr>
          <w:rFonts w:ascii="仿宋_GB2312" w:eastAsia="仿宋_GB2312"/>
          <w:sz w:val="32"/>
          <w:szCs w:val="32"/>
        </w:rPr>
      </w:pPr>
      <w:r>
        <w:rPr>
          <w:rFonts w:ascii="仿宋_GB2312" w:eastAsia="仿宋_GB2312"/>
          <w:b/>
          <w:sz w:val="32"/>
          <w:szCs w:val="32"/>
        </w:rPr>
        <w:t>（三）国有资产占用情况说明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截至2024年12月31日，房屋9,173.79平方米，价值2,882.67万元。车辆2辆，价值2.13万元，其中：副部（省）级及以上领导用车0辆、主要负责人用车0辆、机要通信用车0辆、应急保障用车0辆、执法执勤用车0辆、特种专业技术用车0辆、离退休干部服务用车0辆、其他用车2辆，其他用车主要是：其他用车2辆</w:t>
      </w:r>
      <w:r>
        <w:rPr>
          <w:rFonts w:hint="eastAsia" w:ascii="仿宋_GB2312" w:eastAsia="仿宋_GB2312"/>
          <w:b w:val="0"/>
          <w:sz w:val="32"/>
          <w:szCs w:val="32"/>
          <w:lang w:val="en-US" w:eastAsia="zh-CN"/>
        </w:rPr>
        <w:t>是</w:t>
      </w:r>
      <w:r>
        <w:rPr>
          <w:rFonts w:hint="default" w:ascii="Times New Roman" w:hAnsi="Times New Roman" w:eastAsia="仿宋_GB2312" w:cs="Times New Roman"/>
          <w:color w:val="auto"/>
          <w:sz w:val="32"/>
          <w:szCs w:val="32"/>
          <w:highlight w:val="none"/>
          <w:lang w:val="en-US" w:eastAsia="zh-CN"/>
        </w:rPr>
        <w:t>单位一般公务用车</w:t>
      </w:r>
      <w:r>
        <w:rPr>
          <w:rFonts w:ascii="仿宋_GB2312" w:eastAsia="仿宋_GB2312"/>
          <w:b w:val="0"/>
          <w:sz w:val="32"/>
          <w:szCs w:val="32"/>
        </w:rPr>
        <w:t>;单价100万元（含）以上设备（不含车辆）1台（套）。</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十一、预算绩效的情况说明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根据预算绩效管理要求，本单位2024年度预算绩效管理形成整体支出绩效自评表1个，全年预算总额1065.11万元，实际执行总额1065.11万元；预算绩效评价项目</w:t>
      </w:r>
      <w:r>
        <w:rPr>
          <w:rFonts w:hint="eastAsia" w:ascii="仿宋_GB2312" w:eastAsia="仿宋_GB2312"/>
          <w:b w:val="0"/>
          <w:sz w:val="32"/>
          <w:szCs w:val="32"/>
          <w:lang w:val="en-US" w:eastAsia="zh-CN"/>
        </w:rPr>
        <w:t>12</w:t>
      </w:r>
      <w:r>
        <w:rPr>
          <w:rFonts w:ascii="仿宋_GB2312" w:eastAsia="仿宋_GB2312"/>
          <w:b w:val="0"/>
          <w:sz w:val="32"/>
          <w:szCs w:val="32"/>
        </w:rPr>
        <w:t>个，全年预算数</w:t>
      </w:r>
      <w:r>
        <w:rPr>
          <w:rFonts w:hint="eastAsia" w:ascii="仿宋_GB2312" w:eastAsia="仿宋_GB2312"/>
          <w:b w:val="0"/>
          <w:sz w:val="32"/>
          <w:szCs w:val="32"/>
          <w:lang w:val="en-US" w:eastAsia="zh-CN"/>
        </w:rPr>
        <w:t>12558.34</w:t>
      </w:r>
      <w:r>
        <w:rPr>
          <w:rFonts w:ascii="仿宋_GB2312" w:eastAsia="仿宋_GB2312"/>
          <w:b w:val="0"/>
          <w:sz w:val="32"/>
          <w:szCs w:val="32"/>
        </w:rPr>
        <w:t>万元，全年执行数</w:t>
      </w:r>
      <w:r>
        <w:rPr>
          <w:rFonts w:hint="eastAsia" w:ascii="仿宋_GB2312" w:eastAsia="仿宋_GB2312"/>
          <w:b w:val="0"/>
          <w:sz w:val="32"/>
          <w:szCs w:val="32"/>
          <w:lang w:val="en-US" w:eastAsia="zh-CN"/>
        </w:rPr>
        <w:t>9851.87</w:t>
      </w:r>
      <w:r>
        <w:rPr>
          <w:rFonts w:ascii="仿宋_GB2312" w:eastAsia="仿宋_GB2312"/>
          <w:b w:val="0"/>
          <w:sz w:val="32"/>
          <w:szCs w:val="32"/>
        </w:rPr>
        <w:t>万元。</w:t>
      </w:r>
      <w:r>
        <w:rPr>
          <w:rFonts w:hint="default" w:ascii="Times New Roman" w:hAnsi="Times New Roman" w:eastAsia="仿宋_GB2312" w:cs="Times New Roman"/>
          <w:color w:val="auto"/>
          <w:sz w:val="32"/>
          <w:szCs w:val="32"/>
          <w:highlight w:val="none"/>
          <w:lang w:eastAsia="zh-CN"/>
        </w:rPr>
        <w:t>预算绩效管理取得的成效：一是通过加强预算收支管理、不断建立健全内部管理制度、梳理内部管理流程，部门整体支出管理情况得到提升；二是</w:t>
      </w:r>
      <w:r>
        <w:rPr>
          <w:rFonts w:hint="default" w:ascii="Times New Roman" w:hAnsi="Times New Roman" w:eastAsia="仿宋_GB2312" w:cs="Times New Roman"/>
          <w:color w:val="auto"/>
          <w:sz w:val="32"/>
          <w:szCs w:val="32"/>
          <w:highlight w:val="none"/>
          <w:lang w:val="en-US" w:eastAsia="zh-CN"/>
        </w:rPr>
        <w:t>严格履行政府采购程序，规范政府采购行为，加强对政府采购全流程活动的规范管理，推动政府采购相关制度贯彻落实</w:t>
      </w:r>
      <w:r>
        <w:rPr>
          <w:rFonts w:hint="default" w:ascii="Times New Roman" w:hAnsi="Times New Roman" w:eastAsia="仿宋_GB2312" w:cs="Times New Roman"/>
          <w:color w:val="auto"/>
          <w:sz w:val="32"/>
          <w:szCs w:val="32"/>
          <w:highlight w:val="none"/>
          <w:lang w:eastAsia="zh-CN"/>
        </w:rPr>
        <w:t>。发现的问题及原因：一是</w:t>
      </w:r>
      <w:r>
        <w:rPr>
          <w:rFonts w:hint="default" w:ascii="Times New Roman" w:hAnsi="Times New Roman" w:eastAsia="仿宋_GB2312" w:cs="Times New Roman"/>
          <w:color w:val="auto"/>
          <w:sz w:val="32"/>
          <w:szCs w:val="32"/>
          <w:highlight w:val="none"/>
          <w:lang w:val="en-US" w:eastAsia="zh-CN"/>
        </w:rPr>
        <w:t>目前的预算管理在编制和实施中还存在编制不细、预算调整较多、追加预算比重较大等现象,因此项目预算执行的准确性还有待加强</w:t>
      </w:r>
      <w:r>
        <w:rPr>
          <w:rFonts w:hint="default" w:ascii="Times New Roman" w:hAnsi="Times New Roman" w:eastAsia="仿宋_GB2312" w:cs="Times New Roman"/>
          <w:color w:val="auto"/>
          <w:sz w:val="32"/>
          <w:szCs w:val="32"/>
          <w:highlight w:val="none"/>
          <w:lang w:eastAsia="zh-CN"/>
        </w:rPr>
        <w:t>；二是经办机构存在工作经费紧缺，信息化建设滞后的情况。下一步改进措施：一是全面编制预算项目，优先保障固定的、相对刚性的费用支出项目；二是</w:t>
      </w:r>
      <w:r>
        <w:rPr>
          <w:rFonts w:hint="default" w:ascii="Times New Roman" w:hAnsi="Times New Roman" w:eastAsia="仿宋_GB2312" w:cs="Times New Roman"/>
          <w:color w:val="auto"/>
          <w:sz w:val="32"/>
          <w:szCs w:val="32"/>
          <w:highlight w:val="none"/>
          <w:lang w:val="en-US" w:eastAsia="zh-CN"/>
        </w:rPr>
        <w:t>加强与财政部门的紧密配合,开展好整体支出及项目资金绩效管理工作,运用好绩效评价的结果,不断提升预算管理水平</w:t>
      </w:r>
      <w:r>
        <w:rPr>
          <w:rFonts w:hint="default" w:ascii="Times New Roman" w:hAnsi="Times New Roman" w:eastAsia="仿宋_GB2312" w:cs="Times New Roman"/>
          <w:color w:val="auto"/>
          <w:sz w:val="32"/>
          <w:szCs w:val="32"/>
          <w:highlight w:val="none"/>
          <w:lang w:eastAsia="zh-CN"/>
        </w:rPr>
        <w:t>。</w:t>
      </w:r>
      <w:r>
        <w:rPr>
          <w:rFonts w:ascii="仿宋_GB2312" w:eastAsia="仿宋_GB2312"/>
          <w:b w:val="0"/>
          <w:sz w:val="32"/>
          <w:szCs w:val="32"/>
        </w:rPr>
        <w:t>具体附部门整体支出绩效自评表，项目支出绩效自评表和部门评价报告。</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十二、其他需说明的事项</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本单位无其他需说明事项。</w:t>
      </w:r>
    </w:p>
    <w:p>
      <w:pPr>
        <w:widowControl/>
        <w:spacing w:before="0" w:beforeLines="0" w:beforeAutospacing="0" w:after="0" w:afterLines="0" w:afterAutospacing="0" w:line="240" w:lineRule="auto"/>
        <w:ind w:firstLine="640" w:firstLineChars="200"/>
        <w:jc w:val="left"/>
        <w:rPr>
          <w:rFonts w:ascii="仿宋_GB2312" w:eastAsia="仿宋_GB2312"/>
          <w:sz w:val="32"/>
          <w:szCs w:val="32"/>
        </w:rPr>
      </w:pPr>
    </w:p>
    <w:p>
      <w:pPr>
        <w:widowControl/>
      </w:pPr>
      <w:r>
        <w:rPr>
          <w:b w:val="0"/>
          <w:sz w:val="0"/>
          <w:szCs w:val="0"/>
        </w:rPr>
        <w:br w:type="page"/>
      </w:r>
    </w:p>
    <w:p>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第三部分专业名词解释</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一、财政拨款收入：</w:t>
      </w:r>
      <w:r>
        <w:rPr>
          <w:rFonts w:ascii="仿宋_GB2312" w:eastAsia="仿宋_GB2312"/>
          <w:b w:val="0"/>
          <w:sz w:val="32"/>
          <w:szCs w:val="32"/>
        </w:rPr>
        <w:t>指同级财政当年拨付的资金。</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二、上级补助收入：</w:t>
      </w:r>
      <w:r>
        <w:rPr>
          <w:rFonts w:ascii="仿宋_GB2312" w:eastAsia="仿宋_GB2312"/>
          <w:b w:val="0"/>
          <w:sz w:val="32"/>
          <w:szCs w:val="32"/>
        </w:rPr>
        <w:t>指事业单位从主管部门和上级单位取得的非财政补助收入。</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三、事业收入：</w:t>
      </w:r>
      <w:r>
        <w:rPr>
          <w:rFonts w:ascii="仿宋_GB2312" w:eastAsia="仿宋_GB2312"/>
          <w:b w:val="0"/>
          <w:sz w:val="32"/>
          <w:szCs w:val="32"/>
        </w:rPr>
        <w:t>指事业单位开展专业业务活动及其辅助活动所取得的收入。</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四、经营收入：</w:t>
      </w:r>
      <w:r>
        <w:rPr>
          <w:rFonts w:ascii="仿宋_GB2312" w:eastAsia="仿宋_GB2312"/>
          <w:b w:val="0"/>
          <w:sz w:val="32"/>
          <w:szCs w:val="32"/>
        </w:rPr>
        <w:t>指事业单位在专业业务活动及其辅助活动之外开展非独立核算经营活动取得的收入。</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五、附属单位上缴收入：</w:t>
      </w:r>
      <w:r>
        <w:rPr>
          <w:rFonts w:ascii="仿宋_GB2312" w:eastAsia="仿宋_GB2312"/>
          <w:b w:val="0"/>
          <w:sz w:val="32"/>
          <w:szCs w:val="32"/>
        </w:rPr>
        <w:t>指事业单位附属的独立核算单位按有关规定上缴的收入。</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六、其他收入：</w:t>
      </w:r>
      <w:r>
        <w:rPr>
          <w:rFonts w:ascii="仿宋_GB2312" w:eastAsia="仿宋_GB2312"/>
          <w:b w:val="0"/>
          <w:sz w:val="32"/>
          <w:szCs w:val="32"/>
        </w:rPr>
        <w:t>指除上述“财政拨款收入”、“事业收入”、“经营收入”、“附属单位上缴收入”等之外取得的收入。</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七、年初结转和结余：</w:t>
      </w:r>
      <w:r>
        <w:rPr>
          <w:rFonts w:ascii="仿宋_GB2312" w:eastAsia="仿宋_GB2312"/>
          <w:b w:val="0"/>
          <w:sz w:val="32"/>
          <w:szCs w:val="32"/>
        </w:rPr>
        <w:t>指以前年度支出预算因客观条件变化未执行完毕、结转到本年度按有关规定继续使用的资金，既包括财政拨款结转和结余，也包括事业收入、经营收入、其他收入的结转和结余。</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八、年末结转和结余：</w:t>
      </w:r>
      <w:r>
        <w:rPr>
          <w:rFonts w:ascii="仿宋_GB2312" w:eastAsia="仿宋_GB2312"/>
          <w:b w:val="0"/>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九、基本支出：</w:t>
      </w:r>
      <w:r>
        <w:rPr>
          <w:rFonts w:ascii="仿宋_GB2312" w:eastAsia="仿宋_GB2312"/>
          <w:b w:val="0"/>
          <w:sz w:val="32"/>
          <w:szCs w:val="32"/>
        </w:rPr>
        <w:t>指为保障机构正常运转、完成日常工作任务而发生的人员支出和公用支出。</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十、项目支出：</w:t>
      </w:r>
      <w:r>
        <w:rPr>
          <w:rFonts w:ascii="仿宋_GB2312" w:eastAsia="仿宋_GB2312"/>
          <w:b w:val="0"/>
          <w:sz w:val="32"/>
          <w:szCs w:val="32"/>
        </w:rPr>
        <w:t>指在基本支出之外为完成特定行政任务和事业发展目标所发生的支出。</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十一、经营支出：</w:t>
      </w:r>
      <w:r>
        <w:rPr>
          <w:rFonts w:ascii="仿宋_GB2312" w:eastAsia="仿宋_GB2312"/>
          <w:b w:val="0"/>
          <w:sz w:val="32"/>
          <w:szCs w:val="32"/>
        </w:rPr>
        <w:t>指事业单位在专业业务活动及其辅助活动之外开展非独立核算经营活动发生的支出。</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十二、对附属单位补助支出：</w:t>
      </w:r>
      <w:r>
        <w:rPr>
          <w:rFonts w:ascii="仿宋_GB2312" w:eastAsia="仿宋_GB2312"/>
          <w:b w:val="0"/>
          <w:sz w:val="32"/>
          <w:szCs w:val="32"/>
        </w:rPr>
        <w:t>指事业单位发生的用非财政预算资金对附属单位的补助支出。</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十三、“三公”经费：</w:t>
      </w:r>
      <w:r>
        <w:rPr>
          <w:rFonts w:ascii="仿宋_GB2312" w:eastAsia="仿宋_GB2312"/>
          <w:b w:val="0"/>
          <w:sz w:val="32"/>
          <w:szCs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十四、机关运行经费：</w:t>
      </w:r>
      <w:r>
        <w:rPr>
          <w:rFonts w:ascii="仿宋_GB2312" w:eastAsia="仿宋_GB2312"/>
          <w:b w:val="0"/>
          <w:sz w:val="32"/>
          <w:szCs w:val="32"/>
        </w:rPr>
        <w:t>行政单位和参照公务员法管理的事业单位财政拨款基本支出中的公用经费支出。</w:t>
      </w:r>
    </w:p>
    <w:p>
      <w:pPr>
        <w:widowControl/>
      </w:pPr>
      <w:r>
        <w:rPr>
          <w:b w:val="0"/>
          <w:sz w:val="0"/>
          <w:szCs w:val="0"/>
        </w:rPr>
        <w:br w:type="page"/>
      </w:r>
    </w:p>
    <w:p>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第四部分部门决算报表（见附表）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一、《收入支出决算总表》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二、《收入决算表》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三、《支出决算表》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四、《财政拨款收入支出决算总表》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五、《一般公共预算财政拨款支出决算表》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六、《一般公共预算财政拨款基本支出决算表》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七、《政府性基金预算财政拨款收入支出决算表》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八、《国有资本经营预算财政拨款收入支出决算表》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r>
        <w:rPr>
          <w:rFonts w:ascii="仿宋_GB2312" w:eastAsia="仿宋_GB2312"/>
          <w:b w:val="0"/>
          <w:sz w:val="32"/>
          <w:szCs w:val="32"/>
        </w:rPr>
        <w:t>九、《财政拨款“三公”经费支出决算表》</w:t>
      </w:r>
    </w:p>
    <w:p>
      <w:pPr>
        <w:pStyle w:val="2"/>
        <w:rPr>
          <w:rFonts w:ascii="仿宋_GB2312" w:eastAsia="仿宋_GB2312"/>
          <w:b w:val="0"/>
          <w:sz w:val="32"/>
          <w:szCs w:val="32"/>
        </w:rPr>
      </w:pPr>
    </w:p>
    <w:p>
      <w:pPr>
        <w:rPr>
          <w:rFonts w:ascii="仿宋_GB2312" w:eastAsia="仿宋_GB2312"/>
          <w:b w:val="0"/>
          <w:sz w:val="32"/>
          <w:szCs w:val="32"/>
        </w:rPr>
      </w:pPr>
    </w:p>
    <w:p>
      <w:pPr>
        <w:pStyle w:val="2"/>
        <w:rPr>
          <w:rFonts w:ascii="仿宋_GB2312" w:eastAsia="仿宋_GB2312"/>
          <w:b w:val="0"/>
          <w:sz w:val="32"/>
          <w:szCs w:val="32"/>
        </w:rPr>
      </w:pPr>
    </w:p>
    <w:p>
      <w:pPr>
        <w:rPr>
          <w:rFonts w:ascii="仿宋_GB2312" w:eastAsia="仿宋_GB2312"/>
          <w:b w:val="0"/>
          <w:sz w:val="32"/>
          <w:szCs w:val="32"/>
        </w:rPr>
      </w:pPr>
    </w:p>
    <w:p>
      <w:pPr>
        <w:pStyle w:val="2"/>
        <w:rPr>
          <w:rFonts w:ascii="仿宋_GB2312" w:eastAsia="仿宋_GB2312"/>
          <w:b w:val="0"/>
          <w:sz w:val="32"/>
          <w:szCs w:val="32"/>
        </w:rPr>
      </w:pPr>
    </w:p>
    <w:p>
      <w:pPr>
        <w:rPr>
          <w:rFonts w:ascii="仿宋_GB2312" w:eastAsia="仿宋_GB2312"/>
          <w:b w:val="0"/>
          <w:sz w:val="32"/>
          <w:szCs w:val="32"/>
        </w:rPr>
      </w:pPr>
    </w:p>
    <w:p>
      <w:pPr>
        <w:pStyle w:val="2"/>
        <w:rPr>
          <w:rFonts w:ascii="仿宋_GB2312" w:eastAsia="仿宋_GB2312"/>
          <w:b w:val="0"/>
          <w:sz w:val="32"/>
          <w:szCs w:val="32"/>
        </w:rPr>
      </w:pPr>
    </w:p>
    <w:p>
      <w:pPr>
        <w:rPr>
          <w:rFonts w:ascii="仿宋_GB2312" w:eastAsia="仿宋_GB2312"/>
          <w:b w:val="0"/>
          <w:sz w:val="32"/>
          <w:szCs w:val="32"/>
        </w:rPr>
      </w:pPr>
    </w:p>
    <w:p>
      <w:pPr>
        <w:pStyle w:val="2"/>
        <w:rPr>
          <w:rFonts w:ascii="仿宋_GB2312" w:eastAsia="仿宋_GB2312"/>
          <w:b w:val="0"/>
          <w:sz w:val="32"/>
          <w:szCs w:val="32"/>
        </w:rPr>
      </w:pPr>
    </w:p>
    <w:p>
      <w:pPr>
        <w:rPr>
          <w:rFonts w:ascii="仿宋_GB2312" w:eastAsia="仿宋_GB2312"/>
          <w:b w:val="0"/>
          <w:sz w:val="32"/>
          <w:szCs w:val="32"/>
        </w:rPr>
      </w:pPr>
    </w:p>
    <w:p>
      <w:pPr>
        <w:pStyle w:val="2"/>
        <w:rPr>
          <w:rFonts w:ascii="仿宋_GB2312" w:eastAsia="仿宋_GB2312"/>
          <w:b w:val="0"/>
          <w:sz w:val="32"/>
          <w:szCs w:val="32"/>
        </w:rPr>
      </w:pPr>
    </w:p>
    <w:p>
      <w:pPr>
        <w:rPr>
          <w:rFonts w:ascii="仿宋_GB2312" w:eastAsia="仿宋_GB2312"/>
          <w:b w:val="0"/>
          <w:sz w:val="32"/>
          <w:szCs w:val="32"/>
        </w:rPr>
      </w:pPr>
    </w:p>
    <w:p>
      <w:pPr>
        <w:pStyle w:val="2"/>
        <w:rPr>
          <w:rFonts w:ascii="仿宋_GB2312" w:eastAsia="仿宋_GB2312"/>
          <w:b w:val="0"/>
          <w:sz w:val="32"/>
          <w:szCs w:val="32"/>
        </w:rPr>
      </w:pPr>
    </w:p>
    <w:p>
      <w:pPr>
        <w:rPr>
          <w:rFonts w:ascii="仿宋_GB2312" w:eastAsia="仿宋_GB2312"/>
          <w:b w:val="0"/>
          <w:sz w:val="32"/>
          <w:szCs w:val="32"/>
        </w:rPr>
      </w:pPr>
    </w:p>
    <w:p>
      <w:pPr>
        <w:pStyle w:val="2"/>
        <w:rPr>
          <w:rFonts w:ascii="仿宋_GB2312" w:eastAsia="仿宋_GB2312"/>
          <w:b w:val="0"/>
          <w:sz w:val="32"/>
          <w:szCs w:val="32"/>
        </w:rPr>
      </w:pPr>
    </w:p>
    <w:p>
      <w:pPr>
        <w:rPr>
          <w:rFonts w:ascii="仿宋_GB2312" w:eastAsia="仿宋_GB2312"/>
          <w:b w:val="0"/>
          <w:sz w:val="32"/>
          <w:szCs w:val="32"/>
        </w:rPr>
      </w:pPr>
    </w:p>
    <w:p>
      <w:pPr>
        <w:pStyle w:val="2"/>
        <w:rPr>
          <w:rFonts w:ascii="仿宋_GB2312" w:eastAsia="仿宋_GB2312"/>
          <w:b w:val="0"/>
          <w:sz w:val="32"/>
          <w:szCs w:val="32"/>
        </w:rPr>
      </w:pPr>
    </w:p>
    <w:p>
      <w:pPr>
        <w:rPr>
          <w:rFonts w:ascii="仿宋_GB2312" w:eastAsia="仿宋_GB2312"/>
          <w:b w:val="0"/>
          <w:sz w:val="32"/>
          <w:szCs w:val="32"/>
        </w:rPr>
      </w:pPr>
    </w:p>
    <w:p>
      <w:pPr>
        <w:pStyle w:val="2"/>
        <w:rPr>
          <w:rFonts w:ascii="仿宋_GB2312" w:eastAsia="仿宋_GB2312"/>
          <w:b w:val="0"/>
          <w:sz w:val="32"/>
          <w:szCs w:val="32"/>
        </w:rPr>
      </w:pPr>
    </w:p>
    <w:p>
      <w:pPr>
        <w:rPr>
          <w:rFonts w:ascii="仿宋_GB2312" w:eastAsia="仿宋_GB2312"/>
          <w:b w:val="0"/>
          <w:sz w:val="32"/>
          <w:szCs w:val="32"/>
        </w:rPr>
      </w:pPr>
    </w:p>
    <w:p>
      <w:pPr>
        <w:pStyle w:val="2"/>
        <w:rPr>
          <w:rFonts w:ascii="仿宋_GB2312" w:eastAsia="仿宋_GB2312"/>
          <w:b w:val="0"/>
          <w:sz w:val="32"/>
          <w:szCs w:val="32"/>
        </w:rPr>
      </w:pPr>
    </w:p>
    <w:p>
      <w:pPr>
        <w:pStyle w:val="2"/>
        <w:jc w:val="center"/>
      </w:pPr>
    </w:p>
    <w:p>
      <w:r>
        <w:drawing>
          <wp:inline distT="0" distB="0" distL="114300" distR="114300">
            <wp:extent cx="5687695" cy="6649720"/>
            <wp:effectExtent l="0" t="0" r="1905" b="508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9"/>
                    <pic:cNvPicPr>
                      <a:picLocks noChangeAspect="1"/>
                    </pic:cNvPicPr>
                  </pic:nvPicPr>
                  <pic:blipFill>
                    <a:blip r:embed="rId4"/>
                    <a:stretch>
                      <a:fillRect/>
                    </a:stretch>
                  </pic:blipFill>
                  <pic:spPr>
                    <a:xfrm>
                      <a:off x="0" y="0"/>
                      <a:ext cx="5687695" cy="6649720"/>
                    </a:xfrm>
                    <a:prstGeom prst="rect">
                      <a:avLst/>
                    </a:prstGeom>
                    <a:noFill/>
                    <a:ln>
                      <a:noFill/>
                    </a:ln>
                  </pic:spPr>
                </pic:pic>
              </a:graphicData>
            </a:graphic>
          </wp:inline>
        </w:drawing>
      </w:r>
    </w:p>
    <w:p>
      <w:pPr>
        <w:pStyle w:val="2"/>
      </w:pPr>
    </w:p>
    <w:p/>
    <w:p>
      <w:pPr>
        <w:pStyle w:val="2"/>
      </w:pPr>
    </w:p>
    <w:p/>
    <w:p>
      <w:pPr>
        <w:pStyle w:val="2"/>
      </w:pPr>
    </w:p>
    <w:p/>
    <w:p>
      <w:pPr>
        <w:pStyle w:val="2"/>
      </w:pPr>
    </w:p>
    <w:p/>
    <w:p>
      <w:pPr>
        <w:pStyle w:val="2"/>
      </w:pPr>
    </w:p>
    <w:p>
      <w:r>
        <w:drawing>
          <wp:inline distT="0" distB="0" distL="114300" distR="114300">
            <wp:extent cx="5687695" cy="6102350"/>
            <wp:effectExtent l="0" t="0" r="1905" b="635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20"/>
                    <pic:cNvPicPr>
                      <a:picLocks noChangeAspect="1"/>
                    </pic:cNvPicPr>
                  </pic:nvPicPr>
                  <pic:blipFill>
                    <a:blip r:embed="rId5"/>
                    <a:stretch>
                      <a:fillRect/>
                    </a:stretch>
                  </pic:blipFill>
                  <pic:spPr>
                    <a:xfrm>
                      <a:off x="0" y="0"/>
                      <a:ext cx="5687695" cy="6102350"/>
                    </a:xfrm>
                    <a:prstGeom prst="rect">
                      <a:avLst/>
                    </a:prstGeom>
                    <a:noFill/>
                    <a:ln>
                      <a:noFill/>
                    </a:ln>
                  </pic:spPr>
                </pic:pic>
              </a:graphicData>
            </a:graphic>
          </wp:inline>
        </w:drawing>
      </w:r>
    </w:p>
    <w:p>
      <w:pPr>
        <w:pStyle w:val="2"/>
      </w:pPr>
    </w:p>
    <w:p/>
    <w:p>
      <w:pPr>
        <w:pStyle w:val="2"/>
      </w:pPr>
    </w:p>
    <w:p/>
    <w:p/>
    <w:p>
      <w:pPr>
        <w:pStyle w:val="2"/>
      </w:pPr>
    </w:p>
    <w:p/>
    <w:p>
      <w:pPr>
        <w:pStyle w:val="2"/>
      </w:pPr>
    </w:p>
    <w:p/>
    <w:p>
      <w:pPr>
        <w:pStyle w:val="2"/>
      </w:pPr>
    </w:p>
    <w:p/>
    <w:p>
      <w:pPr>
        <w:pStyle w:val="2"/>
      </w:pPr>
    </w:p>
    <w:p>
      <w:r>
        <w:drawing>
          <wp:inline distT="0" distB="0" distL="114300" distR="114300">
            <wp:extent cx="5687695" cy="6699885"/>
            <wp:effectExtent l="0" t="0" r="1905" b="5715"/>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21"/>
                    <pic:cNvPicPr>
                      <a:picLocks noChangeAspect="1"/>
                    </pic:cNvPicPr>
                  </pic:nvPicPr>
                  <pic:blipFill>
                    <a:blip r:embed="rId6"/>
                    <a:stretch>
                      <a:fillRect/>
                    </a:stretch>
                  </pic:blipFill>
                  <pic:spPr>
                    <a:xfrm>
                      <a:off x="0" y="0"/>
                      <a:ext cx="5687695" cy="6699885"/>
                    </a:xfrm>
                    <a:prstGeom prst="rect">
                      <a:avLst/>
                    </a:prstGeom>
                    <a:noFill/>
                    <a:ln>
                      <a:noFill/>
                    </a:ln>
                  </pic:spPr>
                </pic:pic>
              </a:graphicData>
            </a:graphic>
          </wp:inline>
        </w:drawing>
      </w:r>
    </w:p>
    <w:p>
      <w:pPr>
        <w:pStyle w:val="2"/>
      </w:pPr>
    </w:p>
    <w:p/>
    <w:p>
      <w:pPr>
        <w:pStyle w:val="2"/>
      </w:pPr>
    </w:p>
    <w:p/>
    <w:p>
      <w:pPr>
        <w:pStyle w:val="2"/>
      </w:pPr>
    </w:p>
    <w:p/>
    <w:p>
      <w:pPr>
        <w:pStyle w:val="2"/>
      </w:pPr>
    </w:p>
    <w:p/>
    <w:p>
      <w:pPr>
        <w:pStyle w:val="2"/>
      </w:pPr>
    </w:p>
    <w:p/>
    <w:p>
      <w:pPr>
        <w:pStyle w:val="2"/>
      </w:pPr>
      <w:r>
        <w:drawing>
          <wp:inline distT="0" distB="0" distL="114300" distR="114300">
            <wp:extent cx="5687695" cy="6889115"/>
            <wp:effectExtent l="0" t="0" r="1905" b="6985"/>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22"/>
                    <pic:cNvPicPr>
                      <a:picLocks noChangeAspect="1"/>
                    </pic:cNvPicPr>
                  </pic:nvPicPr>
                  <pic:blipFill>
                    <a:blip r:embed="rId7"/>
                    <a:stretch>
                      <a:fillRect/>
                    </a:stretch>
                  </pic:blipFill>
                  <pic:spPr>
                    <a:xfrm>
                      <a:off x="0" y="0"/>
                      <a:ext cx="5687695" cy="6889115"/>
                    </a:xfrm>
                    <a:prstGeom prst="rect">
                      <a:avLst/>
                    </a:prstGeom>
                    <a:noFill/>
                    <a:ln>
                      <a:noFill/>
                    </a:ln>
                  </pic:spPr>
                </pic:pic>
              </a:graphicData>
            </a:graphic>
          </wp:inline>
        </w:drawing>
      </w:r>
    </w:p>
    <w:p/>
    <w:p>
      <w:pPr>
        <w:pStyle w:val="2"/>
      </w:pPr>
    </w:p>
    <w:p/>
    <w:p>
      <w:pPr>
        <w:pStyle w:val="2"/>
      </w:pPr>
    </w:p>
    <w:p/>
    <w:p>
      <w:pPr>
        <w:pStyle w:val="2"/>
      </w:pPr>
    </w:p>
    <w:p/>
    <w:p>
      <w:pPr>
        <w:pStyle w:val="2"/>
      </w:pPr>
      <w:r>
        <w:drawing>
          <wp:inline distT="0" distB="0" distL="114300" distR="114300">
            <wp:extent cx="5687695" cy="8061960"/>
            <wp:effectExtent l="0" t="0" r="1905" b="254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23"/>
                    <pic:cNvPicPr>
                      <a:picLocks noChangeAspect="1"/>
                    </pic:cNvPicPr>
                  </pic:nvPicPr>
                  <pic:blipFill>
                    <a:blip r:embed="rId8"/>
                    <a:stretch>
                      <a:fillRect/>
                    </a:stretch>
                  </pic:blipFill>
                  <pic:spPr>
                    <a:xfrm>
                      <a:off x="0" y="0"/>
                      <a:ext cx="5687695" cy="8061960"/>
                    </a:xfrm>
                    <a:prstGeom prst="rect">
                      <a:avLst/>
                    </a:prstGeom>
                    <a:noFill/>
                    <a:ln>
                      <a:noFill/>
                    </a:ln>
                  </pic:spPr>
                </pic:pic>
              </a:graphicData>
            </a:graphic>
          </wp:inline>
        </w:drawing>
      </w:r>
    </w:p>
    <w:p/>
    <w:p>
      <w:pPr>
        <w:pStyle w:val="2"/>
      </w:pPr>
      <w:r>
        <w:drawing>
          <wp:inline distT="0" distB="0" distL="114300" distR="114300">
            <wp:extent cx="5687695" cy="6263005"/>
            <wp:effectExtent l="0" t="0" r="1905" b="10795"/>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24"/>
                    <pic:cNvPicPr>
                      <a:picLocks noChangeAspect="1"/>
                    </pic:cNvPicPr>
                  </pic:nvPicPr>
                  <pic:blipFill>
                    <a:blip r:embed="rId9"/>
                    <a:stretch>
                      <a:fillRect/>
                    </a:stretch>
                  </pic:blipFill>
                  <pic:spPr>
                    <a:xfrm>
                      <a:off x="0" y="0"/>
                      <a:ext cx="5687695" cy="6263005"/>
                    </a:xfrm>
                    <a:prstGeom prst="rect">
                      <a:avLst/>
                    </a:prstGeom>
                    <a:noFill/>
                    <a:ln>
                      <a:noFill/>
                    </a:ln>
                  </pic:spPr>
                </pic:pic>
              </a:graphicData>
            </a:graphic>
          </wp:inline>
        </w:drawing>
      </w:r>
    </w:p>
    <w:p/>
    <w:p>
      <w:pPr>
        <w:pStyle w:val="2"/>
      </w:pPr>
    </w:p>
    <w:p/>
    <w:p>
      <w:pPr>
        <w:pStyle w:val="2"/>
      </w:pPr>
    </w:p>
    <w:p>
      <w:pPr>
        <w:pStyle w:val="2"/>
      </w:pPr>
    </w:p>
    <w:p/>
    <w:p>
      <w:pPr>
        <w:pStyle w:val="2"/>
      </w:pPr>
    </w:p>
    <w:p/>
    <w:p>
      <w:pPr>
        <w:pStyle w:val="2"/>
      </w:pPr>
    </w:p>
    <w:p/>
    <w:p>
      <w:pPr>
        <w:pStyle w:val="2"/>
      </w:pPr>
    </w:p>
    <w:p/>
    <w:p>
      <w:pPr>
        <w:pStyle w:val="2"/>
      </w:pPr>
      <w:r>
        <w:drawing>
          <wp:inline distT="0" distB="0" distL="114300" distR="114300">
            <wp:extent cx="5687695" cy="2447290"/>
            <wp:effectExtent l="0" t="0" r="1905" b="381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25"/>
                    <pic:cNvPicPr>
                      <a:picLocks noChangeAspect="1"/>
                    </pic:cNvPicPr>
                  </pic:nvPicPr>
                  <pic:blipFill>
                    <a:blip r:embed="rId10"/>
                    <a:stretch>
                      <a:fillRect/>
                    </a:stretch>
                  </pic:blipFill>
                  <pic:spPr>
                    <a:xfrm>
                      <a:off x="0" y="0"/>
                      <a:ext cx="5687695" cy="2447290"/>
                    </a:xfrm>
                    <a:prstGeom prst="rect">
                      <a:avLst/>
                    </a:prstGeom>
                    <a:noFill/>
                    <a:ln>
                      <a:noFill/>
                    </a:ln>
                  </pic:spPr>
                </pic:pic>
              </a:graphicData>
            </a:graphic>
          </wp:inline>
        </w:drawing>
      </w:r>
    </w:p>
    <w:p/>
    <w:p>
      <w:pPr>
        <w:pStyle w:val="2"/>
      </w:pPr>
    </w:p>
    <w:p/>
    <w:p>
      <w:pPr>
        <w:pStyle w:val="2"/>
      </w:pPr>
    </w:p>
    <w:p/>
    <w:p>
      <w:pPr>
        <w:pStyle w:val="2"/>
      </w:pPr>
    </w:p>
    <w:p/>
    <w:p>
      <w:pPr>
        <w:pStyle w:val="2"/>
      </w:pPr>
    </w:p>
    <w:p/>
    <w:p>
      <w:pPr>
        <w:pStyle w:val="2"/>
      </w:pPr>
    </w:p>
    <w:p/>
    <w:p>
      <w:pPr>
        <w:pStyle w:val="2"/>
      </w:pPr>
    </w:p>
    <w:p/>
    <w:p>
      <w:pPr>
        <w:pStyle w:val="2"/>
      </w:pPr>
    </w:p>
    <w:p/>
    <w:p>
      <w:pPr>
        <w:pStyle w:val="2"/>
      </w:pPr>
    </w:p>
    <w:p/>
    <w:p>
      <w:pPr>
        <w:pStyle w:val="2"/>
      </w:pPr>
    </w:p>
    <w:p/>
    <w:p>
      <w:pPr>
        <w:pStyle w:val="2"/>
      </w:pPr>
    </w:p>
    <w:p/>
    <w:p>
      <w:pPr>
        <w:pStyle w:val="2"/>
      </w:pPr>
    </w:p>
    <w:p/>
    <w:p>
      <w:pPr>
        <w:pStyle w:val="2"/>
      </w:pPr>
    </w:p>
    <w:p/>
    <w:p>
      <w:pPr>
        <w:pStyle w:val="2"/>
      </w:pPr>
    </w:p>
    <w:p/>
    <w:p>
      <w:pPr>
        <w:pStyle w:val="2"/>
      </w:pPr>
    </w:p>
    <w:p/>
    <w:p>
      <w:pPr>
        <w:pStyle w:val="2"/>
      </w:pPr>
    </w:p>
    <w:p/>
    <w:p>
      <w:pPr>
        <w:pStyle w:val="2"/>
      </w:pPr>
    </w:p>
    <w:p/>
    <w:p>
      <w:pPr>
        <w:pStyle w:val="2"/>
      </w:pPr>
    </w:p>
    <w:p/>
    <w:p>
      <w:pPr>
        <w:pStyle w:val="2"/>
      </w:pPr>
      <w:r>
        <w:drawing>
          <wp:inline distT="0" distB="0" distL="114300" distR="114300">
            <wp:extent cx="5687695" cy="2741295"/>
            <wp:effectExtent l="0" t="0" r="1905" b="1905"/>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26"/>
                    <pic:cNvPicPr>
                      <a:picLocks noChangeAspect="1"/>
                    </pic:cNvPicPr>
                  </pic:nvPicPr>
                  <pic:blipFill>
                    <a:blip r:embed="rId11"/>
                    <a:stretch>
                      <a:fillRect/>
                    </a:stretch>
                  </pic:blipFill>
                  <pic:spPr>
                    <a:xfrm>
                      <a:off x="0" y="0"/>
                      <a:ext cx="5687695" cy="2741295"/>
                    </a:xfrm>
                    <a:prstGeom prst="rect">
                      <a:avLst/>
                    </a:prstGeom>
                    <a:noFill/>
                    <a:ln>
                      <a:noFill/>
                    </a:ln>
                  </pic:spPr>
                </pic:pic>
              </a:graphicData>
            </a:graphic>
          </wp:inline>
        </w:drawing>
      </w:r>
    </w:p>
    <w:p/>
    <w:p>
      <w:pPr>
        <w:pStyle w:val="2"/>
      </w:pPr>
    </w:p>
    <w:p/>
    <w:p>
      <w:pPr>
        <w:pStyle w:val="2"/>
      </w:pPr>
    </w:p>
    <w:p/>
    <w:p>
      <w:pPr>
        <w:pStyle w:val="2"/>
      </w:pPr>
    </w:p>
    <w:p/>
    <w:p>
      <w:pPr>
        <w:pStyle w:val="2"/>
      </w:pPr>
    </w:p>
    <w:p/>
    <w:p>
      <w:pPr>
        <w:pStyle w:val="2"/>
      </w:pPr>
    </w:p>
    <w:p/>
    <w:p>
      <w:pPr>
        <w:pStyle w:val="2"/>
      </w:pPr>
    </w:p>
    <w:p/>
    <w:p>
      <w:pPr>
        <w:pStyle w:val="2"/>
      </w:pPr>
    </w:p>
    <w:p/>
    <w:p>
      <w:pPr>
        <w:pStyle w:val="2"/>
      </w:pPr>
    </w:p>
    <w:p/>
    <w:p>
      <w:pPr>
        <w:pStyle w:val="2"/>
      </w:pPr>
    </w:p>
    <w:p/>
    <w:p>
      <w:pPr>
        <w:pStyle w:val="2"/>
      </w:pPr>
    </w:p>
    <w:p/>
    <w:p>
      <w:pPr>
        <w:pStyle w:val="2"/>
      </w:pPr>
    </w:p>
    <w:p/>
    <w:p>
      <w:pPr>
        <w:pStyle w:val="2"/>
      </w:pPr>
    </w:p>
    <w:p/>
    <w:p>
      <w:pPr>
        <w:pStyle w:val="2"/>
      </w:pPr>
    </w:p>
    <w:p/>
    <w:p>
      <w:pPr>
        <w:pStyle w:val="2"/>
      </w:pPr>
    </w:p>
    <w:p/>
    <w:p>
      <w:pPr>
        <w:pStyle w:val="2"/>
      </w:pPr>
    </w:p>
    <w:p/>
    <w:p>
      <w:pPr>
        <w:pStyle w:val="2"/>
      </w:pPr>
    </w:p>
    <w:p/>
    <w:p>
      <w:pPr>
        <w:pStyle w:val="2"/>
      </w:pPr>
      <w:r>
        <w:drawing>
          <wp:inline distT="0" distB="0" distL="114300" distR="114300">
            <wp:extent cx="5687695" cy="2879725"/>
            <wp:effectExtent l="0" t="0" r="1905" b="3175"/>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27"/>
                    <pic:cNvPicPr>
                      <a:picLocks noChangeAspect="1"/>
                    </pic:cNvPicPr>
                  </pic:nvPicPr>
                  <pic:blipFill>
                    <a:blip r:embed="rId12"/>
                    <a:stretch>
                      <a:fillRect/>
                    </a:stretch>
                  </pic:blipFill>
                  <pic:spPr>
                    <a:xfrm>
                      <a:off x="0" y="0"/>
                      <a:ext cx="5687695" cy="2879725"/>
                    </a:xfrm>
                    <a:prstGeom prst="rect">
                      <a:avLst/>
                    </a:prstGeom>
                    <a:noFill/>
                    <a:ln>
                      <a:noFill/>
                    </a:ln>
                  </pic:spPr>
                </pic:pic>
              </a:graphicData>
            </a:graphic>
          </wp:inline>
        </w:drawing>
      </w:r>
    </w:p>
    <w:p/>
    <w:p>
      <w:pPr>
        <w:pStyle w:val="2"/>
      </w:pPr>
    </w:p>
    <w:p/>
    <w:p>
      <w:pPr>
        <w:pStyle w:val="2"/>
      </w:pPr>
    </w:p>
    <w:p/>
    <w:p>
      <w:pPr>
        <w:pStyle w:val="2"/>
      </w:pPr>
    </w:p>
    <w:p/>
    <w:p>
      <w:pPr>
        <w:pStyle w:val="2"/>
      </w:pPr>
    </w:p>
    <w:p/>
    <w:p>
      <w:pPr>
        <w:pStyle w:val="2"/>
      </w:pPr>
      <w:bookmarkStart w:id="0" w:name="_GoBack"/>
      <w:bookmarkEnd w:id="0"/>
    </w:p>
    <w:p/>
    <w:p>
      <w:pPr>
        <w:pStyle w:val="2"/>
      </w:pPr>
    </w:p>
    <w:p/>
    <w:p>
      <w:pPr>
        <w:pStyle w:val="2"/>
      </w:pPr>
    </w:p>
    <w:p/>
    <w:p>
      <w:pPr>
        <w:pStyle w:val="2"/>
      </w:pPr>
    </w:p>
    <w:p/>
    <w:p>
      <w:pPr>
        <w:pStyle w:val="2"/>
      </w:pPr>
    </w:p>
    <w:p/>
    <w:p>
      <w:pPr>
        <w:pStyle w:val="2"/>
      </w:pPr>
    </w:p>
    <w:p/>
    <w:p>
      <w:pPr>
        <w:pStyle w:val="2"/>
      </w:pPr>
    </w:p>
    <w:p/>
    <w:p>
      <w:pPr>
        <w:pStyle w:val="2"/>
      </w:pPr>
    </w:p>
    <w:p/>
    <w:p>
      <w:pPr>
        <w:pStyle w:val="2"/>
      </w:pPr>
    </w:p>
    <w:p/>
    <w:p>
      <w:pPr>
        <w:pStyle w:val="2"/>
      </w:pPr>
    </w:p>
    <w:p/>
    <w:p>
      <w:pPr>
        <w:pStyle w:val="2"/>
      </w:pPr>
    </w:p>
    <w:p/>
    <w:p>
      <w:pPr>
        <w:pStyle w:val="2"/>
      </w:pPr>
    </w:p>
    <w:p>
      <w:pPr>
        <w:pStyle w:val="2"/>
      </w:pPr>
    </w:p>
    <w:sectPr>
      <w:pgSz w:w="12240" w:h="15840"/>
      <w:pgMar w:top="1440" w:right="1800" w:bottom="1440" w:left="180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auto"/>
    <w:pitch w:val="default"/>
    <w:sig w:usb0="00000001" w:usb1="080E0000" w:usb2="00000000" w:usb3="00000000" w:csb0="00040000" w:csb1="00000000"/>
  </w:font>
  <w:font w:name="方正仿宋_GBK">
    <w:panose1 w:val="03000509000000000000"/>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0"/>
  <w:bordersDoNotSurroundFooter w:val="0"/>
  <w:documentProtection w:enforcement="0"/>
  <w:displayHorizontalDrawingGridEvery w:val="1"/>
  <w:displayVerticalDrawingGridEvery w:val="1"/>
  <w:noPunctuationKerning w:val="1"/>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47643BB"/>
    <w:rsid w:val="08F44C37"/>
    <w:rsid w:val="0947345D"/>
    <w:rsid w:val="09B65F5B"/>
    <w:rsid w:val="0D441D51"/>
    <w:rsid w:val="0E16119C"/>
    <w:rsid w:val="107B3EE2"/>
    <w:rsid w:val="195D01A1"/>
    <w:rsid w:val="1D817E7C"/>
    <w:rsid w:val="2005468E"/>
    <w:rsid w:val="207E1F8B"/>
    <w:rsid w:val="25373937"/>
    <w:rsid w:val="25821B47"/>
    <w:rsid w:val="263275D8"/>
    <w:rsid w:val="278A73DC"/>
    <w:rsid w:val="29FC669C"/>
    <w:rsid w:val="2DCA1A27"/>
    <w:rsid w:val="2EFA14C6"/>
    <w:rsid w:val="2F9367A9"/>
    <w:rsid w:val="2FAA45A7"/>
    <w:rsid w:val="33D07815"/>
    <w:rsid w:val="363269AE"/>
    <w:rsid w:val="39584D48"/>
    <w:rsid w:val="39D53104"/>
    <w:rsid w:val="3A2535E6"/>
    <w:rsid w:val="3A520D58"/>
    <w:rsid w:val="3BAC12F5"/>
    <w:rsid w:val="3E755898"/>
    <w:rsid w:val="3FF54456"/>
    <w:rsid w:val="432A6E36"/>
    <w:rsid w:val="45890E30"/>
    <w:rsid w:val="47657578"/>
    <w:rsid w:val="4E824469"/>
    <w:rsid w:val="4ECB6585"/>
    <w:rsid w:val="4EF8181E"/>
    <w:rsid w:val="517B59F3"/>
    <w:rsid w:val="56BC74FC"/>
    <w:rsid w:val="5D326C2A"/>
    <w:rsid w:val="5DB57DA9"/>
    <w:rsid w:val="5DD66392"/>
    <w:rsid w:val="5F443E80"/>
    <w:rsid w:val="638C0264"/>
    <w:rsid w:val="6657617E"/>
    <w:rsid w:val="6A03009A"/>
    <w:rsid w:val="6A9E068A"/>
    <w:rsid w:val="6C636B57"/>
    <w:rsid w:val="71A21918"/>
    <w:rsid w:val="72AB5EF1"/>
    <w:rsid w:val="75C227EF"/>
    <w:rsid w:val="76B93150"/>
    <w:rsid w:val="788B0329"/>
    <w:rsid w:val="7EC6407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qFormat="1" w:uiPriority="99"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sz w:val="21"/>
      <w:szCs w:val="22"/>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index 1"/>
    <w:basedOn w:val="1"/>
    <w:next w:val="1"/>
    <w:unhideWhenUsed/>
    <w:qFormat/>
    <w:uiPriority w:val="99"/>
  </w:style>
  <w:style w:type="character" w:styleId="5">
    <w:name w:val="Strong"/>
    <w:basedOn w:val="4"/>
    <w:qFormat/>
    <w:uiPriority w:val="0"/>
    <w:rPr>
      <w:b/>
    </w:rPr>
  </w:style>
  <w:style w:type="paragraph" w:customStyle="1" w:styleId="6">
    <w:name w:val="无间隔1"/>
    <w:qFormat/>
    <w:uiPriority w:val="1"/>
    <w:pPr>
      <w:widowControl w:val="0"/>
      <w:spacing w:line="660" w:lineRule="exact"/>
      <w:ind w:firstLine="560" w:firstLineChars="200"/>
    </w:pPr>
    <w:rPr>
      <w:rFonts w:ascii="仿宋_GB2312" w:hAnsi="Calibri" w:eastAsia="仿宋_GB2312" w:cs="Times New Roman"/>
      <w:kern w:val="10"/>
      <w:sz w:val="28"/>
      <w:szCs w:val="28"/>
      <w:lang w:val="en-US" w:eastAsia="zh-CN" w:bidi="en-US"/>
    </w:rPr>
  </w:style>
</w:styles>
</file>

<file path=word/_rels/document.xml.rels><?xml version="1.0" encoding="UTF-8" standalone="yes"?>
<Relationships xmlns="http://schemas.openxmlformats.org/package/2006/relationships"><Relationship Id="rId9" Type="http://schemas.openxmlformats.org/officeDocument/2006/relationships/image" Target="media/image6.png"/><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image" Target="media/image9.png"/><Relationship Id="rId11" Type="http://schemas.openxmlformats.org/officeDocument/2006/relationships/image" Target="media/image8.png"/><Relationship Id="rId10" Type="http://schemas.openxmlformats.org/officeDocument/2006/relationships/image" Target="media/image7.png"/><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67</TotalTime>
  <ScaleCrop>false</ScaleCrop>
  <LinksUpToDate>false</LinksUpToDate>
  <Application>WPS Office_11.8.2.10154_F1E327BC-269C-435d-A152-05C5408002CA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2025-08-14T05:23:00Z</dcterms:created>
  <dc:creator>Administrator</dc:creator>
  <cp:lastModifiedBy>Administrator</cp:lastModifiedBy>
  <dcterms:modified xsi:type="dcterms:W3CDTF">2025-08-15T08:35:59Z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2052-11.8.2.10154</vt:lpwstr>
  </property>
</Properties>
</file>