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rPr>
      </w:pPr>
      <w:r>
        <w:rPr>
          <w:rFonts w:ascii="宋体" w:eastAsia="黑体"/>
          <w:sz w:val="44"/>
          <w:szCs w:val="44"/>
        </w:rPr>
        <w:t>库尔勒市技工学校</w:t>
      </w:r>
    </w:p>
    <w:p>
      <w:pPr>
        <w:spacing w:line="240" w:lineRule="auto"/>
        <w:jc w:val="center"/>
        <w:outlineLvl w:val="0"/>
        <w:rPr>
          <w:rFonts w:ascii="黑体" w:eastAsia="黑体"/>
          <w:sz w:val="44"/>
          <w:szCs w:val="44"/>
        </w:rPr>
      </w:pPr>
      <w:r>
        <w:rPr>
          <w:rFonts w:ascii="黑体" w:eastAsia="黑体"/>
          <w:sz w:val="44"/>
          <w:szCs w:val="44"/>
        </w:rPr>
        <w:t>2024年度部门决算公开说明</w:t>
      </w:r>
    </w:p>
    <w:p>
      <w:r>
        <w:rPr>
          <w:sz w:val="0"/>
          <w:szCs w:val="0"/>
        </w:rPr>
        <w:br w:type="page"/>
      </w:r>
    </w:p>
    <w:p>
      <w:pPr>
        <w:spacing w:line="240" w:lineRule="auto"/>
        <w:jc w:val="center"/>
        <w:rPr>
          <w:rFonts w:ascii="黑体" w:eastAsia="黑体"/>
          <w:sz w:val="32"/>
          <w:szCs w:val="32"/>
        </w:rPr>
      </w:pPr>
      <w:r>
        <w:rPr>
          <w:rFonts w:ascii="黑体" w:eastAsia="黑体"/>
          <w:b/>
          <w:sz w:val="32"/>
          <w:szCs w:val="32"/>
        </w:rPr>
        <w:t>目录</w:t>
      </w:r>
    </w:p>
    <w:p>
      <w:pPr>
        <w:spacing w:line="240" w:lineRule="auto"/>
        <w:rPr>
          <w:rFonts w:ascii="仿宋_GB2312" w:eastAsia="仿宋_GB2312"/>
          <w:sz w:val="32"/>
          <w:szCs w:val="32"/>
        </w:rPr>
      </w:pPr>
      <w:r>
        <w:rPr>
          <w:rFonts w:ascii="仿宋_GB2312" w:eastAsia="仿宋_GB2312"/>
          <w:b/>
          <w:sz w:val="32"/>
          <w:szCs w:val="32"/>
        </w:rPr>
        <w:t>第一部分单位概况</w:t>
      </w:r>
    </w:p>
    <w:p>
      <w:pPr>
        <w:spacing w:line="240" w:lineRule="auto"/>
        <w:rPr>
          <w:rFonts w:ascii="仿宋_GB2312" w:eastAsia="仿宋_GB2312"/>
          <w:sz w:val="32"/>
          <w:szCs w:val="32"/>
        </w:rPr>
      </w:pPr>
      <w:r>
        <w:rPr>
          <w:rFonts w:ascii="仿宋_GB2312" w:eastAsia="仿宋_GB2312"/>
          <w:sz w:val="32"/>
          <w:szCs w:val="32"/>
        </w:rPr>
        <w:t>一、主要职能</w:t>
      </w:r>
    </w:p>
    <w:p>
      <w:pPr>
        <w:spacing w:line="240" w:lineRule="auto"/>
        <w:rPr>
          <w:rFonts w:ascii="仿宋_GB2312" w:eastAsia="仿宋_GB2312"/>
          <w:sz w:val="32"/>
          <w:szCs w:val="32"/>
        </w:rPr>
      </w:pPr>
      <w:r>
        <w:rPr>
          <w:rFonts w:ascii="仿宋_GB2312" w:eastAsia="仿宋_GB2312"/>
          <w:sz w:val="32"/>
          <w:szCs w:val="32"/>
        </w:rPr>
        <w:t>二、机构设置及人员情况</w:t>
      </w:r>
    </w:p>
    <w:p>
      <w:pPr>
        <w:spacing w:line="240" w:lineRule="auto"/>
        <w:rPr>
          <w:rFonts w:ascii="仿宋_GB2312" w:eastAsia="仿宋_GB2312"/>
          <w:sz w:val="32"/>
          <w:szCs w:val="32"/>
        </w:rPr>
      </w:pPr>
      <w:r>
        <w:rPr>
          <w:rFonts w:ascii="仿宋_GB2312" w:eastAsia="仿宋_GB2312"/>
          <w:b/>
          <w:sz w:val="32"/>
          <w:szCs w:val="32"/>
        </w:rPr>
        <w:t>第二部分部门决算情况说明</w:t>
      </w:r>
    </w:p>
    <w:p>
      <w:pPr>
        <w:spacing w:line="240" w:lineRule="auto"/>
        <w:rPr>
          <w:rFonts w:ascii="仿宋_GB2312" w:eastAsia="仿宋_GB2312"/>
          <w:sz w:val="32"/>
          <w:szCs w:val="32"/>
        </w:rPr>
      </w:pPr>
      <w:r>
        <w:rPr>
          <w:rFonts w:ascii="仿宋_GB2312" w:eastAsia="仿宋_GB2312"/>
          <w:sz w:val="32"/>
          <w:szCs w:val="32"/>
        </w:rPr>
        <w:t>一、收入支出决算总体情况说明</w:t>
      </w:r>
    </w:p>
    <w:p>
      <w:pPr>
        <w:spacing w:line="240" w:lineRule="auto"/>
        <w:rPr>
          <w:rFonts w:ascii="仿宋_GB2312" w:eastAsia="仿宋_GB2312"/>
          <w:sz w:val="32"/>
          <w:szCs w:val="32"/>
        </w:rPr>
      </w:pPr>
      <w:r>
        <w:rPr>
          <w:rFonts w:ascii="仿宋_GB2312" w:eastAsia="仿宋_GB2312"/>
          <w:sz w:val="32"/>
          <w:szCs w:val="32"/>
        </w:rPr>
        <w:t>二、收入决算情况说明</w:t>
      </w:r>
    </w:p>
    <w:p>
      <w:pPr>
        <w:spacing w:line="240" w:lineRule="auto"/>
        <w:rPr>
          <w:rFonts w:ascii="仿宋_GB2312" w:eastAsia="仿宋_GB2312"/>
          <w:sz w:val="32"/>
          <w:szCs w:val="32"/>
        </w:rPr>
      </w:pPr>
      <w:r>
        <w:rPr>
          <w:rFonts w:ascii="仿宋_GB2312" w:eastAsia="仿宋_GB2312"/>
          <w:sz w:val="32"/>
          <w:szCs w:val="32"/>
        </w:rPr>
        <w:t>三、支出决算情况说明</w:t>
      </w:r>
    </w:p>
    <w:p>
      <w:pPr>
        <w:spacing w:line="240" w:lineRule="auto"/>
        <w:rPr>
          <w:rFonts w:ascii="仿宋_GB2312" w:eastAsia="仿宋_GB2312"/>
          <w:sz w:val="32"/>
          <w:szCs w:val="32"/>
        </w:rPr>
      </w:pPr>
      <w:r>
        <w:rPr>
          <w:rFonts w:ascii="仿宋_GB2312" w:eastAsia="仿宋_GB2312"/>
          <w:sz w:val="32"/>
          <w:szCs w:val="32"/>
        </w:rPr>
        <w:t>四、财政拨款收入支出决算总体情况说明</w:t>
      </w:r>
    </w:p>
    <w:p>
      <w:pPr>
        <w:spacing w:line="240" w:lineRule="auto"/>
        <w:rPr>
          <w:rFonts w:ascii="仿宋_GB2312" w:eastAsia="仿宋_GB2312"/>
          <w:sz w:val="32"/>
          <w:szCs w:val="32"/>
        </w:rPr>
      </w:pPr>
      <w:r>
        <w:rPr>
          <w:rFonts w:ascii="仿宋_GB2312" w:eastAsia="仿宋_GB2312"/>
          <w:sz w:val="32"/>
          <w:szCs w:val="32"/>
        </w:rPr>
        <w:t>五、一般公共预算财政拨款支出决算情况说明</w:t>
      </w:r>
    </w:p>
    <w:p>
      <w:pPr>
        <w:spacing w:line="240" w:lineRule="auto"/>
        <w:rPr>
          <w:rFonts w:ascii="仿宋_GB2312" w:eastAsia="仿宋_GB2312"/>
          <w:sz w:val="32"/>
          <w:szCs w:val="32"/>
        </w:rPr>
      </w:pPr>
      <w:r>
        <w:rPr>
          <w:rFonts w:ascii="仿宋_GB2312" w:eastAsia="仿宋_GB2312"/>
          <w:sz w:val="32"/>
          <w:szCs w:val="32"/>
        </w:rPr>
        <w:t>（一）一般公共预算财政拨款支出决算总体情况</w:t>
      </w:r>
    </w:p>
    <w:p>
      <w:pPr>
        <w:spacing w:line="240" w:lineRule="auto"/>
        <w:rPr>
          <w:rFonts w:ascii="仿宋_GB2312" w:eastAsia="仿宋_GB2312"/>
          <w:sz w:val="32"/>
          <w:szCs w:val="32"/>
        </w:rPr>
      </w:pPr>
      <w:r>
        <w:rPr>
          <w:rFonts w:ascii="仿宋_GB2312" w:eastAsia="仿宋_GB2312"/>
          <w:sz w:val="32"/>
          <w:szCs w:val="32"/>
        </w:rPr>
        <w:t>（二）一般公共预算财政拨款支出决算结构情况</w:t>
      </w:r>
    </w:p>
    <w:p>
      <w:pPr>
        <w:spacing w:line="240" w:lineRule="auto"/>
        <w:rPr>
          <w:rFonts w:ascii="仿宋_GB2312" w:eastAsia="仿宋_GB2312"/>
          <w:sz w:val="32"/>
          <w:szCs w:val="32"/>
        </w:rPr>
      </w:pPr>
      <w:r>
        <w:rPr>
          <w:rFonts w:ascii="仿宋_GB2312" w:eastAsia="仿宋_GB2312"/>
          <w:sz w:val="32"/>
          <w:szCs w:val="32"/>
        </w:rPr>
        <w:t>（三）一般公共预算财政拨款支出决算具体情况</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pPr>
        <w:spacing w:line="240" w:lineRule="auto"/>
        <w:rPr>
          <w:rFonts w:ascii="仿宋_GB2312" w:eastAsia="仿宋_GB2312"/>
          <w:sz w:val="32"/>
          <w:szCs w:val="32"/>
        </w:rPr>
      </w:pPr>
      <w:r>
        <w:rPr>
          <w:rFonts w:ascii="仿宋_GB2312" w:eastAsia="仿宋_GB2312"/>
          <w:sz w:val="32"/>
          <w:szCs w:val="32"/>
        </w:rPr>
        <w:t>九、财政拨款“三公”经费支出决算情况说明</w:t>
      </w:r>
    </w:p>
    <w:p>
      <w:pPr>
        <w:spacing w:line="240" w:lineRule="auto"/>
        <w:rPr>
          <w:rFonts w:ascii="仿宋_GB2312" w:eastAsia="仿宋_GB2312"/>
          <w:sz w:val="32"/>
          <w:szCs w:val="32"/>
        </w:rPr>
      </w:pPr>
      <w:r>
        <w:rPr>
          <w:rFonts w:ascii="仿宋_GB2312" w:eastAsia="仿宋_GB2312"/>
          <w:sz w:val="32"/>
          <w:szCs w:val="32"/>
        </w:rPr>
        <w:t>十、其他重要事项的情况说明</w:t>
      </w:r>
    </w:p>
    <w:p>
      <w:pPr>
        <w:spacing w:line="240" w:lineRule="auto"/>
        <w:rPr>
          <w:rFonts w:ascii="仿宋_GB2312" w:eastAsia="仿宋_GB2312"/>
          <w:sz w:val="32"/>
          <w:szCs w:val="32"/>
        </w:rPr>
      </w:pPr>
      <w:r>
        <w:rPr>
          <w:rFonts w:ascii="仿宋_GB2312" w:eastAsia="仿宋_GB2312"/>
          <w:sz w:val="32"/>
          <w:szCs w:val="32"/>
        </w:rPr>
        <w:t>（一）机关运行经费及公用经费支出情况</w:t>
      </w:r>
    </w:p>
    <w:p>
      <w:pPr>
        <w:spacing w:line="240" w:lineRule="auto"/>
        <w:rPr>
          <w:rFonts w:ascii="仿宋_GB2312" w:eastAsia="仿宋_GB2312"/>
          <w:sz w:val="32"/>
          <w:szCs w:val="32"/>
        </w:rPr>
      </w:pPr>
      <w:r>
        <w:rPr>
          <w:rFonts w:ascii="仿宋_GB2312" w:eastAsia="仿宋_GB2312"/>
          <w:sz w:val="32"/>
          <w:szCs w:val="32"/>
        </w:rPr>
        <w:t>（二）政府采购情况</w:t>
      </w:r>
    </w:p>
    <w:p>
      <w:pPr>
        <w:spacing w:line="240" w:lineRule="auto"/>
        <w:rPr>
          <w:rFonts w:ascii="仿宋_GB2312" w:eastAsia="仿宋_GB2312"/>
          <w:sz w:val="32"/>
          <w:szCs w:val="32"/>
        </w:rPr>
      </w:pPr>
      <w:r>
        <w:rPr>
          <w:rFonts w:ascii="仿宋_GB2312" w:eastAsia="仿宋_GB2312"/>
          <w:sz w:val="32"/>
          <w:szCs w:val="32"/>
        </w:rPr>
        <w:t>（三）国有资产占用情况说明</w:t>
      </w:r>
    </w:p>
    <w:p>
      <w:pPr>
        <w:spacing w:line="240" w:lineRule="auto"/>
        <w:rPr>
          <w:rFonts w:ascii="仿宋_GB2312" w:eastAsia="仿宋_GB2312"/>
          <w:sz w:val="32"/>
          <w:szCs w:val="32"/>
        </w:rPr>
      </w:pPr>
      <w:r>
        <w:rPr>
          <w:rFonts w:ascii="仿宋_GB2312" w:eastAsia="仿宋_GB2312"/>
          <w:sz w:val="32"/>
          <w:szCs w:val="32"/>
        </w:rPr>
        <w:t>十一、预算绩效的情况说明</w:t>
      </w:r>
    </w:p>
    <w:p>
      <w:pPr>
        <w:spacing w:line="240" w:lineRule="auto"/>
        <w:rPr>
          <w:rFonts w:ascii="仿宋_GB2312" w:eastAsia="仿宋_GB2312"/>
          <w:sz w:val="32"/>
          <w:szCs w:val="32"/>
        </w:rPr>
      </w:pPr>
      <w:r>
        <w:rPr>
          <w:rFonts w:ascii="仿宋_GB2312" w:eastAsia="仿宋_GB2312"/>
          <w:sz w:val="32"/>
          <w:szCs w:val="32"/>
        </w:rPr>
        <w:t>十二、其他需说明的事项</w:t>
      </w:r>
    </w:p>
    <w:p>
      <w:pPr>
        <w:spacing w:line="240" w:lineRule="auto"/>
        <w:rPr>
          <w:rFonts w:ascii="仿宋_GB2312" w:eastAsia="仿宋_GB2312"/>
          <w:sz w:val="32"/>
          <w:szCs w:val="32"/>
        </w:rPr>
      </w:pPr>
      <w:r>
        <w:rPr>
          <w:rFonts w:ascii="仿宋_GB2312" w:eastAsia="仿宋_GB2312"/>
          <w:b/>
          <w:sz w:val="32"/>
          <w:szCs w:val="32"/>
        </w:rPr>
        <w:t>第三部分专业名词解释</w:t>
      </w:r>
    </w:p>
    <w:p>
      <w:pPr>
        <w:spacing w:line="240" w:lineRule="auto"/>
        <w:rPr>
          <w:rFonts w:ascii="仿宋_GB2312" w:eastAsia="仿宋_GB2312"/>
          <w:sz w:val="32"/>
          <w:szCs w:val="32"/>
        </w:rPr>
      </w:pPr>
      <w:r>
        <w:rPr>
          <w:rFonts w:ascii="仿宋_GB2312" w:eastAsia="仿宋_GB2312"/>
          <w:b/>
          <w:sz w:val="32"/>
          <w:szCs w:val="32"/>
        </w:rPr>
        <w:t>第四部分部门决算报表（见附表）</w:t>
      </w:r>
    </w:p>
    <w:p>
      <w:pPr>
        <w:spacing w:line="240" w:lineRule="auto"/>
        <w:rPr>
          <w:rFonts w:ascii="仿宋_GB2312" w:eastAsia="仿宋_GB2312"/>
          <w:sz w:val="32"/>
          <w:szCs w:val="32"/>
        </w:rPr>
      </w:pPr>
      <w:r>
        <w:rPr>
          <w:rFonts w:ascii="仿宋_GB2312" w:eastAsia="仿宋_GB2312"/>
          <w:sz w:val="32"/>
          <w:szCs w:val="32"/>
        </w:rPr>
        <w:t>一、《收入支出决算总表》</w:t>
      </w:r>
    </w:p>
    <w:p>
      <w:pPr>
        <w:spacing w:line="240" w:lineRule="auto"/>
        <w:rPr>
          <w:rFonts w:ascii="仿宋_GB2312" w:eastAsia="仿宋_GB2312"/>
          <w:sz w:val="32"/>
          <w:szCs w:val="32"/>
        </w:rPr>
      </w:pPr>
      <w:r>
        <w:rPr>
          <w:rFonts w:ascii="仿宋_GB2312" w:eastAsia="仿宋_GB2312"/>
          <w:sz w:val="32"/>
          <w:szCs w:val="32"/>
        </w:rPr>
        <w:t>二、《收入决算表》</w:t>
      </w:r>
    </w:p>
    <w:p>
      <w:pPr>
        <w:spacing w:line="240" w:lineRule="auto"/>
        <w:rPr>
          <w:rFonts w:ascii="仿宋_GB2312" w:eastAsia="仿宋_GB2312"/>
          <w:sz w:val="32"/>
          <w:szCs w:val="32"/>
        </w:rPr>
      </w:pPr>
      <w:r>
        <w:rPr>
          <w:rFonts w:ascii="仿宋_GB2312" w:eastAsia="仿宋_GB2312"/>
          <w:sz w:val="32"/>
          <w:szCs w:val="32"/>
        </w:rPr>
        <w:t>三、《支出决算表》</w:t>
      </w:r>
    </w:p>
    <w:p>
      <w:pPr>
        <w:spacing w:line="240" w:lineRule="auto"/>
        <w:rPr>
          <w:rFonts w:ascii="仿宋_GB2312" w:eastAsia="仿宋_GB2312"/>
          <w:sz w:val="32"/>
          <w:szCs w:val="32"/>
        </w:rPr>
      </w:pPr>
      <w:r>
        <w:rPr>
          <w:rFonts w:ascii="仿宋_GB2312" w:eastAsia="仿宋_GB2312"/>
          <w:sz w:val="32"/>
          <w:szCs w:val="32"/>
        </w:rPr>
        <w:t>四、《财政拨款收入支出决算总表》</w:t>
      </w:r>
    </w:p>
    <w:p>
      <w:pPr>
        <w:spacing w:line="240" w:lineRule="auto"/>
        <w:rPr>
          <w:rFonts w:ascii="仿宋_GB2312" w:eastAsia="仿宋_GB2312"/>
          <w:sz w:val="32"/>
          <w:szCs w:val="32"/>
        </w:rPr>
      </w:pPr>
      <w:r>
        <w:rPr>
          <w:rFonts w:ascii="仿宋_GB2312" w:eastAsia="仿宋_GB2312"/>
          <w:sz w:val="32"/>
          <w:szCs w:val="32"/>
        </w:rPr>
        <w:t>五、《一般公共预算财政拨款支出决算表》</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六、《一般公共预算财政拨款基本支出决算表》</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七、《政府性基金预算财政拨款收入支出决算表》</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八、《国有资本经营预算财政拨款收入支出决算表》</w:t>
      </w:r>
    </w:p>
    <w:p>
      <w:pPr>
        <w:spacing w:line="240" w:lineRule="auto"/>
        <w:rPr>
          <w:rFonts w:ascii="仿宋_GB2312" w:eastAsia="仿宋_GB2312"/>
          <w:sz w:val="32"/>
          <w:szCs w:val="32"/>
        </w:rPr>
      </w:pPr>
      <w:r>
        <w:rPr>
          <w:rFonts w:ascii="仿宋_GB2312" w:eastAsia="仿宋_GB2312"/>
          <w:sz w:val="32"/>
          <w:szCs w:val="32"/>
        </w:rPr>
        <w:t>九、《财政拨款“三公”经费支出决算表》</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第一部分单位概况</w:t>
      </w:r>
    </w:p>
    <w:p>
      <w:pPr>
        <w:spacing w:line="240" w:lineRule="auto"/>
        <w:ind w:firstLine="640" w:firstLineChars="200"/>
        <w:outlineLvl w:val="1"/>
        <w:rPr>
          <w:rFonts w:ascii="黑体" w:eastAsia="黑体"/>
          <w:sz w:val="32"/>
          <w:szCs w:val="32"/>
        </w:rPr>
      </w:pPr>
      <w:r>
        <w:rPr>
          <w:rFonts w:ascii="黑体" w:eastAsia="黑体"/>
          <w:sz w:val="32"/>
          <w:szCs w:val="32"/>
        </w:rPr>
        <w:t>一、主要职能</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全面贯彻党的教育方针，围绕就业优先战略和创新发展战略，以农牧民素质提升、强化技能水平、促进就业创业、服务社会发展为导向，以立德树人和增强法制观念为根本，以提高职业素养和就业能力为核心，以适应市场需求为目标，坚持“高端引领、校企合作、多元办学、内涵发展”的办学理念，坚持学制教育与职业技能培训并举，深化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w:t>
      </w:r>
    </w:p>
    <w:p>
      <w:pPr>
        <w:spacing w:line="240" w:lineRule="auto"/>
        <w:ind w:firstLine="640" w:firstLineChars="200"/>
        <w:outlineLvl w:val="1"/>
        <w:rPr>
          <w:rFonts w:ascii="黑体" w:eastAsia="黑体"/>
          <w:sz w:val="32"/>
          <w:szCs w:val="32"/>
        </w:rPr>
      </w:pPr>
      <w:r>
        <w:rPr>
          <w:rFonts w:ascii="黑体" w:eastAsia="黑体"/>
          <w:sz w:val="32"/>
          <w:szCs w:val="32"/>
        </w:rPr>
        <w:t>二、机构设置及人员情况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库尔勒市技工学校2024年度，实有人数67人，其中：在职人员53人，增加1人；离休人员0人，较上年无变化；退休人员14人，增加3人。</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库尔勒市技工学校无下属预算单位，下设7个，分别是：党政办公室、教务科、学生科、招生就业科、后勤管理科、内审监督股、评价认定服务股。</w:t>
      </w:r>
    </w:p>
    <w:p>
      <w:pPr>
        <w:spacing w:line="240" w:lineRule="auto"/>
        <w:jc w:val="center"/>
        <w:outlineLvl w:val="0"/>
        <w:rPr>
          <w:rFonts w:ascii="黑体" w:eastAsia="黑体"/>
          <w:sz w:val="32"/>
          <w:szCs w:val="32"/>
        </w:rPr>
      </w:pPr>
      <w:r>
        <w:rPr>
          <w:rFonts w:ascii="黑体" w:eastAsia="黑体"/>
          <w:sz w:val="32"/>
          <w:szCs w:val="32"/>
        </w:rPr>
        <w:t>第二部分部门决算情况说明</w:t>
      </w:r>
    </w:p>
    <w:p>
      <w:pPr>
        <w:spacing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2024年度收入总计1,963.83万元，其中：本年收入合计1,963.83万元，使用非财政拨款结余（含专用结余）0.00万元，年初结转和结余0.00万元。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2024年度支出总计1,963.83万元，其中：本年支出合计1,493.58万元，结余分配470.24万元，年末结转和结余0.00万元。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收入支出总体与上年相比，增加937.70万元，增长91.38%，主要原因是：因工作需要本年度增加经营收入，本年收入相应增加。</w:t>
      </w:r>
    </w:p>
    <w:p>
      <w:pPr>
        <w:spacing w:line="240" w:lineRule="auto"/>
        <w:ind w:firstLine="640" w:firstLineChars="200"/>
        <w:outlineLvl w:val="1"/>
        <w:rPr>
          <w:rFonts w:ascii="黑体" w:eastAsia="黑体"/>
          <w:sz w:val="32"/>
          <w:szCs w:val="32"/>
        </w:rPr>
      </w:pPr>
      <w:r>
        <w:rPr>
          <w:rFonts w:ascii="黑体" w:eastAsia="黑体"/>
          <w:sz w:val="32"/>
          <w:szCs w:val="32"/>
        </w:rPr>
        <w:t>二、收入决算情况说明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收入1,963.83万元，其中：财政拨款收入1,033.50万元,占52.63%；上级补助收入0.00万元,占0.00%；事业收入0.00万元，占0.00%；经营收入930.33万元,占47.37%；附属单位上缴收入0.00万元，占0.00%；其他收入0.00万元，占0.00%。</w:t>
      </w:r>
    </w:p>
    <w:p>
      <w:pPr>
        <w:spacing w:line="240" w:lineRule="auto"/>
        <w:ind w:firstLine="640" w:firstLineChars="200"/>
        <w:outlineLvl w:val="1"/>
        <w:rPr>
          <w:rFonts w:ascii="黑体" w:eastAsia="黑体"/>
          <w:sz w:val="32"/>
          <w:szCs w:val="32"/>
        </w:rPr>
      </w:pPr>
      <w:r>
        <w:rPr>
          <w:rFonts w:ascii="黑体" w:eastAsia="黑体"/>
          <w:sz w:val="32"/>
          <w:szCs w:val="32"/>
        </w:rPr>
        <w:t>三、支出决算情况说明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本年支出1,493.58万元，其中：基本支出1,033.50万元，占69.20%；项目支出0.00万元，占0.00%；上缴上级支出0.00万元，占0.00%；经营支出460.09万元，占30.80%；对附属单位补助支出0.00万元，占0.00%。</w:t>
      </w:r>
    </w:p>
    <w:p>
      <w:pPr>
        <w:spacing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收入总计1,033.50万元，其中：年初财政拨款结转和结余0.00万元，本年财政拨款收入1,033.50万元。财政拨款支出总计1,033.50万元，其中：年末财政拨款结转和结余0.00万元，本年财政拨款支出1,033.50万元。</w:t>
      </w:r>
    </w:p>
    <w:p>
      <w:pPr>
        <w:spacing w:line="240" w:lineRule="auto"/>
        <w:ind w:firstLine="640" w:firstLineChars="200"/>
        <w:jc w:val="both"/>
        <w:rPr>
          <w:rFonts w:hint="default" w:ascii="仿宋_GB2312" w:eastAsia="仿宋_GB2312"/>
          <w:color w:val="000000" w:themeColor="text1"/>
          <w:sz w:val="32"/>
          <w:szCs w:val="32"/>
          <w:highlight w:val="yellow"/>
          <w:lang w:val="en-US" w:eastAsia="zh-CN"/>
        </w:rPr>
      </w:pPr>
      <w:r>
        <w:rPr>
          <w:rFonts w:ascii="仿宋_GB2312" w:eastAsia="仿宋_GB2312"/>
          <w:sz w:val="32"/>
          <w:szCs w:val="32"/>
        </w:rPr>
        <w:t>财政拨款收入支出总体与上年相比，增加7.37万元，增长0.72%，主要原因是：由于工资增加、公积金、社保缴费基数变大，相应支出增加。与年初预算相比，年初预算数1,533.25万元，决算数1,033.50万元，预决算差异率-32.59%，主要原因是：</w:t>
      </w:r>
      <w:r>
        <w:rPr>
          <w:rFonts w:hint="eastAsia" w:ascii="仿宋_GB2312" w:eastAsia="仿宋_GB2312"/>
          <w:sz w:val="32"/>
          <w:szCs w:val="32"/>
          <w:lang w:val="en-US" w:eastAsia="zh-CN"/>
        </w:rPr>
        <w:t>2024年培训项目未达预期目标，导致当年支出与年初预算数差异较大。</w:t>
      </w:r>
    </w:p>
    <w:p>
      <w:pPr>
        <w:spacing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（一）一般公共预算财政拨款支出决算总体情况</w:t>
      </w:r>
    </w:p>
    <w:p>
      <w:pPr>
        <w:spacing w:line="240" w:lineRule="auto"/>
        <w:ind w:firstLine="640" w:firstLineChars="200"/>
        <w:jc w:val="both"/>
        <w:rPr>
          <w:rFonts w:ascii="仿宋_GB2312" w:eastAsia="仿宋_GB2312"/>
          <w:sz w:val="32"/>
          <w:szCs w:val="32"/>
          <w:highlight w:val="none"/>
        </w:rPr>
      </w:pPr>
      <w:r>
        <w:rPr>
          <w:rFonts w:ascii="仿宋_GB2312" w:eastAsia="仿宋_GB2312"/>
          <w:sz w:val="32"/>
          <w:szCs w:val="32"/>
        </w:rPr>
        <w:t>2024年度一般公共预算财政拨款支出1,033.50万元，占本年支出合计的69.20%。与上年相比，增加7.37万元，增长0.72%，主</w:t>
      </w:r>
      <w:bookmarkStart w:id="0" w:name="_GoBack"/>
      <w:bookmarkEnd w:id="0"/>
      <w:r>
        <w:rPr>
          <w:rFonts w:ascii="仿宋_GB2312" w:eastAsia="仿宋_GB2312"/>
          <w:sz w:val="32"/>
          <w:szCs w:val="32"/>
        </w:rPr>
        <w:t>要原因是：由于工资增加、公积金、社保缴费基数变大，相应支出增加。与年初预算相比，年初预算数1,533.25万元，决算数1,033.50万元，预决算差异率-32.59%，主要原</w:t>
      </w:r>
      <w:r>
        <w:rPr>
          <w:rFonts w:ascii="仿宋_GB2312" w:eastAsia="仿宋_GB2312"/>
          <w:sz w:val="32"/>
          <w:szCs w:val="32"/>
          <w:highlight w:val="none"/>
        </w:rPr>
        <w:t>因是：我单位响应号召，厉行节约，精简指出。</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（二）一般公共预算财政拨款支出决算结构情况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教育支出（类）1,033.50万元，占100.00%。</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（三）一般公共预算财政拨款支出决算具体情况</w:t>
      </w:r>
    </w:p>
    <w:p>
      <w:pPr>
        <w:numPr>
          <w:ilvl w:val="0"/>
          <w:numId w:val="1"/>
        </w:numPr>
        <w:rPr>
          <w:rFonts w:ascii="仿宋_GB2312" w:eastAsia="仿宋_GB2312"/>
          <w:sz w:val="32"/>
          <w:szCs w:val="32"/>
        </w:rPr>
      </w:pPr>
      <w:r>
        <w:rPr>
          <w:rFonts w:ascii="仿宋_GB2312" w:eastAsia="仿宋_GB2312"/>
          <w:sz w:val="32"/>
          <w:szCs w:val="32"/>
        </w:rPr>
        <w:t>教育支出（类）职业教育（款）技校教育（项）：支出决算数为1,033.50万元，比上年决算增加7.37万元，增长0.72%，主要原因是：由于工资增加、公积金、社保缴费基数变大，相应支出增加。</w:t>
      </w:r>
    </w:p>
    <w:p>
      <w:pPr>
        <w:spacing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基本支出1,033.50万元，其中：人员经费972.91万元，包括：基本工资、津贴补贴、奖金、机关事业单位基本养老保险缴费、职业年金缴费、职工基本医疗保险缴费、其他社会保障缴费、住房公积金和退休费。</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公用经费60.59万元，包括：办公费、水费、电费、取暖费、差旅费、维修（护）费、工会经费、福利费、公务用车运行维护费和其他交通费用。</w:t>
      </w:r>
    </w:p>
    <w:p>
      <w:pPr>
        <w:spacing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三公”经费支出2.40万元，比上年增加2.40万元，增长100%，主要原因是：单位有一个车辆编制，没有车辆，从国能汽车租赁一辆小型汽车使用，2.4万元为车辆租赁费。其中：因公出国（境）费支出0.00万元,占0.00%，与上年相比无变化，主要原因是：我单位全年未安排因公出国（境）费项目支出；公务用车购置及运行维护费支出2.40万元，占100.00%，比上年增加2.40万元，增长100%，主要原因是：单位有一个车辆编制，没有车辆，从国能汽车租赁一辆小型汽车使用，2.4万元为车辆租赁费；公务接待费支出0.00万元，占0.00%，与上年相比无变化，主要原因是：我单位全年未安排公务接待费项目支出。</w:t>
      </w:r>
    </w:p>
    <w:p>
      <w:pPr>
        <w:spacing w:line="240" w:lineRule="auto"/>
        <w:ind w:firstLine="640" w:firstLineChars="200"/>
        <w:rPr>
          <w:rFonts w:ascii="仿宋_GB2312" w:eastAsia="仿宋_GB2312"/>
          <w:sz w:val="32"/>
          <w:szCs w:val="32"/>
        </w:rPr>
      </w:pPr>
      <w:r>
        <w:rPr>
          <w:rFonts w:ascii="仿宋_GB2312" w:eastAsia="仿宋_GB2312"/>
          <w:sz w:val="32"/>
          <w:szCs w:val="32"/>
        </w:rPr>
        <w:t>具体情况如下：</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因公出国（境）费支出0.00万元，开支内容包括我单位无因公出国（境）费支出，无开支内容。单位全年安排的因公出国（境）团组0个，因公出国（境）0人次。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2.40万元，其中：公务用车购置费0.00万元，公务用车运行维护费2.40万元。公务用车运行维护费开支内容包括单位有一个车辆编制，没有车辆，从国能汽车租赁一辆小型汽车使用，2.4万元为车辆租赁费。公务用车购置数0辆，公务用车保有量1辆。国有资产占用情况中固定资产车辆0辆，与公务用车保有量差异原因是：单位有一个车辆编制，没有车辆，从国能汽车租赁一辆小型汽车使用。</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公务接待费0.00万元，开支内容包括我单位无公务接待费支出，无开支内容。单位全年安排的国内公务接待0批次，0人次。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2.40万元，决算数2.40万元，预决算差异率0.00%，主要原因是：单位有一个车辆编制，没有车辆，从国能汽车租赁一辆小型汽车使用，2.4万元为车辆租赁费。其中：因公出国（境）费全年预算数0.00万元，决算数0.00万元，预决算差异率0.00%，主要原因是：我单位全年未安排因公出国（境）项目支出。公务用车购置费全年预算数0.00万元，决算数0.00万元，预决算差异率0.00%，主要原因是：我单位全年未安排公务用车购置费项目支出。公务用车运行维护费全年预算数2.40万元，决算数2.40万元，预决算差异率0.00%，主要原因是：单位有一个车辆编制，没有车辆，从国能汽车租赁一辆小型汽车使用，2.4万元为车辆租赁费。公务接待费全年预算数0.00万元，决算数0.00万元，预决算差异率0.00%，主要原因是：我单位全年未安排公务接待费项目支出。</w:t>
      </w:r>
    </w:p>
    <w:p>
      <w:pPr>
        <w:spacing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（一）机关运行经费及公用经费支出情况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2024年度公用经费支出60.59万元，比上年增加50.63万元，增长508.33%，主要原因是：因工作需要本年度增加经营支出，本年支出相应增加。</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（二）政府采购情况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2024年度政府采购支出总额3.11万元，其中：政府采购货物支出3.11万元、政府采购工程支出0.00万元、政府采购服务支出0.00万元。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授予中小企业合同金额3.00万元，占政府采购支出总额的96.46%，其中：授予小微企业合同金额3.00万元，占政府采购支出总额的96.46%。</w:t>
      </w:r>
    </w:p>
    <w:p>
      <w:pPr>
        <w:spacing w:line="240" w:lineRule="auto"/>
        <w:ind w:firstLine="643" w:firstLineChars="200"/>
        <w:outlineLvl w:val="2"/>
        <w:rPr>
          <w:rFonts w:ascii="仿宋_GB2312" w:eastAsia="仿宋_GB2312"/>
          <w:sz w:val="32"/>
          <w:szCs w:val="32"/>
        </w:rPr>
      </w:pPr>
      <w:r>
        <w:rPr>
          <w:rFonts w:ascii="仿宋_GB2312" w:eastAsia="仿宋_GB2312"/>
          <w:b/>
          <w:sz w:val="32"/>
          <w:szCs w:val="32"/>
        </w:rPr>
        <w:t>（三）国有资产占用情况说明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截至2024年12月31日，房屋5,377.00平方米，价值63.06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pPr>
        <w:spacing w:line="240" w:lineRule="auto"/>
        <w:ind w:firstLine="640" w:firstLineChars="200"/>
        <w:outlineLvl w:val="1"/>
        <w:rPr>
          <w:rFonts w:ascii="黑体" w:eastAsia="黑体"/>
          <w:sz w:val="32"/>
          <w:szCs w:val="32"/>
        </w:rPr>
      </w:pPr>
      <w:r>
        <w:rPr>
          <w:rFonts w:ascii="黑体" w:eastAsia="黑体"/>
          <w:sz w:val="32"/>
          <w:szCs w:val="32"/>
        </w:rPr>
        <w:t>十一、预算绩效的情况说明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1,963.83万元，实际执行总额1,493.59万元；预算绩效评价项目0个，全年预算数0万元，全年执行数0万元。预算绩效管理取得的成效：一是通过绩效评价分析部门整体支出对单位基本运转及单位职能履职的保障作用，总结经验做法，找出资金使用和管理中的薄弱环节，进一步加强预算管理，提高财政资金使用效益；二是已完成办学体制机制改革，创新技能人才培养模式，全面提升技能人才培养能力，形成专业结构适应产业发展、校企融合贯穿培养过程、课程教学体现工学结合、技能人才培养层次和规模与经济社会发展更加匹配的现代技工教育体系和综合性培训平台。发现的问题及原因：一是对预算绩效的认识还不够深入，相关知识了解还不够、掌握还不够多，把绩效管理简单等同于工作目标、工作考核和业务管理；二是资金管理水平有待进一步提高，财务审核还需进一步加强。下一步改进措施：一是在日常绩效监控工作中存在着一定程度的“重分配、轻管理、重支出、轻绩效”的情况，造成该问题的主要原因是自身绩效理念较薄弱，单位绩效目标编制仍有缺失，需要进一步加强对资金绩效管理的重视程度。二是财务人员面对当前绩效管理工作既没有现成的经验可供借鉴，又缺乏专业性很强的技能储备，只能是边工作、边学习、边积累，短期内部分工作只能停留在表面，难以做到程序规范、管理科学，难以满足当前绩效管理要。具体附部门整体支出绩效自评表，项目支出绩效自评表和部门评价报告。</w:t>
      </w:r>
    </w:p>
    <w:p>
      <w:pPr>
        <w:spacing w:line="240" w:lineRule="auto"/>
        <w:ind w:firstLine="640" w:firstLineChars="200"/>
        <w:outlineLvl w:val="1"/>
        <w:rPr>
          <w:rFonts w:ascii="黑体" w:eastAsia="黑体"/>
          <w:sz w:val="32"/>
          <w:szCs w:val="32"/>
        </w:rPr>
      </w:pPr>
      <w:r>
        <w:rPr>
          <w:rFonts w:ascii="黑体" w:eastAsia="黑体"/>
          <w:sz w:val="32"/>
          <w:szCs w:val="32"/>
        </w:rPr>
        <w:t>十二、其他需说明的事项</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本单位无其他需说明事项。</w:t>
      </w:r>
    </w:p>
    <w:p>
      <w:pPr>
        <w:spacing w:line="240" w:lineRule="auto"/>
        <w:ind w:firstLine="640" w:firstLineChars="200"/>
        <w:rPr>
          <w:rFonts w:ascii="仿宋_GB2312" w:eastAsia="仿宋_GB2312"/>
          <w:sz w:val="32"/>
          <w:szCs w:val="32"/>
        </w:rPr>
      </w:pPr>
    </w:p>
    <w:p>
      <w:pPr>
        <w:spacing w:line="240" w:lineRule="auto"/>
        <w:jc w:val="center"/>
        <w:outlineLvl w:val="0"/>
        <w:rPr>
          <w:rFonts w:ascii="黑体" w:eastAsia="黑体"/>
          <w:sz w:val="32"/>
          <w:szCs w:val="32"/>
        </w:rPr>
      </w:pPr>
      <w:r>
        <w:rPr>
          <w:rFonts w:ascii="黑体" w:eastAsia="黑体"/>
          <w:sz w:val="32"/>
          <w:szCs w:val="32"/>
        </w:rPr>
        <w:t>第三部分专业名词解释</w:t>
      </w:r>
    </w:p>
    <w:p>
      <w:pPr>
        <w:spacing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spacing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spacing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spacing w:line="240" w:lineRule="auto"/>
        <w:ind w:firstLine="643" w:firstLineChars="200"/>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spacing w:line="240" w:lineRule="auto"/>
        <w:ind w:firstLine="440" w:firstLineChars="200"/>
        <w:outlineLvl w:val="1"/>
        <w:rPr>
          <w:rFonts w:ascii="仿宋_GB2312" w:eastAsia="仿宋_GB2312"/>
          <w:sz w:val="32"/>
          <w:szCs w:val="32"/>
          <w:lang w:eastAsia="zh-CN"/>
        </w:rPr>
      </w:pPr>
      <w:r>
        <w:drawing>
          <wp:inline distT="0" distB="0" distL="114300" distR="114300">
            <wp:extent cx="5479415" cy="812990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79415" cy="8129905"/>
                    </a:xfrm>
                    <a:prstGeom prst="rect">
                      <a:avLst/>
                    </a:prstGeom>
                    <a:noFill/>
                    <a:ln>
                      <a:noFill/>
                    </a:ln>
                  </pic:spPr>
                </pic:pic>
              </a:graphicData>
            </a:graphic>
          </wp:inline>
        </w:drawing>
      </w:r>
    </w:p>
    <w:p>
      <w:pPr>
        <w:spacing w:line="240" w:lineRule="auto"/>
        <w:ind w:firstLine="440" w:firstLineChars="200"/>
        <w:outlineLvl w:val="1"/>
        <w:rPr>
          <w:rFonts w:ascii="仿宋_GB2312" w:eastAsia="仿宋_GB2312"/>
          <w:sz w:val="32"/>
          <w:szCs w:val="32"/>
          <w:lang w:eastAsia="zh-CN"/>
        </w:rPr>
      </w:pPr>
      <w:r>
        <w:drawing>
          <wp:inline distT="0" distB="0" distL="114300" distR="114300">
            <wp:extent cx="5481955" cy="1834515"/>
            <wp:effectExtent l="0" t="0" r="444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grayscl/>
                    </a:blip>
                    <a:stretch>
                      <a:fillRect/>
                    </a:stretch>
                  </pic:blipFill>
                  <pic:spPr>
                    <a:xfrm>
                      <a:off x="0" y="0"/>
                      <a:ext cx="5481955" cy="1834515"/>
                    </a:xfrm>
                    <a:prstGeom prst="rect">
                      <a:avLst/>
                    </a:prstGeom>
                    <a:noFill/>
                    <a:ln>
                      <a:noFill/>
                    </a:ln>
                  </pic:spPr>
                </pic:pic>
              </a:graphicData>
            </a:graphic>
          </wp:inline>
        </w:drawing>
      </w:r>
    </w:p>
    <w:p>
      <w:pPr>
        <w:spacing w:line="240" w:lineRule="auto"/>
        <w:ind w:firstLine="640" w:firstLineChars="200"/>
        <w:outlineLvl w:val="1"/>
        <w:rPr>
          <w:rFonts w:ascii="仿宋_GB2312" w:eastAsia="仿宋_GB2312"/>
          <w:sz w:val="32"/>
          <w:szCs w:val="32"/>
          <w:lang w:eastAsia="zh-CN"/>
        </w:rPr>
      </w:pPr>
    </w:p>
    <w:p>
      <w:pPr>
        <w:spacing w:line="240" w:lineRule="auto"/>
        <w:ind w:firstLine="640" w:firstLineChars="200"/>
        <w:outlineLvl w:val="1"/>
        <w:rPr>
          <w:rFonts w:ascii="仿宋_GB2312" w:eastAsia="仿宋_GB2312"/>
          <w:sz w:val="32"/>
          <w:szCs w:val="32"/>
          <w:lang w:eastAsia="zh-CN"/>
        </w:rPr>
      </w:pPr>
    </w:p>
    <w:p>
      <w:pPr>
        <w:rPr>
          <w:rFonts w:ascii="仿宋_GB2312" w:eastAsia="仿宋_GB2312"/>
          <w:sz w:val="32"/>
          <w:szCs w:val="32"/>
        </w:rPr>
      </w:pPr>
      <w:r>
        <w:rPr>
          <w:rFonts w:ascii="仿宋_GB2312" w:eastAsia="仿宋_GB2312"/>
          <w:sz w:val="32"/>
          <w:szCs w:val="32"/>
        </w:rPr>
        <w:br w:type="page"/>
      </w:r>
    </w:p>
    <w:p>
      <w:pPr>
        <w:rPr>
          <w:rFonts w:ascii="仿宋_GB2312" w:eastAsia="仿宋_GB2312"/>
          <w:sz w:val="32"/>
          <w:szCs w:val="32"/>
        </w:rPr>
      </w:pPr>
      <w:r>
        <w:drawing>
          <wp:inline distT="0" distB="0" distL="114300" distR="114300">
            <wp:extent cx="5481320" cy="2326640"/>
            <wp:effectExtent l="0" t="0" r="508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grayscl/>
                    </a:blip>
                    <a:stretch>
                      <a:fillRect/>
                    </a:stretch>
                  </pic:blipFill>
                  <pic:spPr>
                    <a:xfrm>
                      <a:off x="0" y="0"/>
                      <a:ext cx="5481320" cy="2326640"/>
                    </a:xfrm>
                    <a:prstGeom prst="rect">
                      <a:avLst/>
                    </a:prstGeom>
                    <a:noFill/>
                    <a:ln>
                      <a:noFill/>
                    </a:ln>
                  </pic:spPr>
                </pic:pic>
              </a:graphicData>
            </a:graphic>
          </wp:inline>
        </w:drawing>
      </w:r>
    </w:p>
    <w:p>
      <w:pPr>
        <w:rPr>
          <w:rFonts w:ascii="仿宋_GB2312" w:eastAsia="仿宋_GB2312"/>
          <w:sz w:val="32"/>
          <w:szCs w:val="32"/>
          <w:lang w:eastAsia="zh-CN"/>
        </w:rPr>
      </w:pPr>
      <w:r>
        <w:rPr>
          <w:rFonts w:ascii="仿宋_GB2312" w:eastAsia="仿宋_GB2312"/>
          <w:sz w:val="32"/>
          <w:szCs w:val="32"/>
          <w:lang w:eastAsia="zh-CN"/>
        </w:rPr>
        <w:br w:type="page"/>
      </w:r>
    </w:p>
    <w:p>
      <w:pPr>
        <w:rPr>
          <w:rFonts w:ascii="仿宋_GB2312" w:eastAsia="仿宋_GB2312"/>
          <w:sz w:val="32"/>
          <w:szCs w:val="32"/>
          <w:lang w:eastAsia="zh-CN"/>
        </w:rPr>
      </w:pPr>
    </w:p>
    <w:p>
      <w:pPr>
        <w:rPr>
          <w:rFonts w:ascii="仿宋_GB2312" w:eastAsia="仿宋_GB2312"/>
          <w:sz w:val="32"/>
          <w:szCs w:val="32"/>
          <w:lang w:eastAsia="zh-CN"/>
        </w:rPr>
      </w:pPr>
      <w:r>
        <w:drawing>
          <wp:inline distT="0" distB="0" distL="114300" distR="114300">
            <wp:extent cx="5485130" cy="6586220"/>
            <wp:effectExtent l="0" t="0" r="1270"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485130" cy="6586220"/>
                    </a:xfrm>
                    <a:prstGeom prst="rect">
                      <a:avLst/>
                    </a:prstGeom>
                    <a:noFill/>
                    <a:ln>
                      <a:noFill/>
                    </a:ln>
                  </pic:spPr>
                </pic:pic>
              </a:graphicData>
            </a:graphic>
          </wp:inline>
        </w:drawing>
      </w:r>
    </w:p>
    <w:p>
      <w:pPr>
        <w:rPr>
          <w:rFonts w:ascii="仿宋_GB2312" w:eastAsia="仿宋_GB2312"/>
          <w:sz w:val="32"/>
          <w:szCs w:val="32"/>
        </w:rPr>
      </w:pPr>
      <w:r>
        <w:rPr>
          <w:rFonts w:ascii="仿宋_GB2312" w:eastAsia="仿宋_GB2312"/>
          <w:sz w:val="32"/>
          <w:szCs w:val="32"/>
        </w:rPr>
        <w:br w:type="page"/>
      </w:r>
    </w:p>
    <w:p>
      <w:pPr>
        <w:spacing w:line="240" w:lineRule="auto"/>
        <w:ind w:firstLine="440" w:firstLineChars="200"/>
        <w:outlineLvl w:val="1"/>
        <w:rPr>
          <w:rFonts w:ascii="仿宋_GB2312" w:eastAsia="仿宋_GB2312"/>
          <w:sz w:val="32"/>
          <w:szCs w:val="32"/>
          <w:lang w:eastAsia="zh-CN"/>
        </w:rPr>
      </w:pPr>
      <w:r>
        <w:drawing>
          <wp:inline distT="0" distB="0" distL="114300" distR="114300">
            <wp:extent cx="5476875" cy="343852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grayscl/>
                    </a:blip>
                    <a:stretch>
                      <a:fillRect/>
                    </a:stretch>
                  </pic:blipFill>
                  <pic:spPr>
                    <a:xfrm>
                      <a:off x="0" y="0"/>
                      <a:ext cx="5476875" cy="3438525"/>
                    </a:xfrm>
                    <a:prstGeom prst="rect">
                      <a:avLst/>
                    </a:prstGeom>
                    <a:noFill/>
                    <a:ln>
                      <a:noFill/>
                    </a:ln>
                  </pic:spPr>
                </pic:pic>
              </a:graphicData>
            </a:graphic>
          </wp:inline>
        </w:drawing>
      </w:r>
    </w:p>
    <w:p>
      <w:pPr>
        <w:rPr>
          <w:rFonts w:ascii="仿宋_GB2312" w:eastAsia="仿宋_GB2312"/>
          <w:sz w:val="32"/>
          <w:szCs w:val="32"/>
        </w:rPr>
      </w:pPr>
      <w:r>
        <w:rPr>
          <w:rFonts w:ascii="仿宋_GB2312" w:eastAsia="仿宋_GB2312"/>
          <w:sz w:val="32"/>
          <w:szCs w:val="32"/>
        </w:rPr>
        <w:br w:type="page"/>
      </w:r>
    </w:p>
    <w:p>
      <w:pPr>
        <w:spacing w:line="240" w:lineRule="auto"/>
        <w:ind w:firstLine="440" w:firstLineChars="200"/>
        <w:outlineLvl w:val="1"/>
      </w:pPr>
      <w:r>
        <w:drawing>
          <wp:inline distT="0" distB="0" distL="114300" distR="114300">
            <wp:extent cx="5483225" cy="4841240"/>
            <wp:effectExtent l="0" t="0" r="3175" b="165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5483225" cy="4841240"/>
                    </a:xfrm>
                    <a:prstGeom prst="rect">
                      <a:avLst/>
                    </a:prstGeom>
                    <a:noFill/>
                    <a:ln>
                      <a:noFill/>
                    </a:ln>
                  </pic:spPr>
                </pic:pic>
              </a:graphicData>
            </a:graphic>
          </wp:inline>
        </w:drawing>
      </w:r>
    </w:p>
    <w:p>
      <w:pPr>
        <w:bidi w:val="0"/>
        <w:rPr>
          <w:rFonts w:asciiTheme="minorHAnsi" w:hAnsiTheme="minorHAnsi" w:eastAsiaTheme="minorEastAsia"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ind w:firstLine="407" w:firstLineChars="0"/>
        <w:jc w:val="left"/>
        <w:rPr>
          <w:lang w:val="en-US" w:eastAsia="zh-CN"/>
        </w:rPr>
      </w:pPr>
    </w:p>
    <w:p>
      <w:pPr>
        <w:bidi w:val="0"/>
        <w:ind w:firstLine="407" w:firstLineChars="0"/>
        <w:jc w:val="left"/>
        <w:rPr>
          <w:lang w:val="en-US" w:eastAsia="zh-CN"/>
        </w:rPr>
      </w:pPr>
    </w:p>
    <w:p>
      <w:pPr>
        <w:bidi w:val="0"/>
        <w:ind w:firstLine="407" w:firstLineChars="0"/>
        <w:jc w:val="left"/>
        <w:rPr>
          <w:lang w:val="en-US" w:eastAsia="zh-CN"/>
        </w:rPr>
      </w:pPr>
    </w:p>
    <w:p>
      <w:pPr>
        <w:bidi w:val="0"/>
        <w:ind w:firstLine="407" w:firstLineChars="0"/>
        <w:jc w:val="left"/>
      </w:pPr>
      <w:r>
        <w:drawing>
          <wp:inline distT="0" distB="0" distL="114300" distR="114300">
            <wp:extent cx="5480050" cy="1870075"/>
            <wp:effectExtent l="0" t="0" r="6350" b="158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5480050" cy="1870075"/>
                    </a:xfrm>
                    <a:prstGeom prst="rect">
                      <a:avLst/>
                    </a:prstGeom>
                    <a:noFill/>
                    <a:ln>
                      <a:noFill/>
                    </a:ln>
                  </pic:spPr>
                </pic:pic>
              </a:graphicData>
            </a:graphic>
          </wp:inline>
        </w:drawing>
      </w:r>
    </w:p>
    <w:p>
      <w:pPr>
        <w:bidi w:val="0"/>
        <w:rPr>
          <w:rFonts w:asciiTheme="minorHAnsi" w:hAnsiTheme="minorHAnsi" w:eastAsiaTheme="minorEastAsia"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ind w:firstLine="574" w:firstLineChars="0"/>
        <w:jc w:val="left"/>
        <w:rPr>
          <w:lang w:val="en-US" w:eastAsia="zh-CN"/>
        </w:rPr>
      </w:pPr>
    </w:p>
    <w:p>
      <w:pPr>
        <w:bidi w:val="0"/>
        <w:ind w:firstLine="574" w:firstLineChars="0"/>
        <w:jc w:val="left"/>
        <w:rPr>
          <w:lang w:val="en-US" w:eastAsia="zh-CN"/>
        </w:rPr>
      </w:pPr>
    </w:p>
    <w:p>
      <w:pPr>
        <w:bidi w:val="0"/>
        <w:ind w:firstLine="574" w:firstLineChars="0"/>
        <w:jc w:val="left"/>
        <w:rPr>
          <w:lang w:val="en-US" w:eastAsia="zh-CN"/>
        </w:rPr>
      </w:pPr>
    </w:p>
    <w:p>
      <w:pPr>
        <w:bidi w:val="0"/>
        <w:ind w:firstLine="574" w:firstLineChars="0"/>
        <w:jc w:val="left"/>
        <w:rPr>
          <w:lang w:val="en-US" w:eastAsia="zh-CN"/>
        </w:rPr>
      </w:pPr>
    </w:p>
    <w:p>
      <w:pPr>
        <w:bidi w:val="0"/>
        <w:ind w:firstLine="574" w:firstLineChars="0"/>
        <w:jc w:val="left"/>
      </w:pPr>
      <w:r>
        <w:drawing>
          <wp:inline distT="0" distB="0" distL="114300" distR="114300">
            <wp:extent cx="5482590" cy="1898650"/>
            <wp:effectExtent l="0" t="0" r="3810"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5482590" cy="1898650"/>
                    </a:xfrm>
                    <a:prstGeom prst="rect">
                      <a:avLst/>
                    </a:prstGeom>
                    <a:noFill/>
                    <a:ln>
                      <a:noFill/>
                    </a:ln>
                  </pic:spPr>
                </pic:pic>
              </a:graphicData>
            </a:graphic>
          </wp:inline>
        </w:drawing>
      </w:r>
    </w:p>
    <w:p>
      <w:pPr>
        <w:bidi w:val="0"/>
        <w:rPr>
          <w:rFonts w:asciiTheme="minorHAnsi" w:hAnsiTheme="minorHAnsi" w:eastAsiaTheme="minorEastAsia"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636"/>
        </w:tabs>
        <w:bidi w:val="0"/>
        <w:jc w:val="left"/>
        <w:rPr>
          <w:rFonts w:hint="eastAsia"/>
          <w:lang w:val="en-US" w:eastAsia="zh-CN"/>
        </w:rPr>
      </w:pPr>
      <w:r>
        <w:rPr>
          <w:rFonts w:hint="eastAsia"/>
          <w:lang w:val="en-US" w:eastAsia="zh-CN"/>
        </w:rPr>
        <w:tab/>
      </w:r>
    </w:p>
    <w:p>
      <w:pPr>
        <w:tabs>
          <w:tab w:val="left" w:pos="636"/>
        </w:tabs>
        <w:bidi w:val="0"/>
        <w:jc w:val="left"/>
        <w:rPr>
          <w:rFonts w:hint="eastAsia"/>
          <w:lang w:val="en-US" w:eastAsia="zh-CN"/>
        </w:rPr>
      </w:pPr>
    </w:p>
    <w:p>
      <w:pPr>
        <w:tabs>
          <w:tab w:val="left" w:pos="636"/>
        </w:tabs>
        <w:bidi w:val="0"/>
        <w:jc w:val="left"/>
        <w:rPr>
          <w:rFonts w:hint="eastAsia"/>
          <w:lang w:val="en-US" w:eastAsia="zh-CN"/>
        </w:rPr>
      </w:pPr>
      <w:r>
        <w:drawing>
          <wp:inline distT="0" distB="0" distL="114300" distR="114300">
            <wp:extent cx="5476240" cy="1643380"/>
            <wp:effectExtent l="0" t="0" r="10160" b="1397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5476240" cy="1643380"/>
                    </a:xfrm>
                    <a:prstGeom prst="rect">
                      <a:avLst/>
                    </a:prstGeom>
                    <a:noFill/>
                    <a:ln>
                      <a:noFill/>
                    </a:ln>
                  </pic:spPr>
                </pic:pic>
              </a:graphicData>
            </a:graphic>
          </wp:inline>
        </w:drawing>
      </w:r>
    </w:p>
    <w:sectPr>
      <w:pgSz w:w="12240" w:h="15840"/>
      <w:pgMar w:top="1440" w:right="1800" w:bottom="1440" w:left="1800" w:header="720" w:footer="72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191ACA"/>
    <w:multiLevelType w:val="multilevel"/>
    <w:tmpl w:val="3A191ACA"/>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
  <w:rsids>
    <w:rsidRoot w:val="00CC27A1"/>
    <w:rsid w:val="001C36DC"/>
    <w:rsid w:val="003368AB"/>
    <w:rsid w:val="00400ADC"/>
    <w:rsid w:val="00456F91"/>
    <w:rsid w:val="0049165F"/>
    <w:rsid w:val="00533DA6"/>
    <w:rsid w:val="005D2B0A"/>
    <w:rsid w:val="006B7329"/>
    <w:rsid w:val="006E6000"/>
    <w:rsid w:val="00B57FD5"/>
    <w:rsid w:val="00BC0FDF"/>
    <w:rsid w:val="00C1687D"/>
    <w:rsid w:val="00C96336"/>
    <w:rsid w:val="00CC27A1"/>
    <w:rsid w:val="00D574E6"/>
    <w:rsid w:val="479E43CF"/>
    <w:rsid w:val="5DF628F3"/>
    <w:rsid w:val="5E6C2ABD"/>
    <w:rsid w:val="75B8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000FF" w:themeColor="hyperlink"/>
      <w:u w:val="single"/>
    </w:rPr>
  </w:style>
  <w:style w:type="character" w:customStyle="1" w:styleId="17">
    <w:name w:val="页眉 Char"/>
    <w:basedOn w:val="14"/>
    <w:link w:val="9"/>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869</Words>
  <Characters>4956</Characters>
  <Lines>41</Lines>
  <Paragraphs>11</Paragraphs>
  <TotalTime>10</TotalTime>
  <ScaleCrop>false</ScaleCrop>
  <LinksUpToDate>false</LinksUpToDate>
  <CharactersWithSpaces>5814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2025-08-13T02:55:00Z</dcterms:created>
  <dc:creator>lenovo</dc:creator>
  <cp:lastModifiedBy>lenovo</cp:lastModifiedBy>
  <dcterms:modified xsi:type="dcterms:W3CDTF">2025-08-21T10:29:21Z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0921D387F2284374B3B288E427169DA2</vt:lpwstr>
  </property>
  <property fmtid="{D5CDD505-2E9C-101B-9397-08002B2CF9AE}" pid="4" name="KSOTemplateDocerSaveRecord">
    <vt:lpwstr>eyJoZGlkIjoiN2UyYzA3ZTJiNTkwNDJkN2UyYmRiZWNlYzNlZDMxOTQifQ==</vt:lpwstr>
  </property>
</Properties>
</file>