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库尔勒市人力资源和社会保障局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本单位主要负责干部的调配、职务晋升；单位工资审定；负责促进就业工作；市属各类企业的人才交流，人事、劳动争议仲裁。综合负责和管理全市劳动保障监督监察工作；负责毕业生离校后的就业指导和服务工作；承办市委、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库尔勒市人力资源和社会保障局2024年度，实有人数69人，其中：在职人员40人，减少8人；离休人员0人，较上年无变化；退休人员29人，增加8人。</w:t>
      </w:r>
    </w:p>
    <w:p>
      <w:pPr>
        <w:widowControl/>
        <w:rPr>
          <w:rFonts w:ascii="仿宋_GB2312" w:eastAsia="仿宋_GB2312"/>
          <w:b w:val="0"/>
          <w:sz w:val="32"/>
          <w:szCs w:val="32"/>
        </w:rPr>
      </w:pPr>
      <w:r>
        <w:rPr>
          <w:rFonts w:ascii="仿宋_GB2312" w:eastAsia="仿宋_GB2312"/>
          <w:b w:val="0"/>
          <w:sz w:val="32"/>
          <w:szCs w:val="32"/>
        </w:rPr>
        <w:t>库尔勒市人力资源和社会保障局无下属预算单位，</w:t>
      </w:r>
      <w:r>
        <w:rPr>
          <w:rFonts w:hint="eastAsia" w:ascii="仿宋_GB2312" w:eastAsia="仿宋_GB2312"/>
          <w:b w:val="0"/>
          <w:sz w:val="32"/>
          <w:szCs w:val="32"/>
        </w:rPr>
        <w:t>下设12个处室，分别是：办公室（党建办公室）、人事调配和工资管理股、专业技术职称管理股、人事考试工作股、职业技能培训股、养老、失业保险股、工伤保险和信访工作股、社会保险基金和就业资金监督股、人事及劳动争议仲裁股、事业单位管理股、劳动监察大队、公共就业服务中心。</w:t>
      </w: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2024年度收入总计9,610.48万元，其中：本年收入合计9,610.48万元，使用非财政拨款结余（含专用结余）0.00万元，年初结转和结余0.00万元。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2024年度支出总计9,610.48万元，其中：本年支出合计9,610.48万元，结余分配0.00万元，年末结转和结余0.00万元。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收入支出总体与上年相比，增加1,194.75万元，增长14.20%，主要原因是：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本年收入9,610.48万元，其中：财政拨款收入9,610.48万元,占100.00%；上级补助收入0.00万元,占0.00%；事业收入0.00万元，占0.00%；经营收入0.00万元,占0.00%；附属单位上缴收入0.00万元，占0.00%；其他收入0.00万元，占0.00%。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本年支出9,610.48万元，其中：基本支出866.84万元，占9.02%；项目支出8,743.64万元，占90.98%；上缴上级支出0.00万元，占0.00%；经营支出0.00万元，占0.00%；对附属单位补助支出0.00万元，占0.00%。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9,610.48万元，其中：年初财政拨款结转和结余0.00万元，本年财政拨款收入9,610.48万元。财政拨款支出总计9,610.48万元，其中：年末财政拨款结转和结余0.00万元，本年财政拨款支出9,610.48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财政拨款收入支出总体与上年相比，增加1,253.95万元，增长15.01%，主要原因是：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。与年初预算相比，年初预算数8,821.42万元，决算数9,610.48万元，预决算差异率8.94%，主要原因是：</w:t>
      </w:r>
      <w:bookmarkStart w:id="0" w:name="_GoBack"/>
      <w:bookmarkEnd w:id="0"/>
      <w:r>
        <w:rPr>
          <w:rFonts w:hint="eastAsia" w:ascii="仿宋_GB2312" w:eastAsia="仿宋_GB2312"/>
          <w:b w:val="0"/>
          <w:sz w:val="32"/>
          <w:szCs w:val="32"/>
        </w:rPr>
        <w:t>人员调资社保基数调整增加了人员经费的预算收入及本年预算中不包含项目收入的预算，导致预决算数存在差异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2024年度一般公共预算财政拨款支出9,610.48万元，占本年支出合计的100.00%。与上年相比，增加1,253.95万元，增长15.01%，主要原因是：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。与年初预算相比，年初预算数8,821.42万元，决算数9,610.48万元，预决算差异率8.94%，主要原因是：</w:t>
      </w:r>
      <w:r>
        <w:rPr>
          <w:rFonts w:hint="eastAsia" w:ascii="仿宋_GB2312" w:eastAsia="仿宋_GB2312"/>
          <w:b w:val="0"/>
          <w:sz w:val="32"/>
          <w:szCs w:val="32"/>
        </w:rPr>
        <w:t>人员调资社保基数调整增加了人员经费的预算收入及本年预算中不包含项目收入的预算，导致预决算数存在差异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教育支出（类）2.88万元，占0.03%。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社会保障和就业支出（类）9,145.08万元，占95.16%。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卫生健康支出（类）41.33万元，占0.43%。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农林水支出（类）350.14万元，占3.64%。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资源勘探工业信息等支出（类）14.25万元，占0.15%。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住房保障支出（类）56.80万元，占0.59%。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教育支出（类）进修及培训（款）培训支出（项）：支出决算数为2.88万元，比上年决算减少1.28万元，下降30.77%，主要原因是：</w:t>
      </w:r>
      <w:r>
        <w:rPr>
          <w:rFonts w:hint="eastAsia" w:ascii="仿宋_GB2312" w:eastAsia="仿宋_GB2312"/>
          <w:b w:val="0"/>
          <w:sz w:val="32"/>
          <w:szCs w:val="32"/>
          <w:lang w:val="en-US" w:eastAsia="zh-CN"/>
        </w:rPr>
        <w:t>本年职工外出培训次数减少。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社会保障和就业支出（类）人力资源和社会保障管理事务（款）行政运行（项）：支出决算数为618.63万元，比上年决算减少44.59万元，下降6.72%，主要原因是：</w:t>
      </w:r>
      <w:r>
        <w:rPr>
          <w:rFonts w:hint="eastAsia" w:ascii="仿宋_GB2312" w:eastAsia="仿宋_GB2312"/>
          <w:b w:val="0"/>
          <w:sz w:val="32"/>
          <w:szCs w:val="32"/>
          <w:lang w:val="en-US" w:eastAsia="zh-CN"/>
        </w:rPr>
        <w:t>上年补发2020年下半年绩效奖。</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社会保障和就业支出（类）人力资源和社会保障管理事务（款）其他人力资源和社会保障管理事务支出（项）：支出决算数为292.51万元，比上年决算增加56.11万元，增长23.74%，主要原因是：</w:t>
      </w:r>
      <w:r>
        <w:rPr>
          <w:rFonts w:hint="eastAsia" w:ascii="仿宋_GB2312" w:eastAsia="仿宋_GB2312"/>
          <w:b w:val="0"/>
          <w:sz w:val="32"/>
          <w:szCs w:val="32"/>
        </w:rPr>
        <w:t>本年增加高校毕业生“三支一扶”计划中央财政补助资金。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社会保障和就业支出（类）行政事业单位养老支出（款）行政单位离退休（项）：支出决算数为18.87万元，比上年决算减少19.72万元，下降51.10%，主要原因是：</w:t>
      </w:r>
      <w:r>
        <w:rPr>
          <w:rFonts w:hint="eastAsia" w:ascii="仿宋_GB2312" w:eastAsia="仿宋_GB2312"/>
          <w:b w:val="0"/>
          <w:sz w:val="32"/>
          <w:szCs w:val="32"/>
        </w:rPr>
        <w:t>因上年离休干部去世，增加抚恤金，导致本年该支出比上年减少。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社会保障和就业支出（类）行政事业单位养老支出（款）机关事业单位基本养老保险缴费支出（项）：支出决算数为73.71万元，比上年决算增加1.02万元，增长1.40%，主要原因是：</w:t>
      </w:r>
      <w:r>
        <w:rPr>
          <w:rFonts w:hint="eastAsia" w:ascii="仿宋_GB2312" w:eastAsia="仿宋_GB2312"/>
          <w:b w:val="0"/>
          <w:sz w:val="32"/>
          <w:szCs w:val="32"/>
        </w:rPr>
        <w:t>因工资调标，社会保险费基数调整，机关事业单位基本养老保险相应增加。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社会保障和就业支出（类）行政事业单位养老支出（款）机关事业单位职业年金缴费支出（项）：支出决算数为47.45万元，比上年决算增加47.35万元，增长47,350.00%，主要原因是：</w:t>
      </w:r>
      <w:r>
        <w:rPr>
          <w:rFonts w:hint="eastAsia" w:ascii="仿宋_GB2312" w:eastAsia="仿宋_GB2312"/>
          <w:b w:val="0"/>
          <w:sz w:val="32"/>
          <w:szCs w:val="32"/>
          <w:lang w:val="en-US" w:eastAsia="zh-CN"/>
        </w:rPr>
        <w:t>今年退休人员增加8人，职业年金缴费支出增加。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社会保障和就业支出（类）就业补助（款）就业创业服务补贴（项）：支出决算数为67.30万元，比上年决算增加67.30万元，增长100.00%，主要原因是：</w:t>
      </w:r>
      <w:r>
        <w:rPr>
          <w:rFonts w:hint="eastAsia" w:ascii="仿宋_GB2312" w:eastAsia="仿宋_GB2312"/>
          <w:b w:val="0"/>
          <w:sz w:val="32"/>
          <w:szCs w:val="32"/>
          <w:lang w:val="en-US" w:eastAsia="zh-CN"/>
        </w:rPr>
        <w:t>就业补助资金上年列入其他就业补助支出科目，今年列入到就业创业服务补贴科目中反映。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社会保障和就业支出（类）就业补助（款）职业培训补贴（项）：支出决算数为172.84万元，比上年决算增加172.84万元，增长100.00%，主要原因是：</w:t>
      </w:r>
      <w:r>
        <w:rPr>
          <w:rFonts w:hint="eastAsia" w:ascii="仿宋_GB2312" w:eastAsia="仿宋_GB2312"/>
          <w:b w:val="0"/>
          <w:sz w:val="32"/>
          <w:szCs w:val="32"/>
          <w:lang w:val="en-US" w:eastAsia="zh-CN"/>
        </w:rPr>
        <w:t>就业补助资金上年列入其他就业补助支出科目，今年列入到就业创业服务补贴科目中反映。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社会保障和就业支出（类）就业补助（款）社会保险补贴（项）：支出决算数为5,818.58万元，比上年决算增加2,726.64万元，增长88.19%，主要原因是：</w:t>
      </w:r>
      <w:r>
        <w:rPr>
          <w:rFonts w:hint="eastAsia" w:ascii="仿宋_GB2312" w:eastAsia="仿宋_GB2312"/>
          <w:b w:val="0"/>
          <w:sz w:val="32"/>
          <w:szCs w:val="32"/>
          <w:lang w:val="en-US" w:eastAsia="zh-CN"/>
        </w:rPr>
        <w:t>今年中央财政就业补助资金增加。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社会保障和就业支出（类）就业补助（款）公益性岗位补贴（项）：支出决算数为52.27万元，比上年决算减少54.11万元，下降50.86%，主要原因是：</w:t>
      </w:r>
      <w:r>
        <w:rPr>
          <w:rFonts w:hint="eastAsia" w:ascii="仿宋_GB2312" w:eastAsia="仿宋_GB2312"/>
          <w:b w:val="0"/>
          <w:sz w:val="32"/>
          <w:szCs w:val="32"/>
          <w:lang w:val="en-US" w:eastAsia="zh-CN"/>
        </w:rPr>
        <w:t>今年公益性岗位人员减少。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社会保障和就业支出（类）就业补助（款）职业技能鉴定补贴（项）：支出决算数为120.00万元，比上年决算减少121.62万元，下降50.34%，主要原因是：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社会保障和就业支出（类）就业补助（款）就业见习补贴（项）：支出决算数为211.73万元，比上年决算减少116.61万元，下降35.52%，主要原因是：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社会保障和就业支出（类）就业补助（款）促进创业补贴（项）：支出决算数为148.40万元，比上年决算减少127.60万元，下降46.23%，主要原因是：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社会保障和就业支出（类）就业补助（款）其他就业补助支出（项）：支出决算数为1,502.76万元，比上年决算减少1,283.39万元，下降46.06%，主要原因是：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卫生健康支出（类）行政事业单位医疗（款）行政单位医疗（项）：支出决算数为33.43万元，比上年决算增加0.04万元，增长0.12%，主要原因是：</w:t>
      </w:r>
      <w:r>
        <w:rPr>
          <w:rFonts w:hint="eastAsia" w:ascii="仿宋_GB2312" w:eastAsia="仿宋_GB2312"/>
          <w:b w:val="0"/>
          <w:sz w:val="32"/>
          <w:szCs w:val="32"/>
        </w:rPr>
        <w:t>因工资调标，</w:t>
      </w:r>
      <w:r>
        <w:rPr>
          <w:rFonts w:hint="eastAsia" w:ascii="仿宋_GB2312" w:eastAsia="仿宋_GB2312"/>
          <w:b w:val="0"/>
          <w:sz w:val="32"/>
          <w:szCs w:val="32"/>
          <w:lang w:val="en-US" w:eastAsia="zh-CN"/>
        </w:rPr>
        <w:t>医疗</w:t>
      </w:r>
      <w:r>
        <w:rPr>
          <w:rFonts w:hint="eastAsia" w:ascii="仿宋_GB2312" w:eastAsia="仿宋_GB2312"/>
          <w:b w:val="0"/>
          <w:sz w:val="32"/>
          <w:szCs w:val="32"/>
        </w:rPr>
        <w:t>保险费基数</w:t>
      </w:r>
      <w:r>
        <w:rPr>
          <w:rFonts w:hint="eastAsia" w:ascii="仿宋_GB2312" w:eastAsia="仿宋_GB2312"/>
          <w:b w:val="0"/>
          <w:sz w:val="32"/>
          <w:szCs w:val="32"/>
          <w:lang w:val="en-US" w:eastAsia="zh-CN"/>
        </w:rPr>
        <w:t>调增。</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卫生健康支出（类）行政事业单位医疗（款）公务员医疗补助（项）：支出决算数为7.91万元，比上年决算减少0.16万元，下降1.98%，主要原因是：</w:t>
      </w:r>
      <w:r>
        <w:rPr>
          <w:rFonts w:hint="eastAsia" w:ascii="仿宋_GB2312" w:eastAsia="仿宋_GB2312"/>
          <w:b w:val="0"/>
          <w:sz w:val="32"/>
          <w:szCs w:val="32"/>
          <w:lang w:val="en-US" w:eastAsia="zh-CN"/>
        </w:rPr>
        <w:t>今年公务员编制人员退休，人员减少，相应补助减少。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农林水支出（类）巩固脱贫攻坚成果衔接乡村振兴（款）其他巩固脱贫攻坚成果衔接乡村振兴支出（项）：支出决算数为124.82万元，比上年决算减少150.36万元，下降54.64%，主要原因是：</w:t>
      </w:r>
      <w:r>
        <w:rPr>
          <w:rFonts w:hint="eastAsia" w:ascii="仿宋_GB2312" w:eastAsia="仿宋_GB2312"/>
          <w:b w:val="0"/>
          <w:sz w:val="32"/>
          <w:szCs w:val="32"/>
          <w:lang w:val="en-US" w:eastAsia="zh-CN"/>
        </w:rPr>
        <w:t>今年自治区财政衔接推进乡村振兴[劳动技能培训]资金减少。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农林水支出（类）普惠金融发展支出（款）其他普惠金融发展支出（项）：支出决算数为225.31万元，比上年决算增加113.19万元，增长100.95%，主要原因是：</w:t>
      </w:r>
      <w:r>
        <w:rPr>
          <w:rFonts w:hint="eastAsia" w:ascii="仿宋_GB2312" w:eastAsia="仿宋_GB2312"/>
          <w:b w:val="0"/>
          <w:sz w:val="32"/>
          <w:szCs w:val="32"/>
          <w:lang w:val="en-US" w:eastAsia="zh-CN"/>
        </w:rPr>
        <w:t>今年上级财政普惠金融发展专项资金增加。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资源勘探工业信息等支出（类）制造业（款）纺织业（项）：支出决算数为14.25万元，比上年决算减少10.75万元，下降43.00%，主要原因是：</w:t>
      </w:r>
      <w:r>
        <w:rPr>
          <w:rFonts w:hint="eastAsia" w:ascii="仿宋_GB2312" w:eastAsia="仿宋_GB2312"/>
          <w:b w:val="0"/>
          <w:sz w:val="32"/>
          <w:szCs w:val="32"/>
          <w:lang w:val="en-US" w:eastAsia="zh-CN"/>
        </w:rPr>
        <w:t>今年纺织服装专项资金减少。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住房保障支出（类）住房改革支出（款）住房公积金（项）：支出决算数为56.80万元，比上年决算减少0.38万元，下降0.66%，主要原因是：</w:t>
      </w:r>
      <w:r>
        <w:rPr>
          <w:rFonts w:hint="eastAsia" w:ascii="仿宋_GB2312" w:eastAsia="仿宋_GB2312"/>
          <w:b w:val="0"/>
          <w:sz w:val="32"/>
          <w:szCs w:val="32"/>
          <w:lang w:val="en-US" w:eastAsia="zh-CN"/>
        </w:rPr>
        <w:t>今年在职人员减少8人，导致住房公积金支出减少。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866.84万元，其中：人员经费800.64万元，包括：基本工资、津贴补贴、奖金、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公用经费66.21万元，包括：办公费、印刷费、水费、电费、邮电费、物业管理费、差旅费、培训费、委托业务费、工会经费、福利费、公务用车运行维护费和其他交通费用。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2024年度财政拨款“三公”经费支出3.79万元，与上年相比无变化，</w:t>
      </w:r>
      <w:r>
        <w:rPr>
          <w:rFonts w:hint="eastAsia" w:ascii="仿宋_GB2312" w:eastAsia="仿宋_GB2312"/>
          <w:b w:val="0"/>
          <w:sz w:val="32"/>
          <w:szCs w:val="32"/>
        </w:rPr>
        <w:t>主要原因是：严格控制三公经费，厉行节约，与上年一致无变化。其中：因公出国（境）费支出0.00万元，占0.00%，比上年增加0.00万元，增长0.00%,主要原因是：我单位无因公出国（境）费；</w:t>
      </w:r>
      <w:r>
        <w:rPr>
          <w:rFonts w:ascii="仿宋_GB2312" w:eastAsia="仿宋_GB2312"/>
          <w:b w:val="0"/>
          <w:sz w:val="32"/>
          <w:szCs w:val="32"/>
        </w:rPr>
        <w:t>公务用车购置及运行维护费支出3.79万元，占100.00%，与上年相比无变化，</w:t>
      </w:r>
      <w:r>
        <w:rPr>
          <w:rFonts w:hint="eastAsia" w:ascii="仿宋_GB2312" w:eastAsia="仿宋_GB2312"/>
          <w:b w:val="0"/>
          <w:sz w:val="32"/>
          <w:szCs w:val="32"/>
        </w:rPr>
        <w:t>主要原因是：严格控制三公经费，厉行节约，与上年一致无变化；公务接待费支出0.00万元，占0.00%，比上年增加0.00万元，增长0.00%,主要原因是：我单位无公务接待费。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3.79万元，其中：公务用车购置费0.00万元，公务用车运行维护费3.79万元。公务用车运行维护费开支内容包括。公务用车购置数0辆，公务用车保有量3辆。国有资产占用情况中固定资产车辆3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与全年预算相比，财政拨款“三公”经费支出全年预算数3.79万元，决算数3.79万元，预决算差异率0.00%，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单位无因公出国（境）费；公务用车购置费全年预算数0.00万元，决算数0.00万元，预决算差异率0.00%，主要原因是：我单位无公务用车购置费；</w:t>
      </w:r>
      <w:r>
        <w:rPr>
          <w:rFonts w:ascii="仿宋_GB2312" w:eastAsia="仿宋_GB2312"/>
          <w:b w:val="0"/>
          <w:sz w:val="32"/>
          <w:szCs w:val="32"/>
        </w:rPr>
        <w:t>公务用车运行维护费全年预算数3.79万元，决算数3.79万元，预决算差异率0.00%，</w:t>
      </w:r>
      <w:r>
        <w:rPr>
          <w:rFonts w:hint="eastAsia" w:ascii="仿宋_GB2312" w:eastAsia="仿宋_GB2312"/>
          <w:b w:val="0"/>
          <w:sz w:val="32"/>
          <w:szCs w:val="32"/>
        </w:rPr>
        <w:t>主要原因是：严格控制三公经费，厉行节约；公务接待费全年预算数0.00万元，决算数0.00万元，预决算差异率0.00%，主要原因是：我单位无公务接待费。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2024年度库尔勒市人力资源和社会保障局单位机关运行经费支出66.21万元，比上年增加25.68万元，增长63.36%，主要原因是：</w:t>
      </w:r>
      <w:r>
        <w:rPr>
          <w:rFonts w:hint="eastAsia" w:ascii="仿宋_GB2312" w:eastAsia="仿宋_GB2312"/>
          <w:b w:val="0"/>
          <w:sz w:val="32"/>
          <w:szCs w:val="32"/>
          <w:lang w:val="en-US" w:eastAsia="zh-CN"/>
        </w:rPr>
        <w:t>人</w:t>
      </w:r>
      <w:r>
        <w:rPr>
          <w:rFonts w:hint="eastAsia" w:ascii="仿宋_GB2312" w:eastAsia="仿宋_GB2312"/>
          <w:b w:val="0"/>
          <w:sz w:val="32"/>
          <w:szCs w:val="32"/>
        </w:rPr>
        <w:t>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2024年度政府采购支出总额61.63万元，其中：政府采购货物支出59.30万元、政府采购工程支出0.00万元、政府采购服务支出2.33万元。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授予中小企业合同金额61.63万元，占政府采购支出总额的100.00%，其中：授予小微企业合同金额18.49万元，占政府采购支出总额的30.00%。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1,715.00平方米，价值136.81万元。车辆3辆，价值39.25万元，其中：副部（省）级及以上领导用车0辆、主要负责人用车0辆、机要通信用车0辆、应急保障用车0辆、执法执勤用车0辆、特种专业技术用车0辆、离退休干部服务用车0辆、其他用车3辆，其他用车主要是：</w:t>
      </w:r>
      <w:r>
        <w:rPr>
          <w:rFonts w:hint="default" w:ascii="Times New Roman" w:hAnsi="Times New Roman" w:eastAsia="仿宋_GB2312" w:cs="Times New Roman"/>
          <w:color w:val="auto"/>
          <w:sz w:val="32"/>
          <w:szCs w:val="32"/>
          <w:highlight w:val="none"/>
          <w:lang w:val="zh-CN" w:eastAsia="zh-CN"/>
        </w:rPr>
        <w:t>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9610.48</w:t>
      </w:r>
      <w:r>
        <w:rPr>
          <w:rFonts w:ascii="仿宋_GB2312" w:eastAsia="仿宋_GB2312"/>
          <w:b w:val="0"/>
          <w:sz w:val="32"/>
          <w:szCs w:val="32"/>
        </w:rPr>
        <w:t>万元，实际执行总额</w:t>
      </w:r>
      <w:r>
        <w:rPr>
          <w:rFonts w:hint="eastAsia" w:ascii="仿宋_GB2312" w:eastAsia="仿宋_GB2312"/>
          <w:b w:val="0"/>
          <w:sz w:val="32"/>
          <w:szCs w:val="32"/>
          <w:lang w:val="en-US" w:eastAsia="zh-CN"/>
        </w:rPr>
        <w:t>9610.48</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9</w:t>
      </w:r>
      <w:r>
        <w:rPr>
          <w:rFonts w:ascii="仿宋_GB2312" w:eastAsia="仿宋_GB2312"/>
          <w:b w:val="0"/>
          <w:sz w:val="32"/>
          <w:szCs w:val="32"/>
        </w:rPr>
        <w:t>个，全年预算数</w:t>
      </w:r>
      <w:r>
        <w:rPr>
          <w:rFonts w:hint="eastAsia" w:ascii="仿宋_GB2312" w:eastAsia="仿宋_GB2312"/>
          <w:b w:val="0"/>
          <w:sz w:val="32"/>
          <w:szCs w:val="32"/>
          <w:lang w:val="en-US" w:eastAsia="zh-CN"/>
        </w:rPr>
        <w:t>7123.93</w:t>
      </w:r>
      <w:r>
        <w:rPr>
          <w:rFonts w:ascii="仿宋_GB2312" w:eastAsia="仿宋_GB2312"/>
          <w:b w:val="0"/>
          <w:sz w:val="32"/>
          <w:szCs w:val="32"/>
        </w:rPr>
        <w:t>万元，全年执行数</w:t>
      </w:r>
      <w:r>
        <w:rPr>
          <w:rFonts w:hint="eastAsia" w:ascii="仿宋_GB2312" w:eastAsia="仿宋_GB2312"/>
          <w:b w:val="0"/>
          <w:sz w:val="32"/>
          <w:szCs w:val="32"/>
          <w:lang w:val="en-US" w:eastAsia="zh-CN"/>
        </w:rPr>
        <w:t>6359.96</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-542925</wp:posOffset>
            </wp:positionH>
            <wp:positionV relativeFrom="paragraph">
              <wp:posOffset>28575</wp:posOffset>
            </wp:positionV>
            <wp:extent cx="6597015" cy="8006080"/>
            <wp:effectExtent l="0" t="0" r="13335" b="1397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597015" cy="800608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-323850</wp:posOffset>
            </wp:positionH>
            <wp:positionV relativeFrom="paragraph">
              <wp:posOffset>0</wp:posOffset>
            </wp:positionV>
            <wp:extent cx="6391275" cy="8131810"/>
            <wp:effectExtent l="0" t="0" r="9525" b="254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6391275" cy="81318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-381000</wp:posOffset>
            </wp:positionH>
            <wp:positionV relativeFrom="paragraph">
              <wp:posOffset>19050</wp:posOffset>
            </wp:positionV>
            <wp:extent cx="6331585" cy="7960360"/>
            <wp:effectExtent l="0" t="0" r="12065" b="254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6331585" cy="796036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-323850</wp:posOffset>
            </wp:positionH>
            <wp:positionV relativeFrom="paragraph">
              <wp:posOffset>38100</wp:posOffset>
            </wp:positionV>
            <wp:extent cx="6417945" cy="7520940"/>
            <wp:effectExtent l="0" t="0" r="1905" b="3810"/>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6417945" cy="75209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-466725</wp:posOffset>
            </wp:positionH>
            <wp:positionV relativeFrom="paragraph">
              <wp:posOffset>-9525</wp:posOffset>
            </wp:positionV>
            <wp:extent cx="6671310" cy="8778240"/>
            <wp:effectExtent l="0" t="0" r="15240" b="381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6671310" cy="87782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-504825</wp:posOffset>
            </wp:positionH>
            <wp:positionV relativeFrom="paragraph">
              <wp:posOffset>9525</wp:posOffset>
            </wp:positionV>
            <wp:extent cx="6537325" cy="7689850"/>
            <wp:effectExtent l="0" t="0" r="15875" b="6350"/>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6537325" cy="768985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-514350</wp:posOffset>
            </wp:positionH>
            <wp:positionV relativeFrom="paragraph">
              <wp:posOffset>57150</wp:posOffset>
            </wp:positionV>
            <wp:extent cx="6954520" cy="3858260"/>
            <wp:effectExtent l="0" t="0" r="17780" b="8890"/>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6954520" cy="385826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-333375</wp:posOffset>
            </wp:positionH>
            <wp:positionV relativeFrom="paragraph">
              <wp:posOffset>57150</wp:posOffset>
            </wp:positionV>
            <wp:extent cx="6745605" cy="4467860"/>
            <wp:effectExtent l="0" t="0" r="17145" b="8890"/>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6745605" cy="446786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-409575</wp:posOffset>
            </wp:positionH>
            <wp:positionV relativeFrom="paragraph">
              <wp:posOffset>9525</wp:posOffset>
            </wp:positionV>
            <wp:extent cx="6804025" cy="3837940"/>
            <wp:effectExtent l="0" t="0" r="15875" b="10160"/>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6804025" cy="38379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E03B8"/>
    <w:rsid w:val="12504E22"/>
    <w:rsid w:val="342C3295"/>
    <w:rsid w:val="3CE7626A"/>
    <w:rsid w:val="3F0A25B9"/>
    <w:rsid w:val="4B4B3DE9"/>
    <w:rsid w:val="4BA33ED4"/>
    <w:rsid w:val="4BCF3D18"/>
    <w:rsid w:val="54D63FFA"/>
    <w:rsid w:val="5D5E4590"/>
    <w:rsid w:val="5FBF5E08"/>
    <w:rsid w:val="627927CC"/>
    <w:rsid w:val="648E7C1D"/>
    <w:rsid w:val="67CA077B"/>
    <w:rsid w:val="6D6B00DB"/>
    <w:rsid w:val="6E5521FC"/>
    <w:rsid w:val="74BB01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TotalTime>5</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2025-08-15T03:35:00Z</dcterms:created>
  <dc:creator>Administrator</dc:creator>
  <cp:lastModifiedBy>lenovo</cp:lastModifiedBy>
  <dcterms:modified xsi:type="dcterms:W3CDTF">2025-08-21T10:28:42Z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1249F77E290746219F841D7A5D66F590_13</vt:lpwstr>
  </property>
</Properties>
</file>