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库尔勒市人力资源和社会保障局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rPr>
        <w:t>本单位主要负责干部的调配、职务晋升；单位工资审定；负责促进就业工作；市属各类企业的人才交流，人事、劳动争议仲裁。综合负责和管理全市劳动保障监督监察工作；负责毕业生离校后的就业指导和服务工作；承办市委、市人民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库尔勒市人力资源和社会保障局2024年度，实有人数216人，其中：在职人员134人，减少15人；离休人员0人，较上年无变化；退休人员82人，增加18人。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从部门决算单位构成看，库尔勒市人力资源和社会保障局部门决算包括：库尔勒市人力资源和社会保障局本级决算及所属单位决算。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rPr>
        <w:t>库尔勒市人力资源和社会保障局本级下设12个处室，分别是：办公室（党建办公室）、人事调配和工资管理股、专业技术职称管理股、人事考试工作股、职业技能培训股、养老、失业保险股、工伤保险和信访工作股、社会保险基金和就业资金监督股、人事及劳动争议仲裁股、事业单位管理股、劳动监察大队、公共就业服务中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纳入库尔勒市人力资源和社会保障局2024年度部门决算编制范围的下属预算单位包括：</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库尔勒市人力资源和社会保障局，库尔勒市社会保险中心，库尔勒市技工学校</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2024年度收入总计12,639.42万元，其中：本年收入合计12,639.42万元，使用非财政拨款结余（含专用结余）0.00万元，年初结转和结余0.00万元。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2024年度支出总计12,639.42万元，其中：本年支出合计12,169.18万元，结余分配470.24万元，年末结转和结余0.00万元。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收入支出总体与上年相比，增加2,061.63万元，增长19.49%，主要原因是：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12,639.42万元，其中：财政拨款收入11,709.09万元,占92.64%；上级补助收入0.00万元,占0.00%；事业收入0.00万元，占0.00%；经营收入930.33万元,占7.36%；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本年支出12,169.18万元，其中：基本支出2,958.16万元，占24.31%；项目支出8,750.93万元，占71.91%；上缴上级支出0.00万元，占0.00%；经营支出460.09万元，占3.78%；对附属单位补助支出0.00万元，占0.00%。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11,709.09万元，其中：年初财政拨款结转和结余0.00万元，本年财政拨款收入11,709.09万元。财政拨款支出总计11,709.09万元，其中：年末财政拨款结转和结余0.00万元，本年财政拨款支出11,709.09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财政拨款收入支出总体与上年相比，增加1,190.50万元，增长11.32%，主要原因是：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。与年初预算相比，年初预算数23,659.97万元，决算数11,709.09万元，预决算差异率-50.51%，主要原因是：</w:t>
      </w:r>
      <w:r>
        <w:rPr>
          <w:rFonts w:hint="eastAsia" w:ascii="仿宋_GB2312" w:eastAsia="仿宋_GB2312"/>
          <w:b w:val="0"/>
          <w:sz w:val="32"/>
          <w:szCs w:val="32"/>
        </w:rPr>
        <w:t>厉行节约，精简其他各项办公支出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2024年度一般公共预算财政拨款支出11,709.09万元，占本年支出合计的96.22%。与上年相比，增加1,195.50万元，增长11.37%，主要原因是：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。与年初预算相比，年初预算数23,659.97万元，决算数11,709.09万元，预决算差异率-50.51%，主要原因是：</w:t>
      </w:r>
      <w:r>
        <w:rPr>
          <w:rFonts w:hint="eastAsia" w:ascii="仿宋_GB2312" w:eastAsia="仿宋_GB2312"/>
          <w:b w:val="0"/>
          <w:sz w:val="32"/>
          <w:szCs w:val="32"/>
        </w:rPr>
        <w:t>厉行节约，精简其他各项办公支出</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一般公共服务支出（类）7.29万元，占0.06%。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教育支出（类）1,038.30万元，占8.87%。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社会保障和就业支出（类）10,099.58万元，占86.25%。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卫生健康支出（类）84.48万元，占0.72%。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农林水支出（类）350.14万元，占2.99%。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资源勘探工业信息等支出（类）14.25万元，占0.12%。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住房保障支出（类）115.05万元，占0.98%。</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方正仿宋_GBK" w:cs="Times New Roman"/>
          <w:color w:val="auto"/>
          <w:kern w:val="0"/>
          <w:sz w:val="31"/>
          <w:szCs w:val="32"/>
          <w:highlight w:val="none"/>
          <w:lang w:val="en-US" w:eastAsia="zh-CN"/>
        </w:rPr>
      </w:pPr>
      <w:r>
        <w:rPr>
          <w:rFonts w:ascii="仿宋_GB2312" w:eastAsia="仿宋_GB2312"/>
          <w:b w:val="0"/>
          <w:sz w:val="32"/>
          <w:szCs w:val="32"/>
        </w:rPr>
        <w:t>一般公共服务支出（类）组织事务（款）其他组织事务支出（项）：支出决算数为7.29万元，比上年决算减少1.71万元，下降19.00%，主要原因是：</w:t>
      </w:r>
      <w:r>
        <w:rPr>
          <w:rFonts w:hint="eastAsia" w:ascii="仿宋_GB2312" w:eastAsia="仿宋_GB2312"/>
          <w:b w:val="0"/>
          <w:sz w:val="32"/>
          <w:szCs w:val="32"/>
          <w:highlight w:val="none"/>
          <w:lang w:val="en-US" w:eastAsia="zh-CN"/>
        </w:rPr>
        <w:t>本年度</w:t>
      </w:r>
      <w:r>
        <w:rPr>
          <w:rFonts w:hint="default" w:ascii="Times New Roman" w:hAnsi="Times New Roman" w:eastAsia="方正仿宋_GBK" w:cs="Times New Roman"/>
          <w:color w:val="auto"/>
          <w:kern w:val="0"/>
          <w:sz w:val="31"/>
          <w:szCs w:val="32"/>
          <w:highlight w:val="none"/>
          <w:lang w:val="en-US" w:eastAsia="zh-CN"/>
        </w:rPr>
        <w:t>访惠聚工作队为民办实事经费</w:t>
      </w:r>
      <w:r>
        <w:rPr>
          <w:rFonts w:hint="eastAsia" w:ascii="Times New Roman" w:hAnsi="Times New Roman" w:eastAsia="方正仿宋_GBK" w:cs="Times New Roman"/>
          <w:color w:val="auto"/>
          <w:kern w:val="0"/>
          <w:sz w:val="31"/>
          <w:szCs w:val="32"/>
          <w:highlight w:val="none"/>
          <w:lang w:val="en-US" w:eastAsia="zh-CN"/>
        </w:rPr>
        <w:t>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教育支出（类）职业教育（款）技校教育（项）：支出决算数为1,033.50万元，比上年决算增加7.37万元，增长0.72%，主要原因是：</w:t>
      </w:r>
      <w:r>
        <w:rPr>
          <w:rFonts w:ascii="仿宋_GB2312" w:eastAsia="仿宋_GB2312"/>
          <w:sz w:val="32"/>
          <w:szCs w:val="32"/>
        </w:rPr>
        <w:t>由于工资增加、公积金、社保缴费基数变大，相应支出增加。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教育支出（类）进修及培训（款）培训支出（项）：支出决算数为4.80万元，比上年决算减少3.87万元，下降44.64%，主要原因是：</w:t>
      </w:r>
      <w:r>
        <w:rPr>
          <w:rFonts w:hint="eastAsia" w:ascii="仿宋_GB2312" w:eastAsia="仿宋_GB2312"/>
          <w:b w:val="0"/>
          <w:sz w:val="32"/>
          <w:szCs w:val="32"/>
          <w:lang w:val="en-US" w:eastAsia="zh-CN"/>
        </w:rPr>
        <w:t>本年度外出培训次数和人数减少，支出减少。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社会保障和就业支出（类）人力资源和社会保障管理事务（款）行政运行（项）：支出决算数为1,256.77万元，比上年决算减少85.79万元，下降6.39%，主要原因是：</w:t>
      </w:r>
      <w:r>
        <w:rPr>
          <w:rFonts w:hint="eastAsia" w:ascii="仿宋_GB2312" w:eastAsia="仿宋_GB2312"/>
          <w:b w:val="0"/>
          <w:sz w:val="32"/>
          <w:szCs w:val="32"/>
          <w:lang w:val="en-US" w:eastAsia="zh-CN"/>
        </w:rPr>
        <w:t>1、上年补发2020年下半年绩效奖；2、</w:t>
      </w:r>
      <w:r>
        <w:rPr>
          <w:rFonts w:hint="eastAsia" w:ascii="仿宋_GB2312" w:hAnsi="宋体" w:eastAsia="仿宋_GB2312" w:cs="仿宋_GB2312"/>
          <w:kern w:val="0"/>
          <w:sz w:val="32"/>
          <w:szCs w:val="32"/>
          <w:lang w:val="en-US" w:eastAsia="zh-CN"/>
        </w:rPr>
        <w:t>本年度社保中心在职在编人员退休7人，调出1人，其他临聘人员辞职2人，人员工资减少，支出减少。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社会保障和就业支出（类）人力资源和社会保障管理事务（款）社会保险经办机构（项）：支出决算数为14.98万元，比上年决算减少5.50万元，下降26.86%，主要原因是：</w:t>
      </w:r>
      <w:r>
        <w:rPr>
          <w:rFonts w:hint="eastAsia" w:ascii="仿宋_GB2312" w:eastAsia="仿宋_GB2312"/>
          <w:b w:val="0"/>
          <w:sz w:val="32"/>
          <w:szCs w:val="32"/>
          <w:lang w:val="en-US" w:eastAsia="zh-CN"/>
        </w:rPr>
        <w:t>本年度上级拨付的社保经办机构业务经费功能科目由2080109</w:t>
      </w:r>
      <w:r>
        <w:rPr>
          <w:rFonts w:ascii="仿宋_GB2312" w:eastAsia="仿宋_GB2312"/>
          <w:b w:val="0"/>
          <w:sz w:val="32"/>
          <w:szCs w:val="32"/>
        </w:rPr>
        <w:t>社会保险经办机构</w:t>
      </w:r>
      <w:r>
        <w:rPr>
          <w:rFonts w:hint="eastAsia" w:ascii="仿宋_GB2312" w:eastAsia="仿宋_GB2312"/>
          <w:b w:val="0"/>
          <w:sz w:val="32"/>
          <w:szCs w:val="32"/>
          <w:lang w:val="en-US" w:eastAsia="zh-CN"/>
        </w:rPr>
        <w:t>调至2080199</w:t>
      </w:r>
      <w:r>
        <w:rPr>
          <w:rFonts w:ascii="仿宋_GB2312" w:eastAsia="仿宋_GB2312"/>
          <w:b w:val="0"/>
          <w:sz w:val="32"/>
          <w:szCs w:val="32"/>
        </w:rPr>
        <w:t>其他人力资源和社会保障管理事务支出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该支出减少。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社会保障和就业支出（类）人力资源和社会保障管理事务（款）其他人力资源和社会保障管理事务支出（项）：支出决算数为331.18万元，比上年决算增加94.78万元，增长40.09%，主要原因是：</w:t>
      </w:r>
      <w:r>
        <w:rPr>
          <w:rFonts w:hint="eastAsia" w:ascii="仿宋_GB2312" w:eastAsia="仿宋_GB2312"/>
          <w:b w:val="0"/>
          <w:sz w:val="32"/>
          <w:szCs w:val="32"/>
        </w:rPr>
        <w:t>本年</w:t>
      </w:r>
      <w:r>
        <w:rPr>
          <w:rFonts w:hint="eastAsia" w:ascii="仿宋_GB2312" w:eastAsia="仿宋_GB2312"/>
          <w:b w:val="0"/>
          <w:sz w:val="32"/>
          <w:szCs w:val="32"/>
          <w:lang w:val="en-US" w:eastAsia="zh-CN"/>
        </w:rPr>
        <w:t>人社局</w:t>
      </w:r>
      <w:r>
        <w:rPr>
          <w:rFonts w:hint="eastAsia" w:ascii="仿宋_GB2312" w:eastAsia="仿宋_GB2312"/>
          <w:b w:val="0"/>
          <w:sz w:val="32"/>
          <w:szCs w:val="32"/>
        </w:rPr>
        <w:t>增加高校毕业生“三支一扶”计划中央财政补助资金</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社会保障和就业支出（类）行政事业单位养老支出（款）行政单位离退休（项）：支出决算数为45.81万元，比上年决算减少11.53万元，下降20.11%，主要原因是：</w:t>
      </w:r>
      <w:r>
        <w:rPr>
          <w:rFonts w:hint="eastAsia" w:ascii="仿宋_GB2312" w:eastAsia="仿宋_GB2312"/>
          <w:b w:val="0"/>
          <w:sz w:val="32"/>
          <w:szCs w:val="32"/>
        </w:rPr>
        <w:t>因上年离休干部去世，增加抚恤金，导致本年该支出比上年减少。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社会保障和就业支出（类）行政事业单位养老支出（款）机关事业单位基本养老保险缴费支出（项）：支出决算数为147.39万元，比上年决算增加0.01万元，增长0.01%，主要原因是：</w:t>
      </w:r>
      <w:r>
        <w:rPr>
          <w:rFonts w:hint="eastAsia" w:ascii="仿宋_GB2312" w:eastAsia="仿宋_GB2312"/>
          <w:b w:val="0"/>
          <w:sz w:val="32"/>
          <w:szCs w:val="32"/>
          <w:lang w:val="en-US" w:eastAsia="zh-CN"/>
        </w:rPr>
        <w:t>1、</w:t>
      </w:r>
      <w:r>
        <w:rPr>
          <w:rFonts w:hint="eastAsia" w:ascii="仿宋_GB2312" w:eastAsia="仿宋_GB2312"/>
          <w:b w:val="0"/>
          <w:sz w:val="32"/>
          <w:szCs w:val="32"/>
        </w:rPr>
        <w:t>因工资调标，社会保险费基数调整，机关事业单位基本养老保险相应增加。</w:t>
      </w:r>
      <w:r>
        <w:rPr>
          <w:rFonts w:hint="eastAsia" w:ascii="仿宋_GB2312" w:eastAsia="仿宋_GB2312"/>
          <w:b w:val="0"/>
          <w:sz w:val="32"/>
          <w:szCs w:val="32"/>
          <w:lang w:val="en-US" w:eastAsia="zh-CN"/>
        </w:rPr>
        <w:t>2、社保中心人员减少，相应该项支出减少，相互冲减增长幅度0.01%；</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社会保障和就业支出（类）行政事业单位养老支出（款）机关事业单位职业年金缴费支出（项）：支出决算数为98.67万元，比上年决算增加85.26万元，增长635.79%，主要原因是：</w:t>
      </w:r>
      <w:r>
        <w:rPr>
          <w:rFonts w:hint="default" w:ascii="仿宋_GB2312" w:eastAsia="仿宋_GB2312"/>
          <w:b w:val="0"/>
          <w:sz w:val="32"/>
          <w:szCs w:val="32"/>
          <w:lang w:val="en-US" w:eastAsia="zh-CN"/>
        </w:rPr>
        <w:t>本年度退休人员</w:t>
      </w:r>
      <w:r>
        <w:rPr>
          <w:rFonts w:hint="eastAsia" w:ascii="仿宋_GB2312" w:eastAsia="仿宋_GB2312"/>
          <w:b w:val="0"/>
          <w:sz w:val="32"/>
          <w:szCs w:val="32"/>
          <w:lang w:val="en-US" w:eastAsia="zh-CN"/>
        </w:rPr>
        <w:t>增加</w:t>
      </w:r>
      <w:r>
        <w:rPr>
          <w:rFonts w:hint="default" w:ascii="仿宋_GB2312" w:eastAsia="仿宋_GB2312"/>
          <w:b w:val="0"/>
          <w:sz w:val="32"/>
          <w:szCs w:val="32"/>
          <w:lang w:val="en-US" w:eastAsia="zh-CN"/>
        </w:rPr>
        <w:t>，职业年金账户记实，支出增加</w:t>
      </w:r>
      <w:r>
        <w:rPr>
          <w:rFonts w:hint="default" w:ascii="仿宋_GB2312" w:eastAsia="仿宋_GB2312"/>
          <w:b w:val="0"/>
          <w:sz w:val="32"/>
          <w:szCs w:val="32"/>
          <w:lang w:val="zh-CN"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社会保障和就业支出（类）企业改革补助（款）企业关闭破产补助（项）：支出决算数为51.66万元，比上年决算减少22.60万元，下降30.43%，主要原因是：</w:t>
      </w:r>
      <w:r>
        <w:rPr>
          <w:rFonts w:hint="eastAsia" w:ascii="仿宋_GB2312" w:eastAsia="仿宋_GB2312"/>
          <w:b w:val="0"/>
          <w:sz w:val="32"/>
          <w:szCs w:val="32"/>
          <w:lang w:val="en-US" w:eastAsia="zh-CN"/>
        </w:rPr>
        <w:t>本年度市级破产企业退休人员生活补助功能科目由2080601企业关闭破产补助调至2080199</w:t>
      </w:r>
      <w:r>
        <w:rPr>
          <w:rFonts w:ascii="仿宋_GB2312" w:eastAsia="仿宋_GB2312"/>
          <w:b w:val="0"/>
          <w:sz w:val="32"/>
          <w:szCs w:val="32"/>
        </w:rPr>
        <w:t>其他人力资源和社会保障管理事务支出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支出减少</w:t>
      </w:r>
      <w:r>
        <w:rPr>
          <w:rFonts w:hint="default" w:ascii="仿宋_GB2312" w:eastAsia="仿宋_GB2312"/>
          <w:b w:val="0"/>
          <w:sz w:val="32"/>
          <w:szCs w:val="32"/>
          <w:lang w:val="zh-CN"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社会保障和就业支出（类）企业改革补助（款）其他企业改革发展补助（项）：支出决算数为59.22万元，比上年决算减少20.05万元，下降25.29%，主要原因是：</w:t>
      </w:r>
      <w:r>
        <w:rPr>
          <w:rFonts w:hint="default" w:ascii="仿宋_GB2312" w:eastAsia="仿宋_GB2312"/>
          <w:b w:val="0"/>
          <w:sz w:val="32"/>
          <w:szCs w:val="32"/>
          <w:lang w:val="en-US" w:eastAsia="zh-CN"/>
        </w:rPr>
        <w:t>领取破产企业生活补贴退休人员有死亡，支出减少</w:t>
      </w:r>
      <w:r>
        <w:rPr>
          <w:rFonts w:hint="default" w:ascii="仿宋_GB2312" w:eastAsia="仿宋_GB2312"/>
          <w:b w:val="0"/>
          <w:sz w:val="32"/>
          <w:szCs w:val="32"/>
          <w:lang w:val="zh-CN" w:eastAsia="zh-CN"/>
        </w:rPr>
        <w:t>。</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社会保障和就业支出（类）就业补助（款）就业创业服务补贴（项）：支出决算数为67.30万元，比上年决算增加67.30万元，增长100.00%，主要原因是：</w:t>
      </w:r>
      <w:r>
        <w:rPr>
          <w:rFonts w:hint="eastAsia" w:ascii="仿宋_GB2312" w:eastAsia="仿宋_GB2312"/>
          <w:b w:val="0"/>
          <w:sz w:val="32"/>
          <w:szCs w:val="32"/>
          <w:lang w:val="en-US" w:eastAsia="zh-CN"/>
        </w:rPr>
        <w:t>就业补助资金上年列入其他就业补助支出科目，今年列入到就业创业服务补贴科目中反映。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社会保障和就业支出（类）就业补助（款）职业培训补贴（项）：支出决算数为172.84万元，比上年决算增加172.84万元，增长100.00%，主要原因是：</w:t>
      </w:r>
      <w:r>
        <w:rPr>
          <w:rFonts w:hint="eastAsia" w:ascii="仿宋_GB2312" w:eastAsia="仿宋_GB2312"/>
          <w:b w:val="0"/>
          <w:sz w:val="32"/>
          <w:szCs w:val="32"/>
          <w:lang w:val="en-US" w:eastAsia="zh-CN"/>
        </w:rPr>
        <w:t>就业补助资金上年列入其他就业补助支出科目，今年列入到就业创业服务补贴科目中反映。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社会保障和就业支出（类）就业补助（款）社会保险补贴（项）：支出决算数为5,818.58万元，比上年决算增加2,726.64万元，增长88.19%，主要原因是：</w:t>
      </w:r>
      <w:r>
        <w:rPr>
          <w:rFonts w:hint="eastAsia" w:ascii="仿宋_GB2312" w:eastAsia="仿宋_GB2312"/>
          <w:b w:val="0"/>
          <w:sz w:val="32"/>
          <w:szCs w:val="32"/>
          <w:lang w:val="en-US" w:eastAsia="zh-CN"/>
        </w:rPr>
        <w:t>今年中央财政就业补助资金增加。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社会保障和就业支出（类）就业补助（款）公益性岗位补贴（项）：支出决算数为52.27万元，比上年决算减少105.35万元，下降66.84%，主要原因是：</w:t>
      </w:r>
      <w:r>
        <w:rPr>
          <w:rFonts w:hint="eastAsia" w:ascii="仿宋_GB2312" w:eastAsia="仿宋_GB2312"/>
          <w:b w:val="0"/>
          <w:sz w:val="32"/>
          <w:szCs w:val="32"/>
          <w:lang w:val="en-US" w:eastAsia="zh-CN"/>
        </w:rPr>
        <w:t>本年度公益性岗位人员经费支出功能科目由2080705</w:t>
      </w:r>
      <w:r>
        <w:rPr>
          <w:rFonts w:ascii="仿宋_GB2312" w:eastAsia="仿宋_GB2312"/>
          <w:b w:val="0"/>
          <w:sz w:val="32"/>
          <w:szCs w:val="32"/>
        </w:rPr>
        <w:t>公益性岗位补贴</w:t>
      </w:r>
      <w:r>
        <w:rPr>
          <w:rFonts w:hint="eastAsia" w:ascii="仿宋_GB2312" w:eastAsia="仿宋_GB2312"/>
          <w:b w:val="0"/>
          <w:sz w:val="32"/>
          <w:szCs w:val="32"/>
          <w:lang w:val="en-US" w:eastAsia="zh-CN"/>
        </w:rPr>
        <w:t>调至2080101行政运行，支出减少。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社会保障和就业支出（类）就业补助（款）职业技能鉴定补贴（项）：支出决算数为120.00万元，比上年决算减少121.62万元，下降50.34%，主要原因是：</w:t>
      </w:r>
      <w:r>
        <w:rPr>
          <w:rFonts w:hint="eastAsia" w:ascii="仿宋_GB2312" w:eastAsia="仿宋_GB2312"/>
          <w:b w:val="0"/>
          <w:sz w:val="32"/>
          <w:szCs w:val="32"/>
          <w:lang w:val="en-US" w:eastAsia="zh-CN"/>
        </w:rPr>
        <w:t>今年部分中央财政就业补助资金在其他科目中反映。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社会保障和就业支出（类）就业补助（款）就业见习补贴（项）：支出决算数为211.73万元，比上年决算减少116.61万元，下降35.52%，主要原因是：</w:t>
      </w:r>
      <w:r>
        <w:rPr>
          <w:rFonts w:hint="eastAsia" w:ascii="仿宋_GB2312" w:eastAsia="仿宋_GB2312"/>
          <w:b w:val="0"/>
          <w:sz w:val="32"/>
          <w:szCs w:val="32"/>
          <w:lang w:val="en-US" w:eastAsia="zh-CN"/>
        </w:rPr>
        <w:t>今年部分中央财政就业补助资金在其他科目中反映。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社会保障和就业支出（类）就业补助（款）促进创业补贴（项）：支出决算数为148.40万元，比上年决算减少127.60万元，下降46.23%，主要原因是：</w:t>
      </w:r>
      <w:r>
        <w:rPr>
          <w:rFonts w:hint="eastAsia" w:ascii="仿宋_GB2312" w:eastAsia="仿宋_GB2312"/>
          <w:b w:val="0"/>
          <w:sz w:val="32"/>
          <w:szCs w:val="32"/>
          <w:lang w:val="en-US" w:eastAsia="zh-CN"/>
        </w:rPr>
        <w:t>今年部分中央财政就业补助资金在其他科目中反映。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社会保障和就业支出（类）就业补助（款）其他就业补助支出（项）：支出决算数为1,502.76万元，比上年决算减少1,283.39万元，下降46.06%，主要原因是：</w:t>
      </w:r>
      <w:r>
        <w:rPr>
          <w:rFonts w:hint="eastAsia" w:ascii="仿宋_GB2312" w:eastAsia="仿宋_GB2312"/>
          <w:b w:val="0"/>
          <w:sz w:val="32"/>
          <w:szCs w:val="32"/>
          <w:lang w:val="en-US" w:eastAsia="zh-CN"/>
        </w:rPr>
        <w:t>今年部分中央财政就业补助资金在其他科目中反映。</w:t>
      </w:r>
    </w:p>
    <w:p>
      <w:pPr>
        <w:widowControl/>
        <w:numPr>
          <w:ilvl w:val="0"/>
          <w:numId w:val="0"/>
        </w:numPr>
        <w:spacing w:before="0" w:beforeLines="0" w:beforeAutospacing="0" w:after="0" w:afterLines="0" w:afterAutospacing="0" w:line="240" w:lineRule="auto"/>
        <w:ind w:firstLine="640" w:firstLineChars="200"/>
        <w:rPr>
          <w:rFonts w:hint="eastAsia" w:ascii="仿宋_GB2312" w:hAnsi="宋体" w:eastAsia="仿宋_GB2312" w:cs="仿宋_GB2312"/>
          <w:kern w:val="0"/>
          <w:sz w:val="32"/>
          <w:szCs w:val="32"/>
          <w:lang w:val="en-US" w:eastAsia="zh-CN"/>
        </w:rPr>
      </w:pPr>
      <w:r>
        <w:rPr>
          <w:rFonts w:ascii="仿宋_GB2312" w:eastAsia="仿宋_GB2312"/>
          <w:b w:val="0"/>
          <w:sz w:val="32"/>
          <w:szCs w:val="32"/>
        </w:rPr>
        <w:t>卫生健康支出（类）行政事业单位医疗（款）行政单位医疗（项）：支出决算数为66.90万元，比上年决算减少1.40万元，下降2.05%，主要原因是：</w:t>
      </w:r>
      <w:r>
        <w:rPr>
          <w:rFonts w:hint="eastAsia" w:ascii="仿宋_GB2312" w:hAnsi="宋体" w:eastAsia="仿宋_GB2312" w:cs="仿宋_GB2312"/>
          <w:kern w:val="0"/>
          <w:sz w:val="32"/>
          <w:szCs w:val="32"/>
          <w:lang w:val="en-US" w:eastAsia="zh-CN"/>
        </w:rPr>
        <w:t>本年度在职在编人员减少，相应支出减少。</w:t>
      </w:r>
    </w:p>
    <w:p>
      <w:pPr>
        <w:widowControl/>
        <w:numPr>
          <w:ilvl w:val="0"/>
          <w:numId w:val="0"/>
        </w:numPr>
        <w:spacing w:before="0" w:beforeLines="0" w:beforeAutospacing="0" w:after="0" w:afterLines="0" w:afterAutospacing="0" w:line="240" w:lineRule="auto"/>
        <w:ind w:firstLine="640" w:firstLineChars="200"/>
        <w:rPr>
          <w:rFonts w:hint="eastAsia" w:ascii="仿宋_GB2312" w:hAnsi="宋体" w:eastAsia="仿宋_GB2312" w:cs="仿宋_GB2312"/>
          <w:kern w:val="0"/>
          <w:sz w:val="32"/>
          <w:szCs w:val="32"/>
          <w:lang w:val="en-US" w:eastAsia="zh-CN"/>
        </w:rPr>
      </w:pPr>
      <w:r>
        <w:rPr>
          <w:rFonts w:ascii="仿宋_GB2312" w:eastAsia="仿宋_GB2312"/>
          <w:b w:val="0"/>
          <w:sz w:val="32"/>
          <w:szCs w:val="32"/>
        </w:rPr>
        <w:t>卫生健康支出（类）行政事业单位医疗（款）公务员医疗补助（项）：支出决算数为17.59万元，比上年决算减少0.97万元，下降5.23%，主要原因是：</w:t>
      </w:r>
      <w:r>
        <w:rPr>
          <w:rFonts w:hint="eastAsia" w:ascii="仿宋_GB2312" w:hAnsi="宋体" w:eastAsia="仿宋_GB2312" w:cs="仿宋_GB2312"/>
          <w:kern w:val="0"/>
          <w:sz w:val="32"/>
          <w:szCs w:val="32"/>
          <w:lang w:val="en-US" w:eastAsia="zh-CN"/>
        </w:rPr>
        <w:t>本年度行政编制人员减少，相应支出减少。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val="en-US" w:eastAsia="zh-CN"/>
        </w:rPr>
      </w:pPr>
      <w:r>
        <w:rPr>
          <w:rFonts w:ascii="仿宋_GB2312" w:eastAsia="仿宋_GB2312"/>
          <w:b w:val="0"/>
          <w:sz w:val="32"/>
          <w:szCs w:val="32"/>
        </w:rPr>
        <w:t>农林水支出（类）巩固脱贫攻坚成果衔接乡村振兴（款）其他巩固脱贫攻坚成果衔接乡村振兴支出（项）：支出决算数为124.82万元，比上年决算减少150.36万元，下降54.64%，主要原因是：</w:t>
      </w:r>
      <w:r>
        <w:rPr>
          <w:rFonts w:hint="eastAsia" w:ascii="仿宋_GB2312" w:eastAsia="仿宋_GB2312"/>
          <w:b w:val="0"/>
          <w:sz w:val="32"/>
          <w:szCs w:val="32"/>
          <w:lang w:val="en-US" w:eastAsia="zh-CN"/>
        </w:rPr>
        <w:t>今年自治区财政衔接推进乡村振兴[劳动技能培训]资金减少。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农林水支出（类）普惠金融发展支出（款）其他普惠金融发展支出（项）：支出决算数为225.31万元，比上年决算增加113.19万元，增长100.95%，主要原因是：</w:t>
      </w:r>
      <w:r>
        <w:rPr>
          <w:rFonts w:hint="eastAsia" w:ascii="仿宋_GB2312" w:eastAsia="仿宋_GB2312"/>
          <w:b w:val="0"/>
          <w:sz w:val="32"/>
          <w:szCs w:val="32"/>
          <w:lang w:val="en-US" w:eastAsia="zh-CN"/>
        </w:rPr>
        <w:t>今年上级财政普惠金融发展专项资金增加。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资源勘探工业信息等支出（类）制造业（款）纺织业（项）：支出决算数为14.25万元，比上年决算减少10.75万元，下降43.00%，主要原因是：</w:t>
      </w:r>
      <w:r>
        <w:rPr>
          <w:rFonts w:hint="eastAsia" w:ascii="仿宋_GB2312" w:eastAsia="仿宋_GB2312"/>
          <w:b w:val="0"/>
          <w:sz w:val="32"/>
          <w:szCs w:val="32"/>
          <w:lang w:val="en-US" w:eastAsia="zh-CN"/>
        </w:rPr>
        <w:t>今年纺织服装专项资金减少。</w:t>
      </w:r>
    </w:p>
    <w:p>
      <w:pPr>
        <w:widowControl/>
        <w:numPr>
          <w:ilvl w:val="0"/>
          <w:numId w:val="0"/>
        </w:numPr>
        <w:spacing w:before="0" w:beforeLines="0" w:beforeAutospacing="0" w:after="0" w:afterLines="0" w:afterAutospacing="0" w:line="240" w:lineRule="auto"/>
        <w:ind w:firstLine="640" w:firstLineChars="200"/>
        <w:rPr>
          <w:rFonts w:hint="eastAsia" w:ascii="仿宋_GB2312" w:hAnsi="宋体" w:eastAsia="仿宋_GB2312" w:cs="仿宋_GB2312"/>
          <w:kern w:val="0"/>
          <w:sz w:val="32"/>
          <w:szCs w:val="32"/>
          <w:lang w:val="en-US" w:eastAsia="zh-CN"/>
        </w:rPr>
      </w:pPr>
      <w:r>
        <w:rPr>
          <w:rFonts w:ascii="仿宋_GB2312" w:eastAsia="仿宋_GB2312"/>
          <w:b w:val="0"/>
          <w:sz w:val="32"/>
          <w:szCs w:val="32"/>
        </w:rPr>
        <w:t>住房保障支出（类）住房改革支出（款）住房公积金（项）：支出决算数为115.05万元，比上年决算减少2.81万元，下降2.38%，主要原因是：</w:t>
      </w:r>
      <w:r>
        <w:rPr>
          <w:rFonts w:hint="eastAsia" w:ascii="仿宋_GB2312" w:hAnsi="宋体" w:eastAsia="仿宋_GB2312" w:cs="仿宋_GB2312"/>
          <w:kern w:val="0"/>
          <w:sz w:val="32"/>
          <w:szCs w:val="32"/>
          <w:lang w:val="en-US" w:eastAsia="zh-CN"/>
        </w:rPr>
        <w:t>本年度在职在编人员减少，相应支出减少。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2,958.16万元，其中：人员经费2,761.08万元，包括：基本工资、津贴补贴、奖金、机关事业单位基本养老保险缴费、职业年金缴费、职工基本医疗保险缴费、公务员医疗补助缴费、其他社会保障缴费、住房公积金、其他工资福利支出、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197.08万元，包括：办公费、印刷费、水费、电费、邮电费、取暖费、物业管理费、差旅费、维修（护）费、培训费、劳务费、委托业务费、工会经费、福利费、公务用车运行维护费、其他交通费用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2024年度财政拨款“三公”经费支出13.03万元，比上年增加7.65万元，增长142.19%，主要原因是：</w:t>
      </w:r>
      <w:r>
        <w:rPr>
          <w:rFonts w:hint="eastAsia" w:ascii="仿宋_GB2312" w:eastAsia="仿宋_GB2312"/>
          <w:b w:val="0"/>
          <w:sz w:val="32"/>
          <w:szCs w:val="32"/>
          <w:lang w:val="en-US" w:eastAsia="zh-CN"/>
        </w:rPr>
        <w:t>社保中心</w:t>
      </w:r>
      <w:r>
        <w:rPr>
          <w:rFonts w:hint="eastAsia" w:ascii="仿宋_GB2312" w:eastAsia="仿宋_GB2312"/>
          <w:b w:val="0"/>
          <w:sz w:val="32"/>
          <w:szCs w:val="32"/>
        </w:rPr>
        <w:t>上年年底车辆维修费用办完采购手续后财政扎账未能及时支付，在本年度支付</w:t>
      </w:r>
      <w:r>
        <w:rPr>
          <w:rFonts w:hint="eastAsia" w:ascii="仿宋_GB2312" w:eastAsia="仿宋_GB2312"/>
          <w:b w:val="0"/>
          <w:sz w:val="32"/>
          <w:szCs w:val="32"/>
          <w:lang w:eastAsia="zh-CN"/>
        </w:rPr>
        <w:t>；</w:t>
      </w:r>
      <w:r>
        <w:rPr>
          <w:rFonts w:hint="eastAsia" w:ascii="仿宋_GB2312" w:eastAsia="仿宋_GB2312"/>
          <w:b w:val="0"/>
          <w:sz w:val="32"/>
          <w:szCs w:val="32"/>
        </w:rPr>
        <w:t>2、上年度待报废公务用车一辆，经机关事务管理局协调拨给我单位租赁电车一辆，和租车公司签订租赁协议后采购手续未办完，车辆租赁费未支付，在本年度支付。</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val="en-US" w:eastAsia="zh-CN"/>
        </w:rPr>
        <w:t>我部门无</w:t>
      </w:r>
      <w:r>
        <w:rPr>
          <w:rFonts w:ascii="仿宋_GB2312" w:eastAsia="仿宋_GB2312"/>
          <w:b w:val="0"/>
          <w:sz w:val="32"/>
          <w:szCs w:val="32"/>
        </w:rPr>
        <w:t>因公出国（境）费支出；公务用车购置及运行维护费支出13.03万元，占100.00%，比上年增加7.65万元，增长142.19%，主要原因是：</w:t>
      </w:r>
      <w:r>
        <w:rPr>
          <w:rFonts w:hint="eastAsia" w:ascii="仿宋_GB2312" w:eastAsia="仿宋_GB2312"/>
          <w:b w:val="0"/>
          <w:sz w:val="32"/>
          <w:szCs w:val="32"/>
          <w:lang w:val="en-US" w:eastAsia="zh-CN"/>
        </w:rPr>
        <w:t>社保中心</w:t>
      </w:r>
      <w:r>
        <w:rPr>
          <w:rFonts w:hint="eastAsia" w:ascii="仿宋_GB2312" w:eastAsia="仿宋_GB2312"/>
          <w:b w:val="0"/>
          <w:sz w:val="32"/>
          <w:szCs w:val="32"/>
        </w:rPr>
        <w:t>上年年底车辆维修费用办完采购手续后财政扎账未能及时支付，在本年度支付</w:t>
      </w:r>
      <w:r>
        <w:rPr>
          <w:rFonts w:hint="eastAsia" w:ascii="仿宋_GB2312" w:eastAsia="仿宋_GB2312"/>
          <w:b w:val="0"/>
          <w:sz w:val="32"/>
          <w:szCs w:val="32"/>
          <w:lang w:eastAsia="zh-CN"/>
        </w:rPr>
        <w:t>；</w:t>
      </w:r>
      <w:r>
        <w:rPr>
          <w:rFonts w:hint="eastAsia" w:ascii="仿宋_GB2312" w:eastAsia="仿宋_GB2312"/>
          <w:b w:val="0"/>
          <w:sz w:val="32"/>
          <w:szCs w:val="32"/>
        </w:rPr>
        <w:t>2、上年度待报废公务用车一辆，经机关事务管理局协调拨给我单位租赁电车一辆，和租车公司签订租赁协议后采购手续未办完，车辆租赁费未支付，在本年度支付</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val="en-US" w:eastAsia="zh-CN"/>
        </w:rPr>
        <w:t>我部门无</w:t>
      </w:r>
      <w:r>
        <w:rPr>
          <w:rFonts w:ascii="仿宋_GB2312" w:eastAsia="仿宋_GB2312"/>
          <w:b w:val="0"/>
          <w:sz w:val="32"/>
          <w:szCs w:val="32"/>
        </w:rPr>
        <w:t>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spacing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13.03万元，其中：公务用车购置费0.00万元，公务用车运行维护费13.03万元。公务用车运行维护费开支内容包括。公务用车购置数0辆，公务用车保有量6辆。国有资产占用情况中固定资产车辆5辆，与公务用车保有量差异原因是：</w:t>
      </w:r>
      <w:r>
        <w:rPr>
          <w:rFonts w:hint="eastAsia" w:ascii="仿宋_GB2312" w:eastAsia="仿宋_GB2312"/>
          <w:sz w:val="32"/>
          <w:szCs w:val="32"/>
          <w:lang w:val="en-US" w:eastAsia="zh-CN"/>
        </w:rPr>
        <w:t>技工学校</w:t>
      </w:r>
      <w:r>
        <w:rPr>
          <w:rFonts w:ascii="仿宋_GB2312" w:eastAsia="仿宋_GB2312"/>
          <w:sz w:val="32"/>
          <w:szCs w:val="32"/>
        </w:rPr>
        <w:t>有一个车辆编制，没有车辆，从国能汽车租赁一辆小型汽车使用。</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与全年预算相比，财政拨款“三公”经费支出全年预算数13.03万元，决算数13.03万元，预决算差异率0.00%，</w:t>
      </w:r>
      <w:r>
        <w:rPr>
          <w:rFonts w:hint="eastAsia" w:ascii="仿宋_GB2312" w:eastAsia="仿宋_GB2312"/>
          <w:b w:val="0"/>
          <w:sz w:val="32"/>
          <w:szCs w:val="32"/>
        </w:rPr>
        <w:t>主要原因是：严格控制三公经费，厉行节约。其中：因公出国（境）费全年预算数0.00万元，决算数0.00万元，预决算差异率0.00%，主要原因是：我</w:t>
      </w:r>
      <w:r>
        <w:rPr>
          <w:rFonts w:hint="eastAsia" w:ascii="仿宋_GB2312" w:eastAsia="仿宋_GB2312"/>
          <w:b w:val="0"/>
          <w:sz w:val="32"/>
          <w:szCs w:val="32"/>
          <w:lang w:val="en-US" w:eastAsia="zh-CN"/>
        </w:rPr>
        <w:t>部门</w:t>
      </w:r>
      <w:r>
        <w:rPr>
          <w:rFonts w:hint="eastAsia" w:ascii="仿宋_GB2312" w:eastAsia="仿宋_GB2312"/>
          <w:b w:val="0"/>
          <w:sz w:val="32"/>
          <w:szCs w:val="32"/>
        </w:rPr>
        <w:t>无因公出国（境）费；公务用车购置费全年预算数0.00万元，决算数0.00万元，预决算差异率0.00%，主要原因是：我单位无公务用车购置费；</w:t>
      </w:r>
      <w:r>
        <w:rPr>
          <w:rFonts w:ascii="仿宋_GB2312" w:eastAsia="仿宋_GB2312"/>
          <w:b w:val="0"/>
          <w:sz w:val="32"/>
          <w:szCs w:val="32"/>
        </w:rPr>
        <w:t>公务用车运行维护费全年预算数13.03万元，决算数13.03万元，预决算差异率0.00%，</w:t>
      </w:r>
      <w:r>
        <w:rPr>
          <w:rFonts w:hint="eastAsia" w:ascii="仿宋_GB2312" w:eastAsia="仿宋_GB2312"/>
          <w:b w:val="0"/>
          <w:sz w:val="32"/>
          <w:szCs w:val="32"/>
        </w:rPr>
        <w:t>主要原因是：严格控制三公经费，厉行节约。</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我部门无</w:t>
      </w:r>
      <w:r>
        <w:rPr>
          <w:rFonts w:hint="eastAsia" w:ascii="仿宋_GB2312" w:eastAsia="仿宋_GB2312"/>
          <w:b w:val="0"/>
          <w:sz w:val="32"/>
          <w:szCs w:val="32"/>
        </w:rPr>
        <w:t>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2024年度库尔勒市人力资源和社会保障局部门机关运行经费支出136.49万元，比上年增加44.79万元，增长48.84%，主要原因是：</w:t>
      </w:r>
      <w:r>
        <w:rPr>
          <w:rFonts w:hint="eastAsia" w:ascii="仿宋_GB2312" w:eastAsia="仿宋_GB2312"/>
          <w:b w:val="0"/>
          <w:sz w:val="32"/>
          <w:szCs w:val="32"/>
          <w:lang w:val="en-US" w:eastAsia="zh-CN"/>
        </w:rPr>
        <w:t>社保中心</w:t>
      </w:r>
      <w:r>
        <w:rPr>
          <w:rFonts w:hint="eastAsia" w:ascii="仿宋_GB2312" w:eastAsia="仿宋_GB2312"/>
          <w:b w:val="0"/>
          <w:sz w:val="32"/>
          <w:szCs w:val="32"/>
        </w:rPr>
        <w:t>上年度未支付社保大楼取暖费，</w:t>
      </w:r>
      <w:r>
        <w:rPr>
          <w:rFonts w:hint="eastAsia" w:ascii="仿宋_GB2312" w:eastAsia="仿宋_GB2312"/>
          <w:b w:val="0"/>
          <w:sz w:val="32"/>
          <w:szCs w:val="32"/>
          <w:lang w:val="en-US" w:eastAsia="zh-CN"/>
        </w:rPr>
        <w:t>本年度进行了支付</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支出增加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2024年度公用经费支出60.59万元，比上年减少132.77万元，下降1,333.03%，</w:t>
      </w:r>
      <w:r>
        <w:rPr>
          <w:rFonts w:hint="eastAsia" w:ascii="仿宋_GB2312" w:eastAsia="仿宋_GB2312"/>
          <w:b w:val="0"/>
          <w:sz w:val="32"/>
          <w:szCs w:val="32"/>
        </w:rPr>
        <w:t>主要原因是：厉行节约，精简支出；其次上年度机关运行经费里包含项目经费，本年度没有安排项目资金，所以公用经费减少。</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2024年度政府采购支出总额94.13万元，其中：政府采购货物支出75.44万元、政府采购工程支出0.00万元、政府采购服务支出18.69万元。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授予中小企业合同金额94.02万元，占政府采购支出总额的99.88%，其中：授予小微企业合同金额50.88万元，占政府采购支出总额的54.05%。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16,265.79平方米，价值3,082.54万元。车辆5辆，价值41.38万元，其中：副部（省）级及以上领导用车0辆、主要负责人用车0辆、机要通信用车0辆、应急保障用车0辆、执法执勤用车0辆、特种专业技术用车0辆、离退休干部服务用车0辆、其他用车5辆，其他用车主要是：</w:t>
      </w:r>
      <w:r>
        <w:rPr>
          <w:rFonts w:hint="default" w:ascii="Times New Roman" w:hAnsi="Times New Roman" w:eastAsia="仿宋_GB2312" w:cs="Times New Roman"/>
          <w:color w:val="auto"/>
          <w:sz w:val="32"/>
          <w:szCs w:val="32"/>
          <w:highlight w:val="none"/>
          <w:lang w:val="zh-CN" w:eastAsia="zh-CN"/>
        </w:rPr>
        <w:t>公务用车</w:t>
      </w:r>
      <w:bookmarkStart w:id="0" w:name="_GoBack"/>
      <w:bookmarkEnd w:id="0"/>
      <w:r>
        <w:rPr>
          <w:rFonts w:ascii="仿宋_GB2312" w:eastAsia="仿宋_GB2312"/>
          <w:b w:val="0"/>
          <w:sz w:val="32"/>
          <w:szCs w:val="32"/>
        </w:rPr>
        <w:t>;单价100万元（含）以上设备（不含车辆）1台（套）。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w:t>
      </w:r>
      <w:r>
        <w:rPr>
          <w:rFonts w:hint="eastAsia" w:ascii="仿宋_GB2312" w:eastAsia="仿宋_GB2312"/>
          <w:b w:val="0"/>
          <w:sz w:val="32"/>
          <w:szCs w:val="32"/>
          <w:lang w:val="en-US" w:eastAsia="zh-CN"/>
        </w:rPr>
        <w:t>0</w:t>
      </w:r>
      <w:r>
        <w:rPr>
          <w:rFonts w:ascii="仿宋_GB2312" w:eastAsia="仿宋_GB2312"/>
          <w:b w:val="0"/>
          <w:sz w:val="32"/>
          <w:szCs w:val="32"/>
        </w:rPr>
        <w:t>个，全年预算总额</w:t>
      </w:r>
      <w:r>
        <w:rPr>
          <w:rFonts w:hint="eastAsia" w:ascii="仿宋_GB2312" w:eastAsia="仿宋_GB2312"/>
          <w:b w:val="0"/>
          <w:sz w:val="32"/>
          <w:szCs w:val="32"/>
          <w:lang w:val="en-US" w:eastAsia="zh-CN"/>
        </w:rPr>
        <w:t>0</w:t>
      </w:r>
      <w:r>
        <w:rPr>
          <w:rFonts w:ascii="仿宋_GB2312" w:eastAsia="仿宋_GB2312"/>
          <w:b w:val="0"/>
          <w:sz w:val="32"/>
          <w:szCs w:val="32"/>
        </w:rPr>
        <w:t>万元，实际执行总额</w:t>
      </w:r>
      <w:r>
        <w:rPr>
          <w:rFonts w:hint="eastAsia" w:ascii="仿宋_GB2312" w:eastAsia="仿宋_GB2312"/>
          <w:b w:val="0"/>
          <w:sz w:val="32"/>
          <w:szCs w:val="32"/>
          <w:lang w:val="en-US" w:eastAsia="zh-CN"/>
        </w:rPr>
        <w:t>0</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21</w:t>
      </w:r>
      <w:r>
        <w:rPr>
          <w:rFonts w:ascii="仿宋_GB2312" w:eastAsia="仿宋_GB2312"/>
          <w:b w:val="0"/>
          <w:sz w:val="32"/>
          <w:szCs w:val="32"/>
        </w:rPr>
        <w:t>个，全年预算数</w:t>
      </w:r>
      <w:r>
        <w:rPr>
          <w:rFonts w:hint="eastAsia" w:ascii="仿宋_GB2312" w:eastAsia="仿宋_GB2312"/>
          <w:b w:val="0"/>
          <w:sz w:val="32"/>
          <w:szCs w:val="32"/>
          <w:lang w:val="en-US" w:eastAsia="zh-CN"/>
        </w:rPr>
        <w:t>19682.27</w:t>
      </w:r>
      <w:r>
        <w:rPr>
          <w:rFonts w:ascii="仿宋_GB2312" w:eastAsia="仿宋_GB2312"/>
          <w:b w:val="0"/>
          <w:sz w:val="32"/>
          <w:szCs w:val="32"/>
        </w:rPr>
        <w:t>万元，全年执行数</w:t>
      </w:r>
      <w:r>
        <w:rPr>
          <w:rFonts w:hint="eastAsia" w:ascii="仿宋_GB2312" w:eastAsia="仿宋_GB2312"/>
          <w:b w:val="0"/>
          <w:sz w:val="32"/>
          <w:szCs w:val="32"/>
          <w:lang w:val="en-US" w:eastAsia="zh-CN"/>
        </w:rPr>
        <w:t>16211.53</w:t>
      </w:r>
      <w:r>
        <w:rPr>
          <w:rFonts w:ascii="仿宋_GB2312" w:eastAsia="仿宋_GB2312"/>
          <w:b w:val="0"/>
          <w:sz w:val="32"/>
          <w:szCs w:val="32"/>
        </w:rPr>
        <w:t>万元。</w:t>
      </w:r>
      <w:r>
        <w:rPr>
          <w:rFonts w:hint="default" w:ascii="Times New Roman" w:hAnsi="Times New Roman" w:eastAsia="仿宋_GB2312" w:cs="Times New Roman"/>
          <w:color w:val="auto"/>
          <w:sz w:val="32"/>
          <w:szCs w:val="32"/>
          <w:highlight w:val="none"/>
          <w:lang w:eastAsia="zh-CN"/>
        </w:rPr>
        <w:t>预算绩效管理取得的成效：一是通过加强预算收支管理、不断建立健全内部管理制度、梳理内部管理流程，部门整体支出管理情况得到提升；二是</w:t>
      </w:r>
      <w:r>
        <w:rPr>
          <w:rFonts w:hint="default" w:ascii="Times New Roman" w:hAnsi="Times New Roman" w:eastAsia="仿宋_GB2312" w:cs="Times New Roman"/>
          <w:color w:val="auto"/>
          <w:sz w:val="32"/>
          <w:szCs w:val="32"/>
          <w:highlight w:val="none"/>
          <w:lang w:val="en-US" w:eastAsia="zh-CN"/>
        </w:rPr>
        <w:t>严格履行政府采购程序，规范政府采购行为，加强对政府采购全流程活动的规范管理，推动政府采购相关制度贯彻落实</w:t>
      </w:r>
      <w:r>
        <w:rPr>
          <w:rFonts w:hint="default" w:ascii="Times New Roman" w:hAnsi="Times New Roman" w:eastAsia="仿宋_GB2312" w:cs="Times New Roman"/>
          <w:color w:val="auto"/>
          <w:sz w:val="32"/>
          <w:szCs w:val="32"/>
          <w:highlight w:val="none"/>
          <w:lang w:eastAsia="zh-CN"/>
        </w:rPr>
        <w:t>。发现的问题及原因：一是</w:t>
      </w:r>
      <w:r>
        <w:rPr>
          <w:rFonts w:hint="default" w:ascii="Times New Roman" w:hAnsi="Times New Roman" w:eastAsia="仿宋_GB2312" w:cs="Times New Roman"/>
          <w:color w:val="auto"/>
          <w:sz w:val="32"/>
          <w:szCs w:val="32"/>
          <w:highlight w:val="none"/>
          <w:lang w:val="en-US" w:eastAsia="zh-CN"/>
        </w:rPr>
        <w:t>目前的预算管理在编制和实施中还存在编制不细、预算调整较多、追加预算比重较大等现象,因此项目预算执行的准确性还有待加强</w:t>
      </w:r>
      <w:r>
        <w:rPr>
          <w:rFonts w:hint="default" w:ascii="Times New Roman" w:hAnsi="Times New Roman" w:eastAsia="仿宋_GB2312" w:cs="Times New Roman"/>
          <w:color w:val="auto"/>
          <w:sz w:val="32"/>
          <w:szCs w:val="32"/>
          <w:highlight w:val="none"/>
          <w:lang w:eastAsia="zh-CN"/>
        </w:rPr>
        <w:t>；二是经办机构存在工作经费紧缺，信息化建设滞后的情况。下一步改进措施：一是全面编制预算项目，优先保障固定的、相对刚性的费用支出项目；二是</w:t>
      </w:r>
      <w:r>
        <w:rPr>
          <w:rFonts w:hint="default" w:ascii="Times New Roman" w:hAnsi="Times New Roman" w:eastAsia="仿宋_GB2312" w:cs="Times New Roman"/>
          <w:color w:val="auto"/>
          <w:sz w:val="32"/>
          <w:szCs w:val="32"/>
          <w:highlight w:val="none"/>
          <w:lang w:val="en-US" w:eastAsia="zh-CN"/>
        </w:rPr>
        <w:t>加强与财政部门的紧密配合,开展好整体支出及项目资金绩效管理工作,运用好绩效评价的结果,不断提升预算管理水平</w:t>
      </w:r>
      <w:r>
        <w:rPr>
          <w:rFonts w:hint="default" w:ascii="Times New Roman" w:hAnsi="Times New Roman" w:eastAsia="仿宋_GB2312" w:cs="Times New Roman"/>
          <w:color w:val="auto"/>
          <w:sz w:val="32"/>
          <w:szCs w:val="32"/>
          <w:highlight w:val="none"/>
          <w:lang w:eastAsia="zh-CN"/>
        </w:rPr>
        <w:t>。</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hint="eastAsia" w:ascii="仿宋_GB2312" w:eastAsia="仿宋_GB2312"/>
          <w:b w:val="0"/>
          <w:sz w:val="32"/>
          <w:szCs w:val="32"/>
        </w:rPr>
        <w:t>根据预算绩效管理要求，我部门2024年度预算绩效管理整体支出绩效自评表0个，全年预算总额0万元，实际执行总额0万元。我部门整体绩效自评表，由各单位自行编制并公开。</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19050</wp:posOffset>
            </wp:positionV>
            <wp:extent cx="6638290" cy="7954010"/>
            <wp:effectExtent l="0" t="0" r="10160" b="889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6638290" cy="7954010"/>
                    </a:xfrm>
                    <a:prstGeom prst="rect">
                      <a:avLst/>
                    </a:prstGeom>
                    <a:noFill/>
                    <a:ln>
                      <a:noFill/>
                    </a:ln>
                  </pic:spPr>
                </pic:pic>
              </a:graphicData>
            </a:graphic>
          </wp:anchor>
        </w:drawing>
      </w: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
      <w:pPr>
        <w:pStyle w:val="2"/>
      </w:pPr>
      <w:r>
        <w:drawing>
          <wp:anchor distT="0" distB="0" distL="114300" distR="114300" simplePos="0" relativeHeight="251660288" behindDoc="0" locked="0" layoutInCell="1" allowOverlap="1">
            <wp:simplePos x="0" y="0"/>
            <wp:positionH relativeFrom="column">
              <wp:posOffset>-361950</wp:posOffset>
            </wp:positionH>
            <wp:positionV relativeFrom="paragraph">
              <wp:posOffset>-142875</wp:posOffset>
            </wp:positionV>
            <wp:extent cx="6287135" cy="7975600"/>
            <wp:effectExtent l="0" t="0" r="18415" b="635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grayscl/>
                    </a:blip>
                    <a:stretch>
                      <a:fillRect/>
                    </a:stretch>
                  </pic:blipFill>
                  <pic:spPr>
                    <a:xfrm>
                      <a:off x="0" y="0"/>
                      <a:ext cx="6287135" cy="7975600"/>
                    </a:xfrm>
                    <a:prstGeom prst="rect">
                      <a:avLst/>
                    </a:prstGeom>
                    <a:noFill/>
                    <a:ln>
                      <a:noFill/>
                    </a:ln>
                  </pic:spPr>
                </pic:pic>
              </a:graphicData>
            </a:graphic>
          </wp:anchor>
        </w:drawing>
      </w: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r>
        <w:drawing>
          <wp:anchor distT="0" distB="0" distL="114300" distR="114300" simplePos="0" relativeHeight="251661312" behindDoc="0" locked="0" layoutInCell="1" allowOverlap="1">
            <wp:simplePos x="0" y="0"/>
            <wp:positionH relativeFrom="column">
              <wp:posOffset>-371475</wp:posOffset>
            </wp:positionH>
            <wp:positionV relativeFrom="paragraph">
              <wp:posOffset>-19050</wp:posOffset>
            </wp:positionV>
            <wp:extent cx="6291580" cy="8355330"/>
            <wp:effectExtent l="0" t="0" r="1397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grayscl/>
                    </a:blip>
                    <a:stretch>
                      <a:fillRect/>
                    </a:stretch>
                  </pic:blipFill>
                  <pic:spPr>
                    <a:xfrm>
                      <a:off x="0" y="0"/>
                      <a:ext cx="6291580" cy="8355330"/>
                    </a:xfrm>
                    <a:prstGeom prst="rect">
                      <a:avLst/>
                    </a:prstGeom>
                    <a:noFill/>
                    <a:ln>
                      <a:noFill/>
                    </a:ln>
                  </pic:spPr>
                </pic:pic>
              </a:graphicData>
            </a:graphic>
          </wp:anchor>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r>
        <w:drawing>
          <wp:anchor distT="0" distB="0" distL="114300" distR="114300" simplePos="0" relativeHeight="251662336" behindDoc="0" locked="0" layoutInCell="1" allowOverlap="1">
            <wp:simplePos x="0" y="0"/>
            <wp:positionH relativeFrom="column">
              <wp:posOffset>-466725</wp:posOffset>
            </wp:positionH>
            <wp:positionV relativeFrom="paragraph">
              <wp:posOffset>28575</wp:posOffset>
            </wp:positionV>
            <wp:extent cx="6627495" cy="8138795"/>
            <wp:effectExtent l="0" t="0" r="1905" b="1460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6627495" cy="8138795"/>
                    </a:xfrm>
                    <a:prstGeom prst="rect">
                      <a:avLst/>
                    </a:prstGeom>
                    <a:noFill/>
                    <a:ln>
                      <a:noFill/>
                    </a:ln>
                  </pic:spPr>
                </pic:pic>
              </a:graphicData>
            </a:graphic>
          </wp:anchor>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r>
        <w:drawing>
          <wp:anchor distT="0" distB="0" distL="114300" distR="114300" simplePos="0" relativeHeight="251663360" behindDoc="0" locked="0" layoutInCell="1" allowOverlap="1">
            <wp:simplePos x="0" y="0"/>
            <wp:positionH relativeFrom="column">
              <wp:posOffset>-228600</wp:posOffset>
            </wp:positionH>
            <wp:positionV relativeFrom="paragraph">
              <wp:posOffset>-523875</wp:posOffset>
            </wp:positionV>
            <wp:extent cx="6216650" cy="9167495"/>
            <wp:effectExtent l="0" t="0" r="12700" b="1460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grayscl/>
                    </a:blip>
                    <a:stretch>
                      <a:fillRect/>
                    </a:stretch>
                  </pic:blipFill>
                  <pic:spPr>
                    <a:xfrm>
                      <a:off x="0" y="0"/>
                      <a:ext cx="6216650" cy="9167495"/>
                    </a:xfrm>
                    <a:prstGeom prst="rect">
                      <a:avLst/>
                    </a:prstGeom>
                    <a:noFill/>
                    <a:ln>
                      <a:noFill/>
                    </a:ln>
                  </pic:spPr>
                </pic:pic>
              </a:graphicData>
            </a:graphic>
          </wp:anchor>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r>
        <w:drawing>
          <wp:anchor distT="0" distB="0" distL="114300" distR="114300" simplePos="0" relativeHeight="251664384" behindDoc="0" locked="0" layoutInCell="1" allowOverlap="1">
            <wp:simplePos x="0" y="0"/>
            <wp:positionH relativeFrom="column">
              <wp:posOffset>-457200</wp:posOffset>
            </wp:positionH>
            <wp:positionV relativeFrom="paragraph">
              <wp:posOffset>28575</wp:posOffset>
            </wp:positionV>
            <wp:extent cx="6679565" cy="8048625"/>
            <wp:effectExtent l="0" t="0" r="6985" b="952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6679565" cy="8048625"/>
                    </a:xfrm>
                    <a:prstGeom prst="rect">
                      <a:avLst/>
                    </a:prstGeom>
                    <a:noFill/>
                    <a:ln>
                      <a:noFill/>
                    </a:ln>
                  </pic:spPr>
                </pic:pic>
              </a:graphicData>
            </a:graphic>
          </wp:anchor>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r>
        <w:drawing>
          <wp:anchor distT="0" distB="0" distL="114300" distR="114300" simplePos="0" relativeHeight="251665408" behindDoc="0" locked="0" layoutInCell="1" allowOverlap="1">
            <wp:simplePos x="0" y="0"/>
            <wp:positionH relativeFrom="column">
              <wp:posOffset>-638175</wp:posOffset>
            </wp:positionH>
            <wp:positionV relativeFrom="paragraph">
              <wp:posOffset>124460</wp:posOffset>
            </wp:positionV>
            <wp:extent cx="7051040" cy="3839845"/>
            <wp:effectExtent l="0" t="0" r="16510" b="8255"/>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tretch>
                      <a:fillRect/>
                    </a:stretch>
                  </pic:blipFill>
                  <pic:spPr>
                    <a:xfrm>
                      <a:off x="0" y="0"/>
                      <a:ext cx="7051040" cy="3839845"/>
                    </a:xfrm>
                    <a:prstGeom prst="rect">
                      <a:avLst/>
                    </a:prstGeom>
                    <a:noFill/>
                    <a:ln>
                      <a:noFill/>
                    </a:ln>
                  </pic:spPr>
                </pic:pic>
              </a:graphicData>
            </a:graphic>
          </wp:anchor>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r>
        <w:drawing>
          <wp:anchor distT="0" distB="0" distL="114300" distR="114300" simplePos="0" relativeHeight="251667456" behindDoc="0" locked="0" layoutInCell="1" allowOverlap="1">
            <wp:simplePos x="0" y="0"/>
            <wp:positionH relativeFrom="column">
              <wp:posOffset>-552450</wp:posOffset>
            </wp:positionH>
            <wp:positionV relativeFrom="paragraph">
              <wp:posOffset>-28575</wp:posOffset>
            </wp:positionV>
            <wp:extent cx="6986905" cy="3917315"/>
            <wp:effectExtent l="0" t="0" r="4445" b="6985"/>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stretch>
                      <a:fillRect/>
                    </a:stretch>
                  </pic:blipFill>
                  <pic:spPr>
                    <a:xfrm>
                      <a:off x="0" y="0"/>
                      <a:ext cx="6986905" cy="3917315"/>
                    </a:xfrm>
                    <a:prstGeom prst="rect">
                      <a:avLst/>
                    </a:prstGeom>
                    <a:noFill/>
                    <a:ln>
                      <a:noFill/>
                    </a:ln>
                  </pic:spPr>
                </pic:pic>
              </a:graphicData>
            </a:graphic>
          </wp:anchor>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r>
        <w:drawing>
          <wp:anchor distT="0" distB="0" distL="114300" distR="114300" simplePos="0" relativeHeight="251666432" behindDoc="0" locked="0" layoutInCell="1" allowOverlap="1">
            <wp:simplePos x="0" y="0"/>
            <wp:positionH relativeFrom="column">
              <wp:posOffset>-657225</wp:posOffset>
            </wp:positionH>
            <wp:positionV relativeFrom="paragraph">
              <wp:posOffset>10160</wp:posOffset>
            </wp:positionV>
            <wp:extent cx="7068820" cy="3217545"/>
            <wp:effectExtent l="0" t="0" r="17780" b="190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7068820" cy="3217545"/>
                    </a:xfrm>
                    <a:prstGeom prst="rect">
                      <a:avLst/>
                    </a:prstGeom>
                    <a:noFill/>
                    <a:ln>
                      <a:noFill/>
                    </a:ln>
                  </pic:spPr>
                </pic:pic>
              </a:graphicData>
            </a:graphic>
          </wp:anchor>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pP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06C358C8"/>
    <w:rsid w:val="1F0678BC"/>
    <w:rsid w:val="2C8A0C3E"/>
    <w:rsid w:val="5179204A"/>
    <w:rsid w:val="679F30D8"/>
    <w:rsid w:val="6A8245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index 1"/>
    <w:basedOn w:val="1"/>
    <w:next w:val="1"/>
    <w:unhideWhenUsed/>
    <w:qFormat/>
    <w:uiPriority w:val="99"/>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2025-08-15T07:55:00Z</dcterms:created>
  <dc:creator>Administrator</dc:creator>
  <cp:lastModifiedBy>Administrator</cp:lastModifiedBy>
  <dcterms:modified xsi:type="dcterms:W3CDTF">2025-08-20T03:47:50Z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