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line="560" w:lineRule="exact"/>
        <w:jc w:val="left"/>
        <w:textAlignment w:val="auto"/>
        <w:rPr>
          <w:rFonts w:ascii="黑体" w:hAnsi="黑体" w:eastAsia="黑体" w:cs="宋体"/>
          <w:color w:val="333333"/>
          <w:sz w:val="32"/>
          <w:szCs w:val="32"/>
        </w:rPr>
      </w:pPr>
      <w:r>
        <w:rPr>
          <w:rFonts w:hint="eastAsia" w:ascii="黑体" w:hAnsi="黑体" w:eastAsia="黑体" w:cs="宋体"/>
          <w:color w:val="333333"/>
          <w:sz w:val="32"/>
          <w:szCs w:val="32"/>
        </w:rPr>
        <w:t>附件4：</w:t>
      </w: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keepNext w:val="0"/>
        <w:keepLines w:val="0"/>
        <w:pageBreakBefore w:val="0"/>
        <w:kinsoku/>
        <w:wordWrap/>
        <w:overflowPunct/>
        <w:topLinePunct w:val="0"/>
        <w:autoSpaceDE/>
        <w:autoSpaceDN/>
        <w:bidi w:val="0"/>
        <w:adjustRightInd/>
        <w:spacing w:line="56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keepNext w:val="0"/>
        <w:keepLines w:val="0"/>
        <w:pageBreakBefore w:val="0"/>
        <w:kinsoku/>
        <w:wordWrap/>
        <w:overflowPunct/>
        <w:topLinePunct w:val="0"/>
        <w:autoSpaceDE/>
        <w:autoSpaceDN/>
        <w:bidi w:val="0"/>
        <w:adjustRightIn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pacing w:line="560" w:lineRule="exact"/>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left"/>
        <w:textAlignment w:val="auto"/>
        <w:rPr>
          <w:rFonts w:hAnsi="宋体" w:eastAsia="仿宋_GB2312" w:cs="宋体"/>
          <w:kern w:val="0"/>
          <w:sz w:val="36"/>
          <w:szCs w:val="36"/>
        </w:rPr>
      </w:pPr>
      <w:r>
        <w:rPr>
          <w:rFonts w:hint="eastAsia" w:hAnsi="宋体" w:eastAsia="仿宋_GB2312" w:cs="宋体"/>
          <w:kern w:val="0"/>
          <w:sz w:val="36"/>
          <w:szCs w:val="36"/>
        </w:rPr>
        <w:t>部门单位名称（公章）：库尔勒市上户镇人民政府</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left"/>
        <w:textAlignment w:val="auto"/>
        <w:rPr>
          <w:rFonts w:hAnsi="宋体" w:eastAsia="仿宋_GB2312" w:cs="宋体"/>
          <w:kern w:val="0"/>
          <w:sz w:val="36"/>
          <w:szCs w:val="36"/>
        </w:rPr>
      </w:pPr>
      <w:r>
        <w:rPr>
          <w:rFonts w:hint="eastAsia" w:hAnsi="宋体" w:eastAsia="仿宋_GB2312" w:cs="宋体"/>
          <w:kern w:val="0"/>
          <w:sz w:val="36"/>
          <w:szCs w:val="36"/>
        </w:rPr>
        <w:t>填报时间：2025年04月29日</w:t>
      </w: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kinsoku/>
        <w:wordWrap/>
        <w:overflowPunct/>
        <w:topLinePunct w:val="0"/>
        <w:autoSpaceDE/>
        <w:autoSpaceDN/>
        <w:bidi w:val="0"/>
        <w:adjustRightInd/>
        <w:spacing w:line="560" w:lineRule="exact"/>
        <w:jc w:val="left"/>
        <w:textAlignment w:val="auto"/>
        <w:rPr>
          <w:rFonts w:hAnsi="宋体" w:eastAsia="仿宋_GB2312" w:cs="宋体"/>
          <w:kern w:val="0"/>
          <w:sz w:val="36"/>
          <w:szCs w:val="36"/>
        </w:rPr>
      </w:pP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lang w:val="en-US" w:eastAsia="zh-CN"/>
        </w:rPr>
        <w:t>一、</w:t>
      </w:r>
      <w:r>
        <w:rPr>
          <w:rFonts w:hint="eastAsia" w:ascii="黑体" w:hAnsi="黑体" w:eastAsia="黑体" w:cs="宋体"/>
          <w:b/>
          <w:color w:val="000000" w:themeColor="text1"/>
          <w:sz w:val="32"/>
          <w:szCs w:val="32"/>
        </w:rPr>
        <w:t>基本概况：</w:t>
      </w:r>
    </w:p>
    <w:p>
      <w:pPr>
        <w:keepNext w:val="0"/>
        <w:keepLines w:val="0"/>
        <w:pageBreakBefore w:val="0"/>
        <w:kinsoku/>
        <w:wordWrap/>
        <w:overflowPunct/>
        <w:topLinePunct w:val="0"/>
        <w:autoSpaceDE/>
        <w:autoSpaceDN/>
        <w:bidi w:val="0"/>
        <w:adjustRightInd/>
        <w:spacing w:line="560" w:lineRule="exact"/>
        <w:jc w:val="left"/>
        <w:textAlignment w:val="auto"/>
        <w:rPr>
          <w:rFonts w:ascii="Arial" w:hAnsi="Arial" w:cs="Arial"/>
          <w:b/>
          <w:bCs/>
          <w:color w:val="333333"/>
          <w:sz w:val="30"/>
          <w:szCs w:val="30"/>
        </w:rPr>
      </w:pPr>
      <w:r>
        <w:rPr>
          <w:rFonts w:hint="eastAsia" w:ascii="黑体" w:hAnsi="黑体" w:eastAsia="黑体" w:cs="宋体"/>
          <w:b/>
          <w:color w:val="000000" w:themeColor="text1"/>
          <w:sz w:val="32"/>
          <w:szCs w:val="32"/>
        </w:rPr>
        <w:t>（一）</w:t>
      </w:r>
      <w:r>
        <w:rPr>
          <w:rFonts w:ascii="黑体" w:hAnsi="黑体" w:eastAsia="黑体" w:cs="宋体"/>
          <w:b/>
          <w:color w:val="000000" w:themeColor="text1"/>
          <w:sz w:val="32"/>
          <w:szCs w:val="32"/>
        </w:rPr>
        <w:t>部门单位基本情况</w:t>
      </w:r>
      <w:r>
        <w:rPr>
          <w:rFonts w:hint="eastAsia" w:ascii="Arial" w:hAnsi="Arial" w:cs="Arial"/>
          <w:b/>
          <w:bCs/>
          <w:color w:val="333333"/>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上户镇党委、上户镇党委、人民政府宣传贯彻党和国家各项方针、政策和法律法规，执行党中央、上级党组织、人民政府及本级党代会、人民代表大会的决议、决定；接受相关部门的业务指导；在履行职责过程中坚持和加强党对全镇各项工作的集中统一领导。主要职责是：1、加强党的建设。落实基层党建工作责任制，统筹抓好基层党建工作，推进全面从严治党，强化“两个责任”。2、推动经济发展。制定本行政区域经济社会发展规划和年度计划并组织实施。3、做好民生服务。组织实施与群众生活密切相关的各项行政审批和公共服务，加强公共设施建设，开展就业和社会保障等服务，发展科教文卫事业，落实涉及民生领域的各方面相关政策，着力解决群众生产生活中的问题。4、加强法治建设。坚持依法行政，推进民主政治，加强基层政权建设。5、完成市委、市人民政府交办的其他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2.机构设置及人员情况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库尔勒市上户镇人民政府无下属预算单位，下设10个科室，分别是：库尔勒市上户镇人民政府无下属预算单位，下设了5办5中心，分别是：党政综合办公室、党建工作办公室、经济发展和财政办公室、社会事务办公室（退伍军人服务站）、综合执法办公室、农业发展服务中心、公共文化服务中心、村镇建设发展中心、综合和网格化服务中心、便民服务中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库尔勒市上户镇人民政府编制数117人，实有人数110人，其中在职人数89人，减少人数2人，退休人数21人，增加人数3人：离休人数0人，增加人数0人。</w:t>
      </w:r>
      <w:bookmarkStart w:id="0" w:name="_Hlk43849111"/>
      <w:bookmarkEnd w:id="0"/>
    </w:p>
    <w:p>
      <w:pPr>
        <w:keepNext w:val="0"/>
        <w:keepLines w:val="0"/>
        <w:pageBreakBefore w:val="0"/>
        <w:kinsoku/>
        <w:wordWrap/>
        <w:overflowPunct/>
        <w:topLinePunct w:val="0"/>
        <w:autoSpaceDE/>
        <w:autoSpaceDN/>
        <w:bidi w:val="0"/>
        <w:adjustRightInd/>
        <w:spacing w:line="560" w:lineRule="exact"/>
        <w:jc w:val="both"/>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（二）</w:t>
      </w:r>
      <w:r>
        <w:rPr>
          <w:rFonts w:ascii="黑体" w:hAnsi="黑体" w:eastAsia="黑体" w:cs="宋体"/>
          <w:b/>
          <w:color w:val="000000" w:themeColor="text1"/>
          <w:sz w:val="32"/>
          <w:szCs w:val="32"/>
        </w:rPr>
        <w:t>部门单位年度重点工作：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1.年度总体目标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目标1：覆盖基层组织个数为8个，有效解决乡镇公共服务运行经费保障问题，服务乡村数量不少于5个，要提升村党组织服务群众能力，减轻农民负担；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目标2：通过村党组织惠民政策的实施村党建服务品牌建设村公共事业的补助和实施等为民办实事的开展，确保为民办实事件数达到10件，为民办实事工作覆盖率达到100%以上，提升村党组织服务群众能力；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目标3：在乡镇开展各项教育培训活动，提高干部及群综合素质，有效提升服务群众水平，提高职业介绍和就业指导次数不少于10次，提高就业问题。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目标4：明显改善农村村容村貌，清洁卫生，促进新农村建设，改善老百姓生产生活环境，提高人民生活水平，农牧民实用技能培训场次不少于10次；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目标5：抓好财政收支管理及村集体经济审计工作，做好预、决算编制、公开，达到预算绩效全覆盖，将绩效管理纳入预算编制、执行、监督全过程，强化绩效目标管理.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2.重点工作计划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上户镇坚持把学习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我单位深入学习贯彻党的二十大精神，坚持以习近平新时代中国特色社会主义思想为指引，着力解决突出问题，深入推进干部能力建设，把坚定理想信念作为根本目标、把培育先进典型作为重要举措、把党群共建作为重要内容、把创建活动作为重要载体，开展好每月主题党日和每周政治学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聚焦“两个维护”，把政治建设摆在首位、落到实处。推动各级党组织和广大党员坚决落实“两个维护”；深入学习贯彻习近平新时代中国特色社会主义思想和党的二十大精神。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聚焦高素质专业化，打造忠诚干净担当的干部队伍。严格标准，坚持正确用人导向；严格教育，推进干部能力建设；严格考察，着力考准考实干部；严格考核，提升工作动能；严管与厚爱并重，激励干部新担当新作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聚焦组织力提升，推进基层党组织全面进步、全面过硬。层层压实责任；全力推进抓党建促脱贫；推进“九项重点任务”落实；统筹推进城市等其他领域党建工作；全面从严加强党员教育管理。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库尔勒市上户镇人民政府2024年通过本部门预算支出，确保了89名在职人员的工资、津贴、补贴、社保、绩效、公积金等以及21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kinsoku/>
        <w:wordWrap/>
        <w:overflowPunct/>
        <w:topLinePunct w:val="0"/>
        <w:autoSpaceDE/>
        <w:autoSpaceDN/>
        <w:bidi w:val="0"/>
        <w:adjustRightInd/>
        <w:spacing w:line="560" w:lineRule="exact"/>
        <w:jc w:val="both"/>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（三）</w:t>
      </w:r>
      <w:r>
        <w:rPr>
          <w:rFonts w:ascii="黑体" w:hAnsi="黑体" w:eastAsia="黑体" w:cs="宋体"/>
          <w:b/>
          <w:color w:val="000000" w:themeColor="text1"/>
          <w:sz w:val="32"/>
          <w:szCs w:val="32"/>
        </w:rPr>
        <w:t>部门单位整体预算规模及安排情况：</w:t>
      </w:r>
    </w:p>
    <w:p>
      <w:pPr>
        <w:keepNext w:val="0"/>
        <w:keepLines w:val="0"/>
        <w:pageBreakBefore w:val="0"/>
        <w:kinsoku/>
        <w:wordWrap/>
        <w:overflowPunct/>
        <w:topLinePunct w:val="0"/>
        <w:autoSpaceDE/>
        <w:autoSpaceDN/>
        <w:bidi w:val="0"/>
        <w:adjustRightInd/>
        <w:spacing w:line="560" w:lineRule="exact"/>
        <w:ind w:firstLine="960" w:firstLineChars="300"/>
        <w:jc w:val="both"/>
        <w:textAlignment w:val="auto"/>
        <w:rPr>
          <w:rFonts w:ascii="仿宋_GB2312" w:hAnsi="宋体" w:eastAsia="仿宋_GB2312"/>
          <w:bCs/>
          <w:sz w:val="32"/>
          <w:szCs w:val="32"/>
        </w:rPr>
      </w:pPr>
      <w:r>
        <w:rPr>
          <w:rFonts w:hint="eastAsia" w:ascii="仿宋_GB2312" w:hAnsi="宋体" w:eastAsia="仿宋_GB2312"/>
          <w:bCs/>
          <w:sz w:val="32"/>
          <w:szCs w:val="32"/>
        </w:rPr>
        <w:t>2024年库尔勒市上户镇年初预算安排3063.66万元，其中财政拨款3063.66万元，其他资金0.00万元，主要用于基本工资、津贴补贴、奖金、机关事业单位基本养老保险缴费、职业年金缴费、职工基本医疗保险缴费、办公费、差旅费、维修（护）费、福利费、退休费，生活补助，其他个人补助支出，上户镇实施2024年美术馆、公共图书馆、文化馆[站]免费开放补助资金预算、2023年基层人大补助经费、关于提前下达2023年中央地方公共文化服务体系建设补助资金、选调生到村工作中央补助资金、2023年五小工程项目、部门专项-十一届市级人大代表活动经费、部门专项-为民办实事经费-社区、部门专项-网格工作经费、部门专项-农村文化建设资金、部门专项-综合文化站免费开放经费、支农专项-为民办实事经费-村、支农专项-社区工作人员（助理）社会工作师补贴、部门专项-社区党建工作经费、支农专项-村民小组运转经费、支农专项-村级组织工作经费、关于下达2024年度下派选调生到村工作中央财政补助资金的通知、2023年履职人大职能和提升代表履职能力项目、2024年上户镇新星社区综合服务设施等项目资金支出。年中调整382.98万元，调整后全年预算3446.64万元，预算调整率12.5%，调整预算的主要原因为在职人员工资、社保、公积金基数调整等，导致支出增长。</w:t>
      </w:r>
    </w:p>
    <w:p>
      <w:pPr>
        <w:keepNext w:val="0"/>
        <w:keepLines w:val="0"/>
        <w:pageBreakBefore w:val="0"/>
        <w:numPr>
          <w:ilvl w:val="0"/>
          <w:numId w:val="0"/>
        </w:numPr>
        <w:kinsoku/>
        <w:wordWrap/>
        <w:overflowPunct/>
        <w:topLinePunct w:val="0"/>
        <w:autoSpaceDE/>
        <w:autoSpaceDN/>
        <w:bidi w:val="0"/>
        <w:adjustRightInd/>
        <w:snapToGrid w:val="0"/>
        <w:spacing w:line="560" w:lineRule="exact"/>
        <w:jc w:val="both"/>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lang w:val="en-US" w:eastAsia="zh-CN"/>
        </w:rPr>
        <w:t>二、</w:t>
      </w:r>
      <w:r>
        <w:rPr>
          <w:rFonts w:hint="eastAsia" w:ascii="黑体" w:hAnsi="黑体" w:eastAsia="黑体" w:cs="宋体"/>
          <w:b/>
          <w:color w:val="000000" w:themeColor="text1"/>
          <w:sz w:val="32"/>
          <w:szCs w:val="32"/>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（一）部门单位整体支出管理情况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1.预算编制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2.预算执行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库尔勒市财政批复预算后，我单位按要求及时制定并报批部门预算支出计划，严格落实预算执行定期分析机制，靠前抓好支出执行，坚持严肃财经纪律，硬化预算约束，持续树牢厉行节约理念，严控一般性支出，努力降低行政、事业运行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3.绩效管理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4.信息公开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我单位已按要求在我单位库尔勒市人民政府网站公开部门预算信息，同步公开绩效目标表；在我单位库尔勒市人民政府网站公开部门决算信息，同步公开自评表及自评报告。</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1.基本支出情况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基本支出2158万元，包括工资福利支出1687.25万元，商品和服务支出348.26万元，对个人和家庭的补助122.49万元，资本性支出0万元。其中：“三公”经费支出19.13万元，比上年增加0万元；会议费支出0万元，比上年增加0；培训费支出6.74万元，比上年减少1.73万元，主要原因是2024年在职干部安排考察培训次数比去年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2.专项资金支出情况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专项项目支出1288.64万元，占总支出的37.39％，主要用于2023年基层人大补助经费、部门专项-民兵大比武暨武装工作补助经费、中央政法纪检监察转移支付资金（装备费）、中央政法纪检监察转移支付资金（办案费）、选调生到村工作中央补助资金、2024年度下派选调生到村工作中央财政补助资金的通知（2024年招录2024年补助1.8万元）、2024年度下派选调生到村工作中央财政补助资金的通知（2023年招录2024年补助1.35万元）、2023年中央补助地方美术馆，公共图书馆，文化馆（站）免费开放补助资金预算的通知、2024年公共图书馆美术馆文化馆[站]免费开放补助资金预算[第二批]、2023自治区补助地方美术馆，公共图书馆，文化馆（站）免费开放补助资金预算的通知、自治区2024年美术馆、公共图书馆、文化馆[站]免费开放补助资金预算、2023年中央补助地方公共文化服务体系建设补助资金（农村文化建设资金）、2022年新疆专项[第一批]中央基建投资项目（喀拉苏、萨依买里村服务中心）、2021年第三批新疆专项中央基建投资项目（杜尔比-大墩子村活动场所）、2024年中央财政衔接推进乡村振兴补助资金（杜尔比村污水管网和自来水管道改造项目）、2024年自治区财政衔接推进乡村振兴补助资金（设施农业无花果基地一期）、2024年自治区财政衔接推进乡村振兴补助资金（杜尔比村污水管网和自来水管道改造项目）、2024年自治区农村综合改革转移支付项目（大墩子村美丽乡村建设项目）、2024年国有企业退休人员社会化管理补助资金、【第一批】中央基建投资项目（2023年五小工程）等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3.部门单位专项组织实施情况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年初我单位下发的17专项、17专项按照年初工作计划，对项目的工作分工、任务分配、资金落实、完成时限等提出了明确、具体的要求，以确保项目保质、保量、按时完成。截至2024年12月31日，完成专项13个，未完成专项4个。</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为规范专项资金使用，提高专项资金使用效益，我单位主要采取四项措施。制订专项资金管理制度；资金使用严格遵循了国家相关法律法规与财务制度，保证资金的合理使用，便于上级主管部门检查、监督，实行转款专用，不得以任何理由按部门切块或挪作</w:t>
      </w:r>
      <w:r>
        <w:rPr>
          <w:rFonts w:hint="eastAsia" w:ascii="仿宋_GB2312" w:hAnsi="宋体" w:eastAsia="仿宋_GB2312"/>
          <w:bCs/>
          <w:sz w:val="32"/>
          <w:szCs w:val="32"/>
          <w:lang w:val="en-US" w:eastAsia="zh-CN"/>
        </w:rPr>
        <w:t>他</w:t>
      </w:r>
      <w:bookmarkStart w:id="1" w:name="_GoBack"/>
      <w:bookmarkEnd w:id="1"/>
      <w:r>
        <w:rPr>
          <w:rFonts w:hint="eastAsia" w:ascii="仿宋_GB2312" w:hAnsi="宋体" w:eastAsia="仿宋_GB2312"/>
          <w:bCs/>
          <w:sz w:val="32"/>
          <w:szCs w:val="32"/>
        </w:rPr>
        <w:t>用，严格执行财务制度，各级领导及部门财务支出严格按制度办事，加强资金使用的跟踪检查和审计。</w:t>
      </w:r>
    </w:p>
    <w:p>
      <w:pPr>
        <w:keepNext w:val="0"/>
        <w:keepLines w:val="0"/>
        <w:pageBreakBefore w:val="0"/>
        <w:numPr>
          <w:ilvl w:val="0"/>
          <w:numId w:val="0"/>
        </w:numPr>
        <w:kinsoku/>
        <w:wordWrap/>
        <w:overflowPunct/>
        <w:topLinePunct w:val="0"/>
        <w:autoSpaceDE/>
        <w:autoSpaceDN/>
        <w:bidi w:val="0"/>
        <w:adjustRightInd/>
        <w:snapToGrid w:val="0"/>
        <w:spacing w:line="560" w:lineRule="exact"/>
        <w:jc w:val="both"/>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lang w:val="en-US" w:eastAsia="zh-CN"/>
        </w:rPr>
        <w:t>三、</w:t>
      </w:r>
      <w:r>
        <w:rPr>
          <w:rFonts w:hint="eastAsia" w:ascii="黑体" w:hAnsi="黑体" w:eastAsia="黑体" w:cs="宋体"/>
          <w:b/>
          <w:color w:val="000000" w:themeColor="text1"/>
          <w:sz w:val="32"/>
          <w:szCs w:val="32"/>
        </w:rPr>
        <w:t>部门单位整体支出绩效分析：</w:t>
      </w:r>
    </w:p>
    <w:p>
      <w:pPr>
        <w:keepNext w:val="0"/>
        <w:keepLines w:val="0"/>
        <w:pageBreakBefore w:val="0"/>
        <w:kinsoku/>
        <w:wordWrap/>
        <w:overflowPunct/>
        <w:topLinePunct w:val="0"/>
        <w:autoSpaceDE/>
        <w:autoSpaceDN/>
        <w:bidi w:val="0"/>
        <w:adjustRightInd/>
        <w:spacing w:line="560" w:lineRule="exact"/>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（一）预算执行情况分析</w:t>
      </w:r>
    </w:p>
    <w:p>
      <w:pPr>
        <w:keepNext w:val="0"/>
        <w:keepLines w:val="0"/>
        <w:pageBreakBefore w:val="0"/>
        <w:kinsoku/>
        <w:wordWrap/>
        <w:overflowPunct/>
        <w:topLinePunct w:val="0"/>
        <w:autoSpaceDE/>
        <w:autoSpaceDN/>
        <w:bidi w:val="0"/>
        <w:adjustRightInd/>
        <w:spacing w:line="560" w:lineRule="exact"/>
        <w:ind w:firstLine="800" w:firstLineChars="25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上户镇总支出3446.64万元，预算执行率100%，其中一般公共服务支出1625.31万元，教育支出6.74万元，，文化旅游体育与传媒支出11.56万元，社会保障和就业支出209.15万元，卫生健康支出83.61万元，城乡社区支出176.42万元，农林水支1134.99万元，住房保障支出128.27万元，国有资本经营预算支出0.31万元，其他支出70.28万元。</w:t>
      </w:r>
    </w:p>
    <w:p>
      <w:pPr>
        <w:keepNext w:val="0"/>
        <w:keepLines w:val="0"/>
        <w:pageBreakBefore w:val="0"/>
        <w:kinsoku/>
        <w:wordWrap/>
        <w:overflowPunct/>
        <w:topLinePunct w:val="0"/>
        <w:autoSpaceDE/>
        <w:autoSpaceDN/>
        <w:bidi w:val="0"/>
        <w:adjustRightInd/>
        <w:spacing w:line="560" w:lineRule="exact"/>
        <w:ind w:firstLine="800" w:firstLineChars="25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1.基本支出使用情况</w:t>
      </w:r>
    </w:p>
    <w:p>
      <w:pPr>
        <w:keepNext w:val="0"/>
        <w:keepLines w:val="0"/>
        <w:pageBreakBefore w:val="0"/>
        <w:kinsoku/>
        <w:wordWrap/>
        <w:overflowPunct/>
        <w:topLinePunct w:val="0"/>
        <w:autoSpaceDE/>
        <w:autoSpaceDN/>
        <w:bidi w:val="0"/>
        <w:adjustRightInd/>
        <w:spacing w:line="560" w:lineRule="exact"/>
        <w:ind w:firstLine="800" w:firstLineChars="25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上户镇基本支出2158万元，占总支出62.61％，其中：一般公共服务支出1618.84万元，教育支出6.74万元，社会保障和就业支出209.15万元，卫生健康支出83.61万元，农林水支出93.22万元，住房保障支出128.27万元，其他支出18.17万元。</w:t>
      </w:r>
    </w:p>
    <w:p>
      <w:pPr>
        <w:keepNext w:val="0"/>
        <w:keepLines w:val="0"/>
        <w:pageBreakBefore w:val="0"/>
        <w:kinsoku/>
        <w:wordWrap/>
        <w:overflowPunct/>
        <w:topLinePunct w:val="0"/>
        <w:autoSpaceDE/>
        <w:autoSpaceDN/>
        <w:bidi w:val="0"/>
        <w:adjustRightInd/>
        <w:spacing w:line="560" w:lineRule="exact"/>
        <w:ind w:firstLine="800" w:firstLineChars="25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2.项目支出使用情况</w:t>
      </w:r>
    </w:p>
    <w:p>
      <w:pPr>
        <w:keepNext w:val="0"/>
        <w:keepLines w:val="0"/>
        <w:pageBreakBefore w:val="0"/>
        <w:kinsoku/>
        <w:wordWrap/>
        <w:overflowPunct/>
        <w:topLinePunct w:val="0"/>
        <w:autoSpaceDE/>
        <w:autoSpaceDN/>
        <w:bidi w:val="0"/>
        <w:adjustRightInd/>
        <w:spacing w:line="560" w:lineRule="exact"/>
        <w:ind w:firstLine="800" w:firstLineChars="25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2024年，库尔勒市上户镇项目支出1288.64万元，占总支出的37.39％。其中：一般公共服务支出6.47万元，文化旅游体育与传媒支出11.56万元，城乡社区支出176.42万元，农林水支出1041.77万元，国有资本经营预算支出0.31万元，其他支出52.11万元。</w:t>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p>
    <w:p>
      <w:pPr>
        <w:keepNext w:val="0"/>
        <w:keepLines w:val="0"/>
        <w:pageBreakBefore w:val="0"/>
        <w:kinsoku/>
        <w:wordWrap/>
        <w:overflowPunct/>
        <w:topLinePunct w:val="0"/>
        <w:autoSpaceDE/>
        <w:autoSpaceDN/>
        <w:bidi w:val="0"/>
        <w:adjustRightInd/>
        <w:spacing w:line="560" w:lineRule="exact"/>
        <w:ind w:firstLine="800" w:firstLineChars="25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年初我单位设置部门整体绩效目标中包括一级指标1个（履职效能）二级指标1个，三级指标4个，指标完成情况分析如下：</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1.运行成本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2.管理效率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指标1：覆盖基层组织个数，指标值：&gt;=8个，年中监控完成值：8个，自评完成值：8个，指标完成率100%，偏差0%。指标成效分析：通过覆盖8个基层组织，提高了工作效率或改善了工作质量及服务水平。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指标2：工作队在职人数，指标值：&gt;=29人，年中监控完成值：12人，自评完成值：12人，指标完成率41.38%，偏差58.62%。偏差原因：按上级要求撤回工作队人员，整改措施：提高预算目标准确率。指标成效分析：通过工作队12个人能按时完成工作任务，确保公共服务水平有效提升，有效促进产业发展，增强基层治理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指标3：农牧民实用技能培训场次数，指标值：&gt;=10次，年中监控完成值：10次，自评完成值：10次，指标完成率100%，偏差0%。指标成效分析：通过常态化开展农牧民使用技能培训，提高了农牧民的各种种植知识和增值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指标4：为民办实事件数量，指标值：&gt;=10件，年中监控完成值：10件，自评完成值：10件，指标完成率100%，偏差0%。指标成效分析：通过开展为民办实事工作，提高了给农牧民服务服务意识和便于农牧民办事和及时率。</w:t>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
          <w:sz w:val="32"/>
          <w:szCs w:val="32"/>
        </w:rPr>
      </w:pPr>
      <w:r>
        <w:rPr>
          <w:rFonts w:hint="eastAsia" w:ascii="仿宋_GB2312" w:hAnsi="宋体" w:eastAsia="仿宋_GB2312"/>
          <w:bCs/>
          <w:sz w:val="32"/>
          <w:szCs w:val="32"/>
        </w:rPr>
        <w:t>无此项指标。</w:t>
      </w:r>
    </w:p>
    <w:p>
      <w:pPr>
        <w:keepNext w:val="0"/>
        <w:keepLines w:val="0"/>
        <w:pageBreakBefore w:val="0"/>
        <w:numPr>
          <w:ilvl w:val="0"/>
          <w:numId w:val="0"/>
        </w:numPr>
        <w:kinsoku/>
        <w:wordWrap/>
        <w:overflowPunct/>
        <w:topLinePunct w:val="0"/>
        <w:autoSpaceDE/>
        <w:autoSpaceDN/>
        <w:bidi w:val="0"/>
        <w:adjustRightInd/>
        <w:snapToGrid w:val="0"/>
        <w:spacing w:line="560" w:lineRule="exact"/>
        <w:jc w:val="both"/>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lang w:val="en-US" w:eastAsia="zh-CN"/>
        </w:rPr>
        <w:t>四、</w:t>
      </w:r>
      <w:r>
        <w:rPr>
          <w:rFonts w:hint="eastAsia" w:ascii="黑体" w:hAnsi="黑体" w:eastAsia="黑体" w:cs="宋体"/>
          <w:b/>
          <w:color w:val="000000" w:themeColor="text1"/>
          <w:sz w:val="32"/>
          <w:szCs w:val="32"/>
        </w:rPr>
        <w:t>评价结论：</w:t>
      </w:r>
    </w:p>
    <w:p>
      <w:pPr>
        <w:keepNext w:val="0"/>
        <w:keepLines w:val="0"/>
        <w:pageBreakBefore w:val="0"/>
        <w:kinsoku/>
        <w:wordWrap/>
        <w:overflowPunct/>
        <w:topLinePunct w:val="0"/>
        <w:autoSpaceDE/>
        <w:autoSpaceDN/>
        <w:bidi w:val="0"/>
        <w:adjustRightInd/>
        <w:spacing w:line="560" w:lineRule="exact"/>
        <w:ind w:firstLine="960" w:firstLineChars="300"/>
        <w:jc w:val="both"/>
        <w:textAlignment w:val="auto"/>
        <w:rPr>
          <w:rFonts w:ascii="仿宋_GB2312" w:hAnsi="宋体" w:eastAsia="仿宋_GB2312"/>
          <w:bCs/>
          <w:sz w:val="32"/>
          <w:szCs w:val="32"/>
        </w:rPr>
      </w:pPr>
      <w:r>
        <w:rPr>
          <w:rFonts w:hint="eastAsia" w:ascii="仿宋_GB2312" w:hAnsi="宋体" w:eastAsia="仿宋_GB2312"/>
          <w:bCs/>
          <w:sz w:val="32"/>
          <w:szCs w:val="32"/>
        </w:rPr>
        <w:t>2024年度部门整体支出绩效自评综合得分88.3分，评价结果为“良”。</w:t>
      </w:r>
    </w:p>
    <w:p>
      <w:pPr>
        <w:keepNext w:val="0"/>
        <w:keepLines w:val="0"/>
        <w:pageBreakBefore w:val="0"/>
        <w:numPr>
          <w:ilvl w:val="0"/>
          <w:numId w:val="0"/>
        </w:numPr>
        <w:kinsoku/>
        <w:wordWrap/>
        <w:overflowPunct/>
        <w:topLinePunct w:val="0"/>
        <w:autoSpaceDE/>
        <w:autoSpaceDN/>
        <w:bidi w:val="0"/>
        <w:adjustRightInd/>
        <w:snapToGrid w:val="0"/>
        <w:spacing w:line="560" w:lineRule="exact"/>
        <w:jc w:val="both"/>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lang w:val="en-US" w:eastAsia="zh-CN"/>
        </w:rPr>
        <w:t>五、</w:t>
      </w:r>
      <w:r>
        <w:rPr>
          <w:rFonts w:hint="eastAsia" w:ascii="黑体" w:hAnsi="黑体" w:eastAsia="黑体" w:cs="宋体"/>
          <w:b/>
          <w:color w:val="000000" w:themeColor="text1"/>
          <w:sz w:val="32"/>
          <w:szCs w:val="32"/>
        </w:rPr>
        <w:t>存在的主要问题及原因分析：</w:t>
      </w:r>
    </w:p>
    <w:p>
      <w:pPr>
        <w:keepNext w:val="0"/>
        <w:keepLines w:val="0"/>
        <w:pageBreakBefore w:val="0"/>
        <w:kinsoku/>
        <w:wordWrap/>
        <w:overflowPunct/>
        <w:topLinePunct w:val="0"/>
        <w:autoSpaceDE/>
        <w:autoSpaceDN/>
        <w:bidi w:val="0"/>
        <w:adjustRightInd/>
        <w:spacing w:line="560" w:lineRule="exact"/>
        <w:ind w:firstLine="960" w:firstLineChars="3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加强学习。进一步明确如何参照考核体系，科学合理设定绩效目标，充分发挥预算绩效管理工作效用。</w:t>
      </w:r>
    </w:p>
    <w:p>
      <w:pPr>
        <w:keepNext w:val="0"/>
        <w:keepLines w:val="0"/>
        <w:pageBreakBefore w:val="0"/>
        <w:kinsoku/>
        <w:wordWrap/>
        <w:overflowPunct/>
        <w:topLinePunct w:val="0"/>
        <w:autoSpaceDE/>
        <w:autoSpaceDN/>
        <w:bidi w:val="0"/>
        <w:adjustRightInd/>
        <w:spacing w:line="560" w:lineRule="exact"/>
        <w:ind w:firstLine="960" w:firstLineChars="300"/>
        <w:jc w:val="both"/>
        <w:textAlignment w:val="auto"/>
        <w:rPr>
          <w:rFonts w:ascii="仿宋_GB2312" w:hAnsi="宋体" w:eastAsia="仿宋_GB2312"/>
          <w:bCs/>
          <w:sz w:val="32"/>
          <w:szCs w:val="32"/>
        </w:rPr>
      </w:pPr>
      <w:r>
        <w:rPr>
          <w:rFonts w:hint="eastAsia" w:ascii="仿宋_GB2312" w:hAnsi="宋体" w:eastAsia="仿宋_GB2312"/>
          <w:bCs/>
          <w:sz w:val="32"/>
          <w:szCs w:val="32"/>
        </w:rPr>
        <w:t>财务上，会计核算要更加详细，为本单位各项工作的开展、总结、评估提供有效数据资料支撑,为各项业务工作更好的开展提供帮助。</w:t>
      </w:r>
      <w:r>
        <w:rPr>
          <w:rFonts w:hint="eastAsia" w:ascii="仿宋_GB2312" w:hAnsi="宋体" w:eastAsia="仿宋_GB2312"/>
          <w:bCs/>
          <w:sz w:val="32"/>
          <w:szCs w:val="32"/>
        </w:rPr>
        <w:br w:type="textWrapping"/>
      </w:r>
      <w:r>
        <w:rPr>
          <w:rFonts w:hint="eastAsia" w:ascii="仿宋_GB2312" w:hAnsi="宋体" w:eastAsia="仿宋_GB2312"/>
          <w:bCs/>
          <w:sz w:val="32"/>
          <w:szCs w:val="32"/>
        </w:rPr>
        <w:t>主要体现为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jc w:val="both"/>
        <w:textAlignment w:val="auto"/>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lang w:val="en-US" w:eastAsia="zh-CN"/>
        </w:rPr>
        <w:t>六、</w:t>
      </w:r>
      <w:r>
        <w:rPr>
          <w:rFonts w:hint="eastAsia" w:ascii="黑体" w:hAnsi="黑体" w:eastAsia="黑体" w:cs="宋体"/>
          <w:b/>
          <w:color w:val="000000" w:themeColor="text1"/>
          <w:sz w:val="32"/>
          <w:szCs w:val="32"/>
        </w:rPr>
        <w:t>改进措施和建议：</w:t>
      </w:r>
    </w:p>
    <w:p>
      <w:pPr>
        <w:keepNext w:val="0"/>
        <w:keepLines w:val="0"/>
        <w:pageBreakBefore w:val="0"/>
        <w:kinsoku/>
        <w:wordWrap/>
        <w:overflowPunct/>
        <w:topLinePunct w:val="0"/>
        <w:autoSpaceDE/>
        <w:autoSpaceDN/>
        <w:bidi w:val="0"/>
        <w:adjustRightInd/>
        <w:spacing w:line="560" w:lineRule="exact"/>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（1）预算绩效观念不深入。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bCs/>
          <w:sz w:val="32"/>
          <w:szCs w:val="32"/>
        </w:rPr>
      </w:pP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宋体" w:eastAsia="仿宋_GB2312"/>
          <w:bCs/>
          <w:sz w:val="32"/>
          <w:szCs w:val="32"/>
        </w:rPr>
      </w:pP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keepNext w:val="0"/>
        <w:keepLines w:val="0"/>
        <w:pageBreakBefore w:val="0"/>
        <w:kinsoku/>
        <w:wordWrap/>
        <w:overflowPunct/>
        <w:topLinePunct w:val="0"/>
        <w:autoSpaceDE/>
        <w:autoSpaceDN/>
        <w:bidi w:val="0"/>
        <w:adjustRightInd/>
        <w:spacing w:line="560" w:lineRule="exact"/>
        <w:jc w:val="both"/>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5E66D5"/>
    <w:rsid w:val="00653C1A"/>
    <w:rsid w:val="0072543F"/>
    <w:rsid w:val="007A5D83"/>
    <w:rsid w:val="007A798C"/>
    <w:rsid w:val="007B51CE"/>
    <w:rsid w:val="007D7702"/>
    <w:rsid w:val="007E47F4"/>
    <w:rsid w:val="007F0F7C"/>
    <w:rsid w:val="00892E0B"/>
    <w:rsid w:val="008F0DCE"/>
    <w:rsid w:val="00916058"/>
    <w:rsid w:val="00A04D4C"/>
    <w:rsid w:val="00AB72C1"/>
    <w:rsid w:val="00B23F86"/>
    <w:rsid w:val="00B53A03"/>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5BB66C8A"/>
    <w:rsid w:val="63084FEC"/>
    <w:rsid w:val="64F5745B"/>
    <w:rsid w:val="656071F2"/>
    <w:rsid w:val="65D86C93"/>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882</Words>
  <Characters>5034</Characters>
  <Lines>41</Lines>
  <Paragraphs>11</Paragraphs>
  <TotalTime>13</TotalTime>
  <ScaleCrop>false</ScaleCrop>
  <LinksUpToDate>false</LinksUpToDate>
  <CharactersWithSpaces>5905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2025-08-15T11:53:00Z</dcterms:created>
  <dc:creator>hongbing liu</dc:creator>
  <cp:lastModifiedBy>lenovo</cp:lastModifiedBy>
  <dcterms:modified xsi:type="dcterms:W3CDTF">2025-09-02T08:09:53Z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